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840" w:line="30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Повітряна тривога.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із сигналами оповіщення населення; шляхами і правилами евакуації; видами укриттів; найнебезпечнішими місцями оселі.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Ознайомтеся з презентацією.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rFonts w:ascii="Times New Roman" w:cs="Times New Roman" w:eastAsia="Times New Roman" w:hAnsi="Times New Roman"/>
          <w:color w:val="9eaabb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https://drive.google.com/file/d/1B4WwYwIU54w52O5HFaTLQ0oms0RZ-tNd/view?usp=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https://youtu.be/noHcCT4rfsg?si=c2RDgPe8LHCk6uJr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Складіть (письмово) алгоритм дій під час повітряної тривоги.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Human або на електронну адресу klimenkoalla2000@gmail.com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20" w:before="300" w:line="560" w:lineRule="auto"/>
        <w:ind w:left="0" w:right="220" w:firstLine="0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4WwYwIU54w52O5HFaTLQ0oms0RZ-tNd/view?usp=drivesdk" TargetMode="External"/><Relationship Id="rId7" Type="http://schemas.openxmlformats.org/officeDocument/2006/relationships/hyperlink" Target="https://youtu.be/noHcCT4rfsg?si=c2RDgPe8LHCk6uJ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