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E95">
        <w:rPr>
          <w:rFonts w:ascii="Times New Roman" w:hAnsi="Times New Roman" w:cs="Times New Roman"/>
          <w:sz w:val="28"/>
          <w:szCs w:val="28"/>
          <w:lang w:val="uk-UA"/>
        </w:rPr>
        <w:t>30.04.2024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F65395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F65395" w:rsidRPr="00F65395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Ідеї автономії та самостійності у програмах українських політичних партій Наддніпрянщини.</w:t>
      </w:r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65395" w:rsidRPr="00F65395">
        <w:rPr>
          <w:rFonts w:ascii="Times New Roman" w:hAnsi="Times New Roman" w:cs="Times New Roman"/>
          <w:sz w:val="28"/>
          <w:szCs w:val="28"/>
          <w:lang w:val="uk-UA"/>
        </w:rPr>
        <w:t>проаналізувати ідеї автономії та самостійності в програмах українських політичних партій Наддніпрянщини; знатимуть основні ідеї автономії та самостійності в програмах українських політичних партій: .підвести підсумки і закріпити вивчений матеріал.</w:t>
      </w:r>
    </w:p>
    <w:p w:rsidR="00664839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F65395" w:rsidRDefault="00F65395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народу?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  <w:bookmarkStart w:id="0" w:name="_GoBack"/>
      <w:bookmarkEnd w:id="0"/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Виконання завдань практичного заняття</w:t>
      </w:r>
    </w:p>
    <w:p w:rsid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1.Ознайомтеся з програмними положеннями українських політичних партій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(робота з Додатком 1, 2, 3, 4).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Проаналізуйте їх (письмово)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1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програми «Самостійна Україна» Революційної української партії 1900 р.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Над нами висить чорний стяг, а на йому написано: «Смерть політична, смерть національна, смерть культурна для української нації?» Се не є самі слова: зміст їм відповідає. Коли ж в Української держави відібрано право бути державою, то поодинокі члени колишньої республіки позбулися усіх елементарних прав людини. Колишній український республіканець має менш прав, ніж нинішній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найостатніший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московський наймит.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Правительство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чужинців розпоряджається на території колишньої Української республіки наче в завойованій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свіжо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країні! Висмоктує остатні сили, висмикує ліпших борців, здирає осатаній гріш бідного народу. Урядовці з 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чужинців обсіли Україну і зневажають той люд, на кошт якого годуються. Непокірливі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тубольці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погорджуються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невимовне, а небезпечні з них засилаються на Сибір. Законами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Росийської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імперії зневажається право свободи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совісти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погорджується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свободи особистої, ганьбиться навіть недоторканність тіла...</w:t>
      </w:r>
    </w:p>
    <w:p w:rsid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...Просвіта занедбана, культура знівечена й темрява панує скрізь по Україні! Через 247 років по Переяславській конституції «вільний і рівний» Українець відіграє ще гіршу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ролю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ніж колишній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бо в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принаймні інтелектуальної «данини», бо від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любови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 прихильності до своїх гнобителів, бо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розумів свій гніт. Українець же тільки відчуває його. Така то є логіка подій і такі її наслідки. І от посеред таких лихих обставин ми зійшлися докупи, ми згромадилися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одну сім'ю, перейняті великим болем та жалем до тих страждань, що вщерть наповнили народну душу, і — хай навпаки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подій — ми виписали на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свому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прапорі: «ОДНА, ЄДИНА НЕРОЗДІЛЬНА, ВІЛЬНА, САМОСТІЙНА УКРАЇНА ВІД ГІ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 КАРПАТСЬКИХ АЖ ПО КАВКАЗЬКІ».</w:t>
      </w:r>
    </w:p>
    <w:p w:rsidR="00F65395" w:rsidRP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2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програми Української народної партії (1902р.)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народна партія визнач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ає соціалістичний ідеал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яко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єди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ний, котрий може остаточно задовольнити український та інші народи, знищити визиск,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безправ’є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знищити сучасний устрій, збудований на насиллі, примусі, нерівності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панованні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Цей ідеал такий: взагалі знаряддя виробу, фабрики і заводи, на землі, оселеній українським народом, мусять належати Українцям-робітникам, а земля (рілля) — Українцям-хліборобам...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Свідомому робітнику-Українцю з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овсім не секрет той факт, що ро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бітники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селяне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-поляки хочуть захопити політичну власть на своїй землі, Москалі на своїй, Литовці на своїй... Український пролетаріат мусить захватити політичну власть на Україні, аби забезпечити собі щасну будучину...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Націоналізація землі на Україні 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запровадження соціалістично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строя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соціалістичного оброблення землі — це наш ідеал...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загалу українського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народа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Незайманість особи і мешкання.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Рівноправність жінок.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Відповідальність урядовців перед громадянами.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Свобода українського друку, слова і просвіти, свобода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національ¬ності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релігії, совісті, переконань. Свобода зборів, товариств,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спі¬лок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організацій.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Вибори до парламенту, до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взагалі до усіх виборних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інсти¬туцій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Вільна українська школа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середня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рідній мові. Українська мова в суді і адміністрації. 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Самостійна Республіка Україна будучини мусить бути спілкою вільних і самоправних українських земель... такі — Слобожанщина, Правобережна Україна,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Запоріжє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Кубань,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Чорномор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Поліссє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Га¬личина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т. д. 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3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Українська соціал-демократична робітнича партія (УСДРП, 1905 р.) на чолі з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В.Винниченком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С.Петлюрою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прагнула поєднати марксизм із націоналізмом. Орієнтувалася на селян і робітників, вимагала автономії для України.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1904 р. були утворені дві ліберальні партії- Українська радикальна партія (УРП,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Б.Грінченко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С.Єфремов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та Українська демократична партія (УДП,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А.Лотоцький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Є.Чикаленко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 Основні їх Вимоги – конституційна монархія, земельні реформи, автономія України в складі Росії.</w:t>
      </w:r>
    </w:p>
    <w:p w:rsidR="00DE5460" w:rsidRP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4</w:t>
      </w: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ЛІДЕРИ УКРАЇНСЬКИХ ПОЛІТИЧНИХ ПАРТІЙ ПОЧАТКУ ХХ СТ.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604269" wp14:editId="3CE08917">
            <wp:extent cx="1230482" cy="1666875"/>
            <wp:effectExtent l="0" t="0" r="8255" b="0"/>
            <wp:docPr id="1" name="Рисунок 1" descr="C:\Users\history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tory\Desktop\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92" cy="16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F8141F" wp14:editId="242897CB">
            <wp:extent cx="1140170" cy="1704975"/>
            <wp:effectExtent l="0" t="0" r="3175" b="0"/>
            <wp:docPr id="2" name="Рисунок 2" descr="C:\Users\history\Desktop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story\Desktop\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28" cy="17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 </w:t>
      </w:r>
      <w:r w:rsidRPr="00B0681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5418DE" wp14:editId="694AD97B">
            <wp:extent cx="1110198" cy="1676400"/>
            <wp:effectExtent l="0" t="0" r="0" b="0"/>
            <wp:docPr id="3" name="Рисунок 3" descr="Mihnovsk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novsk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95" cy="16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В.Винниченко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Б.Грінченко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М.Міхновський</w:t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8645E8" wp14:editId="7534C9A4">
            <wp:extent cx="1315792" cy="1692832"/>
            <wp:effectExtent l="0" t="0" r="0" b="3175"/>
            <wp:docPr id="4" name="Рисунок 4" descr="C:\Users\history\Desktop\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story\Desktop\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04" cy="16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289C3B" wp14:editId="01FE3C75">
            <wp:extent cx="1284621" cy="1683297"/>
            <wp:effectExtent l="0" t="0" r="0" b="0"/>
            <wp:docPr id="5" name="Рисунок 5" descr="C:\Users\history\Desktop\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story\Desktop\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96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6210C0" wp14:editId="7A294AB9">
            <wp:extent cx="1225839" cy="1694353"/>
            <wp:effectExtent l="0" t="0" r="0" b="1270"/>
            <wp:docPr id="6" name="Рисунок 6" descr="C:\Users\history\Desktop\грушевськ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story\Desktop\грушевськи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5" cy="17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С.Петлюра     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Є.Чикаленко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М.Грушевський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F65395" w:rsidRDefault="00DE5460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44D82" w:rsidRPr="00DE5460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Перегляньте відео:</w:t>
      </w:r>
      <w:r w:rsidRPr="00E44D82">
        <w:t xml:space="preserve"> </w:t>
      </w:r>
      <w:hyperlink r:id="rId12" w:history="1">
        <w:r w:rsidR="00DE5460" w:rsidRPr="00DE546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https://youtu.be/NU4lME2mUfQ</w:t>
        </w:r>
      </w:hyperlink>
      <w:r w:rsidR="00DE5460">
        <w:rPr>
          <w:lang w:val="uk-UA"/>
        </w:rPr>
        <w:t xml:space="preserve"> 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35E95" w:rsidRPr="00735E95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</w:t>
      </w:r>
      <w:r w:rsidR="00B44EE3" w:rsidRPr="00735E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є завдання: </w:t>
      </w:r>
    </w:p>
    <w:p w:rsidR="00735E95" w:rsidRPr="00735E95" w:rsidRDefault="00735E95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</w:t>
      </w:r>
      <w:proofErr w:type="spellStart"/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>. 312-313.</w:t>
      </w:r>
      <w:r w:rsidR="00C96A04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5395" w:rsidRPr="00735E95" w:rsidRDefault="00C96A04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Проаналізуйте програмні положеннями українських політичних партій (письмово).</w:t>
      </w:r>
    </w:p>
    <w:p w:rsidR="005A3226" w:rsidRPr="00735E95" w:rsidRDefault="006F0ABE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F65395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тему Діяльність </w:t>
      </w:r>
      <w:r w:rsidR="00B44EE3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 перших політичних партій</w:t>
      </w:r>
      <w:r w:rsidRPr="00735E95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</w:rPr>
      </w:pPr>
    </w:p>
    <w:p w:rsidR="00CB4E17" w:rsidRDefault="00CB4E17" w:rsidP="00735E95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735E95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735E95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735E95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3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5E95" w:rsidRPr="00735E95" w:rsidRDefault="00735E95" w:rsidP="00735E95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735E95" w:rsidRPr="0073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A0D10E0"/>
    <w:multiLevelType w:val="hybridMultilevel"/>
    <w:tmpl w:val="FB62A2FE"/>
    <w:lvl w:ilvl="0" w:tplc="66D0BE7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5E95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Mihnovsky.jpg" TargetMode="External"/><Relationship Id="rId12" Type="http://schemas.openxmlformats.org/officeDocument/2006/relationships/hyperlink" Target="https://youtu.be/NU4lME2mU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2023-01-28T09:04:00Z</dcterms:created>
  <dcterms:modified xsi:type="dcterms:W3CDTF">2024-04-29T07:56:00Z</dcterms:modified>
</cp:coreProperties>
</file>