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07.10.2024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фізична культура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Організаційні вправи, загальнорозвивальні вправи. Положення тіла у просторі: виси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(підтягування у висі (хлопці), у висі лежачи (дівчата). Елементи акробатики. Рухлива гра «Слухай музику».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Компетентності: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Уміння застосовувати науковий метод, спостерігати, аналізувати, формулювати гіпотези, збирати дані, проводити експерименти, аналізувати результати Дбайливе ставлення до власного здоров’я і збереження здоров’я інших людей, дотримання здорового способу життя. Співпраця з іншими для досягнення спільної мети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Загальнорозвивальні вправи.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https://www.youtube.com/watch?v=khsVokkTWdQ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Виконайте вправи на положення тіла у просторі: виси: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https://www.youtube.com/watch?v=-35BylZXTxI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Елементи акробатики.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https://www.youtube.com/watch?v=1posgohd54E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Танцювальна руханка 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highlight w:val="white"/>
          <w:rtl w:val="0"/>
        </w:rPr>
        <w:t xml:space="preserve">Спробуй виконати танцювальну руханку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highlight w:val="white"/>
          <w:rtl w:val="0"/>
        </w:rPr>
        <w:t xml:space="preserve">  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https://www.youtube.com/watch?v=ZLZA3q2N4VA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Рухлива гра «Слухай музику».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-47044</wp:posOffset>
            </wp:positionH>
            <wp:positionV relativeFrom="paragraph">
              <wp:posOffset>180036</wp:posOffset>
            </wp:positionV>
            <wp:extent cx="5049078" cy="22261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46448" l="28110" r="32941" t="34743"/>
                    <a:stretch>
                      <a:fillRect/>
                    </a:stretch>
                  </pic:blipFill>
                  <pic:spPr>
                    <a:xfrm>
                      <a:off x="0" y="0"/>
                      <a:ext cx="5049078" cy="2226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  <w:rtl w:val="0"/>
        </w:rPr>
        <w:t xml:space="preserve">Хід гри: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youtube.com/watch?v=ZLZA3q2N4VA" TargetMode="External"/><Relationship Id="rId9" Type="http://schemas.openxmlformats.org/officeDocument/2006/relationships/hyperlink" Target="https://www.youtube.com/watch?v=1posgohd54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khsVokkTWdQ" TargetMode="External"/><Relationship Id="rId8" Type="http://schemas.openxmlformats.org/officeDocument/2006/relationships/hyperlink" Target="https://www.youtube.com/watch?v=-35BylZXT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