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05.11.2024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Гімнастика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Історія виникнення і розвитку гімнастики. Досягнення видатних гімнастів України.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Місце українського волейболу на сучасному етапі.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безпечної поведінки під час виконання фізичних вправ та занять гандболом. Загальнорозвиваючі вправи, переміщення у стійці гандболіста.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фізичними вправами, гімнастикою та волейболом.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Історія виникнення і розвитку гімнастики. Досягнення видатних гімнастів України.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od9c49zlxn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Місце українського волейболу на сучасному етапі.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yxapqr0sxc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Гандбол: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безпечної поведінки під час виконання фізичних вправ та занять гандболом. Загальнорозвиваючі вправи, переміщення у стійці гандболіста.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-6" w:hanging="10"/>
        <w:jc w:val="both"/>
        <w:rPr/>
      </w:pPr>
      <w:bookmarkStart w:colFirst="0" w:colLast="0" w:name="_heading=h.ua8vudzefxl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безпечної поведінки під час занять фізичними вправами, гімнастикою, гандболом та волейболом.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https://www.youtube.com/watch?v=b3zKeYlkCEk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66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" w:line="315" w:lineRule="auto"/>
        <w:ind w:left="660" w:right="-6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Історія виникнення і розвитку гімнастики. Досягнення видатних гімнастів України.</w:t>
      </w:r>
    </w:p>
    <w:p w:rsidR="00000000" w:rsidDel="00000000" w:rsidP="00000000" w:rsidRDefault="00000000" w:rsidRPr="00000000" w14:paraId="00000015">
      <w:pPr>
        <w:spacing w:after="1" w:line="315" w:lineRule="auto"/>
        <w:ind w:left="660" w:right="-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grwhrh0bvm5" w:id="4"/>
      <w:bookmarkEnd w:id="4"/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https://www.youtube.com/watch?v=GUWH_AMh0Pc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" w:line="315" w:lineRule="auto"/>
        <w:ind w:left="660" w:right="-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nhycjr4t7scz" w:id="5"/>
      <w:bookmarkEnd w:id="5"/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https://www.youtube.com/watch?v=KCM9r7khJac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" w:line="315" w:lineRule="auto"/>
        <w:ind w:left="660" w:right="-6" w:hanging="360"/>
        <w:jc w:val="both"/>
        <w:rPr/>
      </w:pPr>
      <w:bookmarkStart w:colFirst="0" w:colLast="0" w:name="_heading=h.sod9c49zlxn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Волейбол: Місце українського волейболу на сучасному етапі.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https://www.youtube.com/watch?v=xv-RuDApf3I</w:t>
      </w:r>
    </w:p>
    <w:p w:rsidR="00000000" w:rsidDel="00000000" w:rsidP="00000000" w:rsidRDefault="00000000" w:rsidRPr="00000000" w14:paraId="00000019">
      <w:pPr>
        <w:spacing w:after="1" w:line="315" w:lineRule="auto"/>
        <w:ind w:left="283.46456692913375" w:right="-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yxapqr0sxc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Правила безпечної поведінки під час виконання фізичних вправ та занять гандболом. Загальнорозвиваючі вправи, переміщення у стійці гандболіста.</w:t>
      </w:r>
    </w:p>
    <w:p w:rsidR="00000000" w:rsidDel="00000000" w:rsidP="00000000" w:rsidRDefault="00000000" w:rsidRPr="00000000" w14:paraId="0000001A">
      <w:pPr>
        <w:spacing w:after="0" w:line="27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https://www.youtube.com/watch?v=5VsYqFJhdSE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https://www.youtube.com/watch?v=thfllFxDVmE</w:t>
      </w:r>
    </w:p>
    <w:p w:rsidR="00000000" w:rsidDel="00000000" w:rsidP="00000000" w:rsidRDefault="00000000" w:rsidRPr="00000000" w14:paraId="0000001C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bookmarkStart w:colFirst="0" w:colLast="0" w:name="_heading=h.1fob9t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Виписати видатних українських гімнастів (10 спортсменів), зайняте місце на Олімпійських іграх (за будь-який рік) та вид дисціпліни.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відправити на пошту lopatindaniil737@gmail.com або HUMAN</w:t>
      </w:r>
    </w:p>
    <w:sectPr>
      <w:pgSz w:h="16838" w:w="11906" w:orient="portrait"/>
      <w:pgMar w:bottom="1440" w:top="1440" w:left="1559.0551181102362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5VsYqFJhdSE" TargetMode="External"/><Relationship Id="rId9" Type="http://schemas.openxmlformats.org/officeDocument/2006/relationships/hyperlink" Target="https://www.youtube.com/watch?v=KCM9r7khJa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GUWH_AMh0P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AxdbIUPThfDQmAWBJCpt7Nx3Q==">CgMxLjAyCGguZ2pkZ3hzMg5oLnNvZDljNDl6bHhuYTIOaC5seXhhcHFyMHN4YzQyDmgudWE4dnVkemVmeGxoMghoLmdqZGd4czIOaC5vZ3J3aHJoMGJ2bTUyDmgubmh5Y2pyNHQ3c2N6Mg5oLnNvZDljNDl6bHhuYTIOaC5seXhhcHFyMHN4YzQyCWguMWZvYjl0ZTgAciExakVkdi00X09QWVBCQkM4X1BrYm1VNTZ3OHVDYjBxUk4=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