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13.05.2025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– як вагомий засіб фізичного виховання дітей та молоді України.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Повторення правила розміщення гравців та переходу на ігровому волейбольному майданчику, нижня та бокова подача м’яча.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Рухливі ігри.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– як вагомий засіб фізичного виховання дітей та молоді України.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Повторення правила розміщення гравців та переходу на ігровому волейбольному майданчику, нижня та бокова подача м’яча.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Рухливі ігри.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– як вагомий засіб фізичного виховання дітей та молоді України. 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https://www.youtube.com/watch?v=vnykraYyNpA&amp;t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Повторення правила розміщення гравців та переходу на ігровому волейбольному майданчику, нижня та бокова подача м’яча.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https://www.youtube.com/watch?v=D7aUqYtMoD8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https://www.youtube.com/watch?v=1WEG0q20iZI&amp;t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Рухливі ігри.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https://www.youtube.com/watch?v=vZSyQvYU_BY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https://www.youtube.com/watch?v=W0R703V5zXA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розміщення гравців та переходу на ігровому волейбольному майданчику.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7aUqYtMoD8" TargetMode="External"/><Relationship Id="rId10" Type="http://schemas.openxmlformats.org/officeDocument/2006/relationships/hyperlink" Target="https://www.youtube.com/watch?v=vnykraYyNpA&amp;t" TargetMode="External"/><Relationship Id="rId13" Type="http://schemas.openxmlformats.org/officeDocument/2006/relationships/hyperlink" Target="https://www.youtube.com/watch?v=vZSyQvYU_BY" TargetMode="External"/><Relationship Id="rId12" Type="http://schemas.openxmlformats.org/officeDocument/2006/relationships/hyperlink" Target="https://www.youtube.com/watch?v=1WEG0q20iZI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www.youtube.com/watch?v=W0R703V5zX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4979pN3Qb2WV29BHzJsmjaO5bA==">CgMxLjAyCWguMzBqMHpsbDIIaC5namRneHM4AHIhMTNxYktHRGJLSWdtc2k1cHQ4eUM5S3pCNjBSSUJfY1JN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