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27.12.2024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«Гімнастика», «Гандбол», «Волейбол».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Підсумковий урок з варіативних модулів: «Гімнастика», «Гандбол», «Волейбол».</w:t>
      </w:r>
    </w:p>
    <w:p w:rsidR="00000000" w:rsidDel="00000000" w:rsidP="00000000" w:rsidRDefault="00000000" w:rsidRPr="00000000" w14:paraId="00000008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" w:line="315" w:lineRule="auto"/>
        <w:ind w:left="-5" w:right="-6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C">
      <w:pPr>
        <w:spacing w:after="1" w:line="315" w:lineRule="auto"/>
        <w:ind w:left="-5" w:right="3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Вправи з м’ячем.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Підведення підсумків першого семестру.</w:t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line="27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bookmarkStart w:colFirst="0" w:colLast="0" w:name="_heading=h.gjdgxs" w:id="1"/>
      <w:bookmarkEnd w:id="1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https://www.youtube.com/watch?v=97KR4v2hmuI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6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з м’ячем.</w:t>
      </w:r>
    </w:p>
    <w:p w:rsidR="00000000" w:rsidDel="00000000" w:rsidP="00000000" w:rsidRDefault="00000000" w:rsidRPr="00000000" w14:paraId="00000014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https://www.youtube.com/watch?v=aKH_ow-Zh5E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6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Підведення підсумків першого семестру.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aKH_ow-Zh5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97KR4v2hmu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132P06mCoI2d3D7MRsfLjbaUXw==">CgMxLjAyCWguMWZvYjl0ZTIIaC5namRneHM4AHIhMTJLb3ZrM1hFc2ZHYWVGWTYwbGZnU0NBMXZBR05UYkhy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