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Тема. Контрольна робота № 5 з теми «Бароко і класицизм» (тести, відповіді на запитання)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Мета. Перевірити знання з теми «Бароко і  класицизм»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1: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Визначте хронологічні межі доби бароко.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А) ХІІ–ХІІІ ст.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Б) XV–XVII ст.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В) середина XVI – середина XVIII ст.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Г) ХІІІ–ХІV ст.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№2: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Людина в мистецтві бароко постає…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А) досконалою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Б) 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розумною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В) богобоязною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Г) суперечливою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№3: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Хто з перелічених осіб не є представником стилю бароко?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А) Джон Мільтон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Б) Ж.Расін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В) М.Караваджо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Г) Х.Рембрант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№4: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Класицизм як художній напрям уперше з’явився в культурі...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А) Франції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Б) Німеччини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В) 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Італії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Г) Нідерландів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№5: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Герої класицизму жертвували собою заради…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А) обов’язку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Б) 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пристрасті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В) любові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Г) мистецтва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b w:val="1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7"/>
          <w:szCs w:val="27"/>
          <w:rtl w:val="0"/>
        </w:rPr>
        <w:t xml:space="preserve">№6: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bfec4" w:val="clear"/>
        <w:spacing w:line="288" w:lineRule="auto"/>
        <w:rPr>
          <w:rFonts w:ascii="Montserrat" w:cs="Montserrat" w:eastAsia="Montserrat" w:hAnsi="Montserrat"/>
          <w:color w:val="2e86da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2e86da"/>
          <w:sz w:val="21"/>
          <w:szCs w:val="21"/>
          <w:rtl w:val="0"/>
        </w:rPr>
        <w:t xml:space="preserve">З однією правильною відповіддю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color w:val="0c0c0c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0c0c0c"/>
          <w:sz w:val="27"/>
          <w:szCs w:val="27"/>
          <w:rtl w:val="0"/>
        </w:rPr>
        <w:t xml:space="preserve">Класицизм – це приклад високої краси, що відображає одвічне прагнення людства до…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А) </w:t>
      </w: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розуму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Б) абсолюту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В) вічного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  <w:rtl w:val="0"/>
        </w:rPr>
        <w:t xml:space="preserve">Г) високого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</w:rPr>
        <w:drawing>
          <wp:inline distB="114300" distT="114300" distL="114300" distR="114300">
            <wp:extent cx="5731200" cy="354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rFonts w:ascii="Montserrat" w:cs="Montserrat" w:eastAsia="Montserrat" w:hAnsi="Montserrat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</w:rPr>
        <w:drawing>
          <wp:inline distB="114300" distT="114300" distL="114300" distR="114300">
            <wp:extent cx="5734050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37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40" w:line="346.65599999999995" w:lineRule="auto"/>
        <w:rPr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7"/>
          <w:szCs w:val="27"/>
        </w:rPr>
        <w:drawing>
          <wp:inline distB="114300" distT="114300" distL="114300" distR="114300">
            <wp:extent cx="5731200" cy="3543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10. </w:t>
      </w:r>
      <w:r w:rsidDel="00000000" w:rsidR="00000000" w:rsidRPr="00000000">
        <w:rPr>
          <w:sz w:val="28"/>
          <w:szCs w:val="28"/>
          <w:rtl w:val="0"/>
        </w:rPr>
        <w:t xml:space="preserve">Напишіть розгорнуту відповідь на 1 питання: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Чому граф Дорант «дружив» з паном Журденом? Який зиск він мав із цієї дружби?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АБО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Чому сцени навчання пана Журдена викликають сміх?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Надсилай розгорнуту відповідь на платформу або на пошту </w:t>
      </w:r>
      <w:hyperlink r:id="rId10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natalya9574@gmail.com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817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3817A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atalya9574@gmail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GUSiy1tUVzZPIuOEEUL7XHnPg==">CgMxLjA4AHIhMVB1Y3ZLNG8zeGRhdnY5YU5yc3Q4NGlOSFRJQmNOSjVf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2025-04-06T11:09:00Z</dcterms:created>
  <dc:creator>380974551187</dc:creator>
</cp:coreProperties>
</file>