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7B6" w:rsidRDefault="004B19C0" w:rsidP="0099077E">
      <w:pPr>
        <w:spacing w:after="0" w:line="240" w:lineRule="auto"/>
        <w:ind w:left="7080"/>
      </w:pPr>
      <w:r>
        <w:t>Konrad Gądek</w:t>
      </w:r>
    </w:p>
    <w:p w:rsidR="004B19C0" w:rsidRDefault="004B19C0" w:rsidP="0099077E">
      <w:pPr>
        <w:spacing w:after="0" w:line="240" w:lineRule="auto"/>
        <w:ind w:left="7080"/>
      </w:pPr>
      <w:r>
        <w:t>Grupa laboratoryjna 2</w:t>
      </w:r>
    </w:p>
    <w:p w:rsidR="004B19C0" w:rsidRDefault="004B19C0" w:rsidP="004B19C0">
      <w:pPr>
        <w:spacing w:after="0" w:line="240" w:lineRule="auto"/>
      </w:pPr>
    </w:p>
    <w:p w:rsidR="004B19C0" w:rsidRPr="0099077E" w:rsidRDefault="004B19C0" w:rsidP="0099077E">
      <w:pPr>
        <w:pStyle w:val="Tytu"/>
      </w:pPr>
      <w:r w:rsidRPr="0099077E">
        <w:t>Sprawozdanie z zadania 2</w:t>
      </w:r>
    </w:p>
    <w:p w:rsidR="004B19C0" w:rsidRDefault="004B19C0" w:rsidP="0082777A">
      <w:pPr>
        <w:pStyle w:val="Nagwek1"/>
      </w:pPr>
      <w:r w:rsidRPr="0099077E">
        <w:t xml:space="preserve">Wykonanie </w:t>
      </w:r>
      <w:r w:rsidRPr="0082777A">
        <w:t>ćwiczenia</w:t>
      </w:r>
    </w:p>
    <w:p w:rsidR="00D127C9" w:rsidRDefault="00D127C9" w:rsidP="00D127C9">
      <w:r>
        <w:t>Jako zadanie dostaliśmy napisanie programów w MatLabie rozwiązujących równanie konwekcji-dyfuzji oraz równanie przewodnictwa ciepła. Wykonując to ćwiczenie starałem się pisać programy zwięzłe i w miarę możliwości ogólne. Gdzie było to możliwe, wprowadzałem parametry zamiast konkretnych danych liczbowych.</w:t>
      </w:r>
    </w:p>
    <w:p w:rsidR="00D127C9" w:rsidRDefault="00D127C9" w:rsidP="002C28D0">
      <w:pPr>
        <w:pStyle w:val="Bezodstpw"/>
      </w:pPr>
      <w:r>
        <w:t>Dla obu równań stworzyłem osobne funkcje je rozwiązujące</w:t>
      </w:r>
      <w:r w:rsidR="002C28D0">
        <w:t xml:space="preserve"> (znajdują się one w plikach </w:t>
      </w:r>
      <w:r w:rsidR="002C28D0" w:rsidRPr="002C28D0">
        <w:rPr>
          <w:rStyle w:val="CytatZnak"/>
          <w:rFonts w:ascii="Courier New" w:hAnsi="Courier New" w:cs="Courier New"/>
          <w:sz w:val="20"/>
        </w:rPr>
        <w:t xml:space="preserve">rownanieKonwekcjiDyfuzjiFDM.m </w:t>
      </w:r>
      <w:r w:rsidR="002C28D0">
        <w:t xml:space="preserve">oraz </w:t>
      </w:r>
      <w:r w:rsidR="002C28D0" w:rsidRPr="002C28D0">
        <w:rPr>
          <w:rStyle w:val="CytatZnak"/>
          <w:rFonts w:ascii="Courier New" w:hAnsi="Courier New" w:cs="Courier New"/>
          <w:sz w:val="20"/>
        </w:rPr>
        <w:t>rownaniePrzewodnictwaCieplaFDM.m</w:t>
      </w:r>
      <w:r w:rsidR="002C28D0">
        <w:t xml:space="preserve">), a osobno (w pliku </w:t>
      </w:r>
      <w:r w:rsidR="002C28D0">
        <w:rPr>
          <w:rStyle w:val="CytatZnak"/>
          <w:rFonts w:ascii="Courier New" w:hAnsi="Courier New" w:cs="Courier New"/>
          <w:sz w:val="20"/>
        </w:rPr>
        <w:t>main</w:t>
      </w:r>
      <w:r w:rsidR="002C28D0" w:rsidRPr="002C28D0">
        <w:rPr>
          <w:rStyle w:val="CytatZnak"/>
          <w:rFonts w:ascii="Courier New" w:hAnsi="Courier New" w:cs="Courier New"/>
          <w:sz w:val="20"/>
        </w:rPr>
        <w:t>.m</w:t>
      </w:r>
      <w:r w:rsidR="002C28D0">
        <w:t>) utworzyłem program, który generuje testy, wywołuje funkcje z odpowiednimi parametrami, wypisuje podsuwania oraz tworzy wykresy.</w:t>
      </w:r>
    </w:p>
    <w:p w:rsidR="00A11E97" w:rsidRDefault="00A11E97" w:rsidP="002C28D0">
      <w:pPr>
        <w:pStyle w:val="Bezodstpw"/>
      </w:pPr>
    </w:p>
    <w:p w:rsidR="00A11E97" w:rsidRPr="00D127C9" w:rsidRDefault="00A11E97" w:rsidP="002C28D0">
      <w:pPr>
        <w:pStyle w:val="Bezodstpw"/>
      </w:pPr>
      <w:r>
        <w:t>Ponieważ w sprawozdaniu</w:t>
      </w:r>
      <w:r w:rsidR="00746CF5">
        <w:t>, porównując algorytmy,</w:t>
      </w:r>
      <w:r>
        <w:t xml:space="preserve"> podaję </w:t>
      </w:r>
      <w:r w:rsidR="00746CF5">
        <w:t xml:space="preserve">ich </w:t>
      </w:r>
      <w:r>
        <w:t>czas działania, warto zamieścić przynajmniej częściowy opis platformy testowej</w:t>
      </w:r>
    </w:p>
    <w:tbl>
      <w:tblPr>
        <w:tblStyle w:val="Jasnalistaakcent1"/>
        <w:tblW w:w="0" w:type="auto"/>
        <w:tblLook w:val="04A0"/>
      </w:tblPr>
      <w:tblGrid>
        <w:gridCol w:w="3369"/>
        <w:gridCol w:w="5843"/>
      </w:tblGrid>
      <w:tr w:rsidR="00A11E97" w:rsidTr="00746CF5">
        <w:trPr>
          <w:cnfStyle w:val="100000000000"/>
        </w:trPr>
        <w:tc>
          <w:tcPr>
            <w:cnfStyle w:val="001000000000"/>
            <w:tcW w:w="3369" w:type="dxa"/>
          </w:tcPr>
          <w:p w:rsidR="00A11E97" w:rsidRDefault="00A11E97" w:rsidP="002C28D0">
            <w:pPr>
              <w:pStyle w:val="Bezodstpw"/>
            </w:pPr>
            <w:r>
              <w:t>Komponent</w:t>
            </w:r>
          </w:p>
        </w:tc>
        <w:tc>
          <w:tcPr>
            <w:tcW w:w="5843" w:type="dxa"/>
          </w:tcPr>
          <w:p w:rsidR="00A11E97" w:rsidRDefault="00A11E97" w:rsidP="002C28D0">
            <w:pPr>
              <w:pStyle w:val="Bezodstpw"/>
              <w:cnfStyle w:val="100000000000"/>
            </w:pPr>
            <w:r>
              <w:t>Opis</w:t>
            </w:r>
          </w:p>
        </w:tc>
      </w:tr>
      <w:tr w:rsidR="00A11E97" w:rsidTr="00746CF5">
        <w:trPr>
          <w:cnfStyle w:val="000000100000"/>
        </w:trPr>
        <w:tc>
          <w:tcPr>
            <w:cnfStyle w:val="001000000000"/>
            <w:tcW w:w="3369" w:type="dxa"/>
          </w:tcPr>
          <w:p w:rsidR="00A11E97" w:rsidRDefault="00A11E97" w:rsidP="002C28D0">
            <w:pPr>
              <w:pStyle w:val="Bezodstpw"/>
            </w:pPr>
            <w:r>
              <w:t>Oprogramowanie</w:t>
            </w:r>
          </w:p>
        </w:tc>
        <w:tc>
          <w:tcPr>
            <w:tcW w:w="5843" w:type="dxa"/>
          </w:tcPr>
          <w:p w:rsidR="00A11E97" w:rsidRDefault="00A11E97" w:rsidP="00A11E97">
            <w:pPr>
              <w:pStyle w:val="Bezodstpw"/>
              <w:cnfStyle w:val="000000100000"/>
            </w:pPr>
            <w:r>
              <w:t>MatLab 7.11.0 (R2010)</w:t>
            </w:r>
          </w:p>
        </w:tc>
      </w:tr>
      <w:tr w:rsidR="00A11E97" w:rsidTr="00746CF5">
        <w:tc>
          <w:tcPr>
            <w:cnfStyle w:val="001000000000"/>
            <w:tcW w:w="3369" w:type="dxa"/>
          </w:tcPr>
          <w:p w:rsidR="00A11E97" w:rsidRDefault="00A11E97" w:rsidP="002C28D0">
            <w:pPr>
              <w:pStyle w:val="Bezodstpw"/>
            </w:pPr>
            <w:r>
              <w:t>System operacyjny</w:t>
            </w:r>
          </w:p>
        </w:tc>
        <w:tc>
          <w:tcPr>
            <w:tcW w:w="5843" w:type="dxa"/>
          </w:tcPr>
          <w:p w:rsidR="00A11E97" w:rsidRDefault="00A11E97" w:rsidP="002C28D0">
            <w:pPr>
              <w:pStyle w:val="Bezodstpw"/>
              <w:cnfStyle w:val="000000000000"/>
            </w:pPr>
            <w:r>
              <w:t>Windows 7 Professional 64-bit</w:t>
            </w:r>
          </w:p>
        </w:tc>
      </w:tr>
      <w:tr w:rsidR="00A11E97" w:rsidTr="00746CF5">
        <w:trPr>
          <w:cnfStyle w:val="000000100000"/>
        </w:trPr>
        <w:tc>
          <w:tcPr>
            <w:cnfStyle w:val="001000000000"/>
            <w:tcW w:w="3369" w:type="dxa"/>
          </w:tcPr>
          <w:p w:rsidR="00A11E97" w:rsidRDefault="00A11E97" w:rsidP="002C28D0">
            <w:pPr>
              <w:pStyle w:val="Bezodstpw"/>
            </w:pPr>
            <w:r>
              <w:t>Procesor</w:t>
            </w:r>
          </w:p>
        </w:tc>
        <w:tc>
          <w:tcPr>
            <w:tcW w:w="5843" w:type="dxa"/>
          </w:tcPr>
          <w:p w:rsidR="00A11E97" w:rsidRDefault="00A11E97" w:rsidP="002C28D0">
            <w:pPr>
              <w:pStyle w:val="Bezodstpw"/>
              <w:cnfStyle w:val="000000100000"/>
            </w:pPr>
            <w:r>
              <w:t xml:space="preserve">Intel Pentium Dual Core </w:t>
            </w:r>
            <w:r w:rsidR="00746CF5">
              <w:t>E2180 2,0GHz</w:t>
            </w:r>
          </w:p>
        </w:tc>
      </w:tr>
      <w:tr w:rsidR="00746CF5" w:rsidTr="00746CF5">
        <w:tc>
          <w:tcPr>
            <w:cnfStyle w:val="001000000000"/>
            <w:tcW w:w="3369" w:type="dxa"/>
          </w:tcPr>
          <w:p w:rsidR="00746CF5" w:rsidRDefault="00746CF5" w:rsidP="002C28D0">
            <w:pPr>
              <w:pStyle w:val="Bezodstpw"/>
            </w:pPr>
            <w:r>
              <w:t>Zainstalowana pamięć operacyjna</w:t>
            </w:r>
          </w:p>
        </w:tc>
        <w:tc>
          <w:tcPr>
            <w:tcW w:w="5843" w:type="dxa"/>
          </w:tcPr>
          <w:p w:rsidR="00746CF5" w:rsidRDefault="00746CF5" w:rsidP="002C28D0">
            <w:pPr>
              <w:pStyle w:val="Bezodstpw"/>
              <w:cnfStyle w:val="000000000000"/>
            </w:pPr>
            <w:r>
              <w:t>2 GB</w:t>
            </w:r>
          </w:p>
        </w:tc>
      </w:tr>
    </w:tbl>
    <w:p w:rsidR="004B19C0" w:rsidRDefault="004B19C0" w:rsidP="0082777A">
      <w:pPr>
        <w:pStyle w:val="Nagwek1"/>
      </w:pPr>
      <w:r w:rsidRPr="0099077E">
        <w:t xml:space="preserve">Zastosowanie MRS do </w:t>
      </w:r>
      <w:r w:rsidRPr="0082777A">
        <w:t>rozwiązania</w:t>
      </w:r>
      <w:r w:rsidRPr="0099077E">
        <w:t xml:space="preserve"> równania konwekcji-dyfuzji</w:t>
      </w:r>
    </w:p>
    <w:p w:rsidR="00C433B2" w:rsidRPr="00C433B2" w:rsidRDefault="00C433B2" w:rsidP="00A11E97">
      <w:pPr>
        <w:pStyle w:val="Nagwek2"/>
      </w:pPr>
      <w:r>
        <w:t xml:space="preserve">Błędy </w:t>
      </w:r>
      <w:r w:rsidRPr="0082777A">
        <w:t>aproksymacji</w:t>
      </w:r>
    </w:p>
    <w:p w:rsidR="00C433B2" w:rsidRDefault="00C433B2" w:rsidP="00C433B2">
      <w:r>
        <w:t>By obliczyć błędy</w:t>
      </w:r>
      <w:r w:rsidR="00B4461D">
        <w:t xml:space="preserve"> aproksymacji</w:t>
      </w:r>
      <w:r>
        <w:t xml:space="preserve">, </w:t>
      </w:r>
      <w:r w:rsidR="00B4461D">
        <w:t>napisałem mały program</w:t>
      </w:r>
      <w:r w:rsidR="00A11E97">
        <w:t>,</w:t>
      </w:r>
      <w:r w:rsidR="00B4461D">
        <w:t xml:space="preserve"> którego zadaniem było </w:t>
      </w:r>
      <w:r>
        <w:t xml:space="preserve">– dla każdej wybranej wartości n </w:t>
      </w:r>
      <w:r w:rsidR="0082777A">
        <w:t>(5, 10, 50, 100</w:t>
      </w:r>
      <w:r w:rsidR="008D4E63">
        <w:t>, 500</w:t>
      </w:r>
      <w:r w:rsidR="0082777A">
        <w:t xml:space="preserve">) </w:t>
      </w:r>
      <w:r>
        <w:t xml:space="preserve">– policzyć wynik </w:t>
      </w:r>
      <w:r w:rsidR="00B4461D">
        <w:t xml:space="preserve">dokładny, </w:t>
      </w:r>
      <w:r>
        <w:t xml:space="preserve">a także wynik przybliżony. </w:t>
      </w:r>
      <w:r w:rsidR="0082777A">
        <w:t>Obliczenia przeprowadzałem na 4 zestawach parametrów wejściowych podanych w treści zadania</w:t>
      </w:r>
      <w:r w:rsidR="00E20391">
        <w:t>.</w:t>
      </w:r>
    </w:p>
    <w:tbl>
      <w:tblPr>
        <w:tblStyle w:val="Jasnecieniowanieakcent1"/>
        <w:tblW w:w="0" w:type="auto"/>
        <w:jc w:val="center"/>
        <w:tblLook w:val="04A0"/>
      </w:tblPr>
      <w:tblGrid>
        <w:gridCol w:w="1193"/>
        <w:gridCol w:w="1193"/>
        <w:gridCol w:w="1193"/>
        <w:gridCol w:w="1194"/>
        <w:gridCol w:w="1194"/>
      </w:tblGrid>
      <w:tr w:rsidR="0082777A" w:rsidTr="00E20391">
        <w:trPr>
          <w:cnfStyle w:val="100000000000"/>
          <w:trHeight w:val="279"/>
          <w:jc w:val="center"/>
        </w:trPr>
        <w:tc>
          <w:tcPr>
            <w:cnfStyle w:val="001000000000"/>
            <w:tcW w:w="1193" w:type="dxa"/>
          </w:tcPr>
          <w:p w:rsidR="0082777A" w:rsidRPr="0082777A" w:rsidRDefault="0082777A" w:rsidP="0082777A">
            <w:pPr>
              <w:jc w:val="center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193" w:type="dxa"/>
          </w:tcPr>
          <w:p w:rsidR="0082777A" w:rsidRPr="0082777A" w:rsidRDefault="0082777A" w:rsidP="0082777A">
            <w:pPr>
              <w:jc w:val="center"/>
              <w:cnfStyle w:val="10000000000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1193" w:type="dxa"/>
          </w:tcPr>
          <w:p w:rsidR="0082777A" w:rsidRPr="0082777A" w:rsidRDefault="0082777A" w:rsidP="0082777A">
            <w:pPr>
              <w:jc w:val="center"/>
              <w:cnfStyle w:val="100000000000"/>
              <w:rPr>
                <w:b w:val="0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194" w:type="dxa"/>
          </w:tcPr>
          <w:p w:rsidR="0082777A" w:rsidRPr="0082777A" w:rsidRDefault="0082777A" w:rsidP="0082777A">
            <w:pPr>
              <w:jc w:val="center"/>
              <w:cnfStyle w:val="100000000000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4" w:type="dxa"/>
          </w:tcPr>
          <w:p w:rsidR="0082777A" w:rsidRPr="0082777A" w:rsidRDefault="0082777A" w:rsidP="0082777A">
            <w:pPr>
              <w:jc w:val="center"/>
              <w:cnfStyle w:val="100000000000"/>
              <w:rPr>
                <w:b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2777A" w:rsidTr="00E20391">
        <w:trPr>
          <w:cnfStyle w:val="000000100000"/>
          <w:trHeight w:val="279"/>
          <w:jc w:val="center"/>
        </w:trPr>
        <w:tc>
          <w:tcPr>
            <w:cnfStyle w:val="001000000000"/>
            <w:tcW w:w="1193" w:type="dxa"/>
          </w:tcPr>
          <w:p w:rsidR="0082777A" w:rsidRPr="0082777A" w:rsidRDefault="0082777A" w:rsidP="0082777A">
            <w:pPr>
              <w:jc w:val="center"/>
              <w:rPr>
                <w:b w:val="0"/>
              </w:rPr>
            </w:pPr>
            <w:r w:rsidRPr="0082777A">
              <w:rPr>
                <w:b w:val="0"/>
              </w:rPr>
              <w:t>2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0</w:t>
            </w:r>
          </w:p>
        </w:tc>
      </w:tr>
      <w:tr w:rsidR="0082777A" w:rsidTr="00E20391">
        <w:trPr>
          <w:trHeight w:val="264"/>
          <w:jc w:val="center"/>
        </w:trPr>
        <w:tc>
          <w:tcPr>
            <w:cnfStyle w:val="001000000000"/>
            <w:tcW w:w="1193" w:type="dxa"/>
          </w:tcPr>
          <w:p w:rsidR="0082777A" w:rsidRPr="0082777A" w:rsidRDefault="0082777A" w:rsidP="0082777A">
            <w:pPr>
              <w:jc w:val="center"/>
              <w:rPr>
                <w:b w:val="0"/>
              </w:rPr>
            </w:pPr>
            <w:r w:rsidRPr="0082777A">
              <w:rPr>
                <w:b w:val="0"/>
              </w:rPr>
              <w:t>2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0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1</w:t>
            </w:r>
          </w:p>
        </w:tc>
      </w:tr>
      <w:tr w:rsidR="0082777A" w:rsidTr="00E20391">
        <w:trPr>
          <w:cnfStyle w:val="000000100000"/>
          <w:trHeight w:val="264"/>
          <w:jc w:val="center"/>
        </w:trPr>
        <w:tc>
          <w:tcPr>
            <w:cnfStyle w:val="001000000000"/>
            <w:tcW w:w="1193" w:type="dxa"/>
          </w:tcPr>
          <w:p w:rsidR="0082777A" w:rsidRPr="0082777A" w:rsidRDefault="0082777A" w:rsidP="0082777A">
            <w:pPr>
              <w:jc w:val="center"/>
              <w:rPr>
                <w:b w:val="0"/>
              </w:rPr>
            </w:pPr>
            <w:r w:rsidRPr="0082777A">
              <w:rPr>
                <w:b w:val="0"/>
              </w:rPr>
              <w:t>2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100000"/>
            </w:pPr>
            <w:r>
              <w:t>1</w:t>
            </w:r>
          </w:p>
        </w:tc>
      </w:tr>
      <w:tr w:rsidR="0082777A" w:rsidTr="00E20391">
        <w:trPr>
          <w:trHeight w:val="264"/>
          <w:jc w:val="center"/>
        </w:trPr>
        <w:tc>
          <w:tcPr>
            <w:cnfStyle w:val="001000000000"/>
            <w:tcW w:w="1193" w:type="dxa"/>
          </w:tcPr>
          <w:p w:rsidR="0082777A" w:rsidRPr="0082777A" w:rsidRDefault="0082777A" w:rsidP="0082777A">
            <w:pPr>
              <w:jc w:val="center"/>
              <w:rPr>
                <w:b w:val="0"/>
              </w:rPr>
            </w:pPr>
            <w:r w:rsidRPr="0082777A">
              <w:rPr>
                <w:b w:val="0"/>
              </w:rPr>
              <w:t>5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193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194" w:type="dxa"/>
          </w:tcPr>
          <w:p w:rsidR="0082777A" w:rsidRDefault="0082777A" w:rsidP="0082777A">
            <w:pPr>
              <w:jc w:val="center"/>
              <w:cnfStyle w:val="000000000000"/>
            </w:pPr>
            <w:r>
              <w:t>20</w:t>
            </w:r>
          </w:p>
        </w:tc>
      </w:tr>
    </w:tbl>
    <w:p w:rsidR="0082777A" w:rsidRDefault="0082777A" w:rsidP="00C433B2"/>
    <w:p w:rsidR="0082777A" w:rsidRDefault="0082777A" w:rsidP="00C433B2">
      <w:r>
        <w:t xml:space="preserve">Wyniki </w:t>
      </w:r>
      <w:r w:rsidR="00A526CB">
        <w:t xml:space="preserve">podsumowuje </w:t>
      </w:r>
      <w:r>
        <w:t>przedstawia poniższa tabela:</w:t>
      </w:r>
    </w:p>
    <w:tbl>
      <w:tblPr>
        <w:tblStyle w:val="rednialista2akcent1"/>
        <w:tblW w:w="0" w:type="auto"/>
        <w:tblLayout w:type="fixed"/>
        <w:tblLook w:val="04A0"/>
      </w:tblPr>
      <w:tblGrid>
        <w:gridCol w:w="959"/>
        <w:gridCol w:w="2751"/>
        <w:gridCol w:w="2751"/>
        <w:gridCol w:w="2751"/>
      </w:tblGrid>
      <w:tr w:rsidR="0082777A" w:rsidTr="0082777A">
        <w:trPr>
          <w:cnfStyle w:val="100000000000"/>
        </w:trPr>
        <w:tc>
          <w:tcPr>
            <w:cnfStyle w:val="001000000100"/>
            <w:tcW w:w="959" w:type="dxa"/>
          </w:tcPr>
          <w:p w:rsidR="0082777A" w:rsidRPr="0082777A" w:rsidRDefault="0082777A" w:rsidP="00C433B2"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" w:hAnsi="Cambria"/>
                  </w:rPr>
                  <m:t>=</m:t>
                </m:r>
              </m:oMath>
            </m:oMathPara>
          </w:p>
        </w:tc>
        <w:tc>
          <w:tcPr>
            <w:tcW w:w="2751" w:type="dxa"/>
          </w:tcPr>
          <w:p w:rsidR="0082777A" w:rsidRDefault="0082777A" w:rsidP="0082777A">
            <w:pPr>
              <w:jc w:val="center"/>
              <w:cnfStyle w:val="100000000000"/>
            </w:pPr>
            <w:r>
              <w:t>Błąd maksymalny</w:t>
            </w:r>
          </w:p>
        </w:tc>
        <w:tc>
          <w:tcPr>
            <w:tcW w:w="2751" w:type="dxa"/>
          </w:tcPr>
          <w:p w:rsidR="0082777A" w:rsidRDefault="0082777A" w:rsidP="0082777A">
            <w:pPr>
              <w:jc w:val="center"/>
              <w:cnfStyle w:val="100000000000"/>
            </w:pPr>
            <w:r>
              <w:t>Bł. średni</w:t>
            </w:r>
          </w:p>
        </w:tc>
        <w:tc>
          <w:tcPr>
            <w:tcW w:w="2751" w:type="dxa"/>
          </w:tcPr>
          <w:p w:rsidR="0082777A" w:rsidRDefault="0082777A" w:rsidP="0082777A">
            <w:pPr>
              <w:jc w:val="center"/>
              <w:cnfStyle w:val="100000000000"/>
            </w:pPr>
            <w:r>
              <w:t>Bł. minimalny</w:t>
            </w:r>
          </w:p>
        </w:tc>
      </w:tr>
      <w:tr w:rsidR="0082777A" w:rsidTr="0082777A">
        <w:trPr>
          <w:cnfStyle w:val="000000100000"/>
        </w:trPr>
        <w:tc>
          <w:tcPr>
            <w:cnfStyle w:val="001000000000"/>
            <w:tcW w:w="959" w:type="dxa"/>
          </w:tcPr>
          <w:p w:rsidR="0082777A" w:rsidRDefault="0082777A" w:rsidP="00C433B2">
            <w:r>
              <w:t>5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100000"/>
            </w:pPr>
            <w:r>
              <w:t>0,6987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100000"/>
            </w:pPr>
            <w:r>
              <w:t>0,05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100000"/>
            </w:pPr>
            <w:r>
              <w:t>0,0020</w:t>
            </w:r>
          </w:p>
        </w:tc>
      </w:tr>
      <w:tr w:rsidR="0082777A" w:rsidTr="0082777A">
        <w:tc>
          <w:tcPr>
            <w:cnfStyle w:val="001000000000"/>
            <w:tcW w:w="959" w:type="dxa"/>
          </w:tcPr>
          <w:p w:rsidR="0082777A" w:rsidRDefault="0082777A" w:rsidP="00C433B2">
            <w:r>
              <w:t>10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000000"/>
            </w:pPr>
            <w:r>
              <w:t>0,7065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000000"/>
            </w:pPr>
            <w:r>
              <w:t>0,0112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000000"/>
            </w:pPr>
            <w:r>
              <w:t>0,</w:t>
            </w:r>
            <w:r w:rsidR="008D4E63">
              <w:t>00</w:t>
            </w:r>
            <w:r>
              <w:t>035087</w:t>
            </w:r>
          </w:p>
        </w:tc>
      </w:tr>
      <w:tr w:rsidR="0082777A" w:rsidTr="0082777A">
        <w:trPr>
          <w:cnfStyle w:val="000000100000"/>
        </w:trPr>
        <w:tc>
          <w:tcPr>
            <w:cnfStyle w:val="001000000000"/>
            <w:tcW w:w="959" w:type="dxa"/>
          </w:tcPr>
          <w:p w:rsidR="0082777A" w:rsidRDefault="0082777A" w:rsidP="00C433B2">
            <w:r>
              <w:t>50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100000"/>
            </w:pPr>
            <w:r>
              <w:t>0,7089</w:t>
            </w:r>
          </w:p>
        </w:tc>
        <w:tc>
          <w:tcPr>
            <w:tcW w:w="2751" w:type="dxa"/>
          </w:tcPr>
          <w:p w:rsidR="0082777A" w:rsidRDefault="0082777A" w:rsidP="008D4E63">
            <w:pPr>
              <w:cnfStyle w:val="000000100000"/>
            </w:pPr>
            <w:r>
              <w:t>0,00041198</w:t>
            </w:r>
          </w:p>
        </w:tc>
        <w:tc>
          <w:tcPr>
            <w:tcW w:w="2751" w:type="dxa"/>
          </w:tcPr>
          <w:p w:rsidR="0082777A" w:rsidRDefault="008D4E63" w:rsidP="008D4E63">
            <w:pPr>
              <w:cnfStyle w:val="000000100000"/>
            </w:pPr>
            <w:r>
              <w:t>0,0000027533</w:t>
            </w:r>
          </w:p>
        </w:tc>
      </w:tr>
      <w:tr w:rsidR="0082777A" w:rsidTr="0082777A">
        <w:tc>
          <w:tcPr>
            <w:cnfStyle w:val="001000000000"/>
            <w:tcW w:w="959" w:type="dxa"/>
          </w:tcPr>
          <w:p w:rsidR="0082777A" w:rsidRDefault="0082777A" w:rsidP="00C433B2">
            <w:r>
              <w:t>100</w:t>
            </w:r>
          </w:p>
        </w:tc>
        <w:tc>
          <w:tcPr>
            <w:tcW w:w="2751" w:type="dxa"/>
          </w:tcPr>
          <w:p w:rsidR="0082777A" w:rsidRDefault="008D4E63" w:rsidP="008D4E63">
            <w:pPr>
              <w:cnfStyle w:val="000000000000"/>
            </w:pPr>
            <w:r>
              <w:t>0.7091</w:t>
            </w:r>
          </w:p>
        </w:tc>
        <w:tc>
          <w:tcPr>
            <w:tcW w:w="2751" w:type="dxa"/>
          </w:tcPr>
          <w:p w:rsidR="0082777A" w:rsidRDefault="008D4E63" w:rsidP="008D4E63">
            <w:pPr>
              <w:cnfStyle w:val="000000000000"/>
            </w:pPr>
            <w:r>
              <w:t>0,00010196</w:t>
            </w:r>
          </w:p>
        </w:tc>
        <w:tc>
          <w:tcPr>
            <w:tcW w:w="2751" w:type="dxa"/>
          </w:tcPr>
          <w:p w:rsidR="0082777A" w:rsidRDefault="008D4E63" w:rsidP="008D4E63">
            <w:pPr>
              <w:cnfStyle w:val="000000000000"/>
            </w:pPr>
            <w:r>
              <w:t>0,00000034334</w:t>
            </w:r>
          </w:p>
        </w:tc>
      </w:tr>
      <w:tr w:rsidR="008D4E63" w:rsidTr="0082777A">
        <w:trPr>
          <w:cnfStyle w:val="000000100000"/>
        </w:trPr>
        <w:tc>
          <w:tcPr>
            <w:cnfStyle w:val="001000000000"/>
            <w:tcW w:w="959" w:type="dxa"/>
          </w:tcPr>
          <w:p w:rsidR="008D4E63" w:rsidRDefault="008D4E63" w:rsidP="00C433B2">
            <w:r>
              <w:t>500</w:t>
            </w:r>
          </w:p>
        </w:tc>
        <w:tc>
          <w:tcPr>
            <w:tcW w:w="2751" w:type="dxa"/>
          </w:tcPr>
          <w:p w:rsidR="008D4E63" w:rsidRDefault="008D4E63" w:rsidP="008D4E63">
            <w:pPr>
              <w:cnfStyle w:val="000000100000"/>
            </w:pPr>
            <w:r>
              <w:t>0,7091</w:t>
            </w:r>
          </w:p>
        </w:tc>
        <w:tc>
          <w:tcPr>
            <w:tcW w:w="2751" w:type="dxa"/>
          </w:tcPr>
          <w:p w:rsidR="008D4E63" w:rsidRDefault="008D4E63" w:rsidP="008D4E63">
            <w:pPr>
              <w:cnfStyle w:val="000000100000"/>
            </w:pPr>
            <w:r>
              <w:t>0,0000040459</w:t>
            </w:r>
          </w:p>
        </w:tc>
        <w:tc>
          <w:tcPr>
            <w:tcW w:w="2751" w:type="dxa"/>
          </w:tcPr>
          <w:p w:rsidR="008D4E63" w:rsidRDefault="008D4E63" w:rsidP="008D4E63">
            <w:pPr>
              <w:cnfStyle w:val="000000100000"/>
            </w:pPr>
            <w:r>
              <w:t>0,0000000027415</w:t>
            </w:r>
          </w:p>
        </w:tc>
      </w:tr>
    </w:tbl>
    <w:p w:rsidR="00C433B2" w:rsidRDefault="00A11E97" w:rsidP="00A11E97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2278380</wp:posOffset>
            </wp:positionH>
            <wp:positionV relativeFrom="paragraph">
              <wp:posOffset>-99695</wp:posOffset>
            </wp:positionV>
            <wp:extent cx="3658870" cy="278130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4E63">
        <w:t>Łatwo zauważyć, że wraz ze wzrostem wartości liczby n maleje błąd minimalny i średni błąd aproksymacji. Wydaje się, że ów błędy maleją proporcjonalnie do kwadratu liczby n. Błąd maksymalny natomiast się nie zmienia.</w:t>
      </w:r>
      <w:r w:rsidR="00205A63">
        <w:t xml:space="preserve"> Gdy przedstawi się błąd aproksymacji na wykresie</w:t>
      </w:r>
      <w:r>
        <w:t>,</w:t>
      </w:r>
      <w:r w:rsidR="00205A63">
        <w:t xml:space="preserve"> przyczyna staje się jasna – błąd jest minimalny na granicy przedziału natomiast pośrodku osiąga swoje maksimum o wartości ok. 0,7091. </w:t>
      </w:r>
      <w:r>
        <w:t xml:space="preserve">Wykres zależności błędu aproksymacji dla wartości n=500 zamieściłem </w:t>
      </w:r>
      <w:r w:rsidR="00A526CB">
        <w:t>obok</w:t>
      </w:r>
      <w:r>
        <w:t>.</w:t>
      </w:r>
    </w:p>
    <w:p w:rsidR="00A526CB" w:rsidRDefault="00A526CB" w:rsidP="00A11E97">
      <w:pPr>
        <w:pStyle w:val="Nagwek2"/>
      </w:pPr>
    </w:p>
    <w:p w:rsidR="00A11E97" w:rsidRDefault="00A11E97" w:rsidP="00A11E97">
      <w:pPr>
        <w:pStyle w:val="Nagwek2"/>
      </w:pPr>
      <w:r>
        <w:t>Szybkość działania</w:t>
      </w:r>
    </w:p>
    <w:p w:rsidR="00A11E97" w:rsidRDefault="00A11E97" w:rsidP="00A11E97">
      <w:r>
        <w:t>Podobnie jak wcześniej, do porównania szybkości działania stworzonych funkcji wykorzystałem mały program wywołujący funkcje wiele razy i zbierający statystyki wywołań.</w:t>
      </w:r>
      <w:r w:rsidR="00551537">
        <w:t xml:space="preserve"> Porównywałem 3 metody rozwiązywania układu równań liniowych: metody polegającej na wyznaczeniu macierzy odwrotnej, metody wbudowanej w program MatLab (metoda eliminacji Gaussa) oraz własnej implementacji eliminacji Gaussa. Każdy test wywołałem 10-krotnie by zmniejszyć zakłócenia mierzonych czasów.</w:t>
      </w:r>
    </w:p>
    <w:tbl>
      <w:tblPr>
        <w:tblStyle w:val="rednialista2akcent1"/>
        <w:tblW w:w="0" w:type="auto"/>
        <w:tblLook w:val="04A0"/>
      </w:tblPr>
      <w:tblGrid>
        <w:gridCol w:w="817"/>
        <w:gridCol w:w="2798"/>
        <w:gridCol w:w="2798"/>
        <w:gridCol w:w="2799"/>
      </w:tblGrid>
      <w:tr w:rsidR="00BC3CC3" w:rsidTr="00BC3CC3">
        <w:trPr>
          <w:cnfStyle w:val="100000000000"/>
        </w:trPr>
        <w:tc>
          <w:tcPr>
            <w:cnfStyle w:val="001000000100"/>
            <w:tcW w:w="817" w:type="dxa"/>
          </w:tcPr>
          <w:p w:rsidR="00BC3CC3" w:rsidRDefault="00BC3CC3" w:rsidP="00A11E97">
            <w:r>
              <w:t>n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100000000000"/>
            </w:pPr>
            <w:r>
              <w:t>inv(A)*B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100000000000"/>
            </w:pPr>
            <w:r>
              <w:t>A\B</w:t>
            </w:r>
          </w:p>
        </w:tc>
        <w:tc>
          <w:tcPr>
            <w:tcW w:w="2799" w:type="dxa"/>
          </w:tcPr>
          <w:p w:rsidR="00BC3CC3" w:rsidRDefault="00BC3CC3" w:rsidP="00BC3CC3">
            <w:pPr>
              <w:cnfStyle w:val="100000000000"/>
            </w:pPr>
            <w:r>
              <w:t>Własna impl. Gaussa</w:t>
            </w:r>
          </w:p>
        </w:tc>
      </w:tr>
      <w:tr w:rsidR="00BC3CC3" w:rsidTr="00BC3CC3">
        <w:trPr>
          <w:cnfStyle w:val="000000100000"/>
        </w:trPr>
        <w:tc>
          <w:tcPr>
            <w:cnfStyle w:val="001000000000"/>
            <w:tcW w:w="817" w:type="dxa"/>
          </w:tcPr>
          <w:p w:rsidR="00BC3CC3" w:rsidRDefault="00BC3CC3" w:rsidP="00A11E97">
            <w:r>
              <w:t>5</w:t>
            </w:r>
          </w:p>
        </w:tc>
        <w:tc>
          <w:tcPr>
            <w:tcW w:w="2798" w:type="dxa"/>
          </w:tcPr>
          <w:p w:rsidR="00BC3CC3" w:rsidRDefault="00BC3CC3" w:rsidP="00BC3CC3">
            <w:pPr>
              <w:cnfStyle w:val="000000100000"/>
            </w:pPr>
            <w:r>
              <w:t>0,0004975</w:t>
            </w:r>
          </w:p>
        </w:tc>
        <w:tc>
          <w:tcPr>
            <w:tcW w:w="2798" w:type="dxa"/>
          </w:tcPr>
          <w:p w:rsidR="00BC3CC3" w:rsidRDefault="00BC3CC3" w:rsidP="00BC3CC3">
            <w:pPr>
              <w:cnfStyle w:val="000000100000"/>
            </w:pPr>
            <w:r>
              <w:t>0,0002937</w:t>
            </w:r>
          </w:p>
        </w:tc>
        <w:tc>
          <w:tcPr>
            <w:tcW w:w="2799" w:type="dxa"/>
          </w:tcPr>
          <w:p w:rsidR="00BC3CC3" w:rsidRDefault="00BC3CC3" w:rsidP="00BC3CC3">
            <w:pPr>
              <w:cnfStyle w:val="000000100000"/>
            </w:pPr>
            <w:r>
              <w:t>0,0003495</w:t>
            </w:r>
          </w:p>
        </w:tc>
      </w:tr>
      <w:tr w:rsidR="00BC3CC3" w:rsidTr="00BC3CC3">
        <w:tc>
          <w:tcPr>
            <w:cnfStyle w:val="001000000000"/>
            <w:tcW w:w="817" w:type="dxa"/>
          </w:tcPr>
          <w:p w:rsidR="00BC3CC3" w:rsidRDefault="00BC3CC3" w:rsidP="00A11E97">
            <w:r>
              <w:t>10</w:t>
            </w:r>
          </w:p>
        </w:tc>
        <w:tc>
          <w:tcPr>
            <w:tcW w:w="2798" w:type="dxa"/>
          </w:tcPr>
          <w:p w:rsidR="00BC3CC3" w:rsidRDefault="00BC3CC3" w:rsidP="00BC3CC3">
            <w:pPr>
              <w:cnfStyle w:val="000000000000"/>
            </w:pPr>
            <w:r>
              <w:t>0,0008685</w:t>
            </w:r>
          </w:p>
        </w:tc>
        <w:tc>
          <w:tcPr>
            <w:tcW w:w="2798" w:type="dxa"/>
          </w:tcPr>
          <w:p w:rsidR="00BC3CC3" w:rsidRDefault="00BC3CC3" w:rsidP="00BC3CC3">
            <w:pPr>
              <w:cnfStyle w:val="000000000000"/>
            </w:pPr>
            <w:r>
              <w:t>0,0003153</w:t>
            </w:r>
          </w:p>
        </w:tc>
        <w:tc>
          <w:tcPr>
            <w:tcW w:w="2799" w:type="dxa"/>
          </w:tcPr>
          <w:p w:rsidR="00BC3CC3" w:rsidRDefault="00BC3CC3" w:rsidP="00BC3CC3">
            <w:pPr>
              <w:cnfStyle w:val="000000000000"/>
            </w:pPr>
            <w:r>
              <w:t>0,0005075</w:t>
            </w:r>
          </w:p>
        </w:tc>
      </w:tr>
      <w:tr w:rsidR="00BC3CC3" w:rsidTr="00BC3CC3">
        <w:trPr>
          <w:cnfStyle w:val="000000100000"/>
        </w:trPr>
        <w:tc>
          <w:tcPr>
            <w:cnfStyle w:val="001000000000"/>
            <w:tcW w:w="817" w:type="dxa"/>
          </w:tcPr>
          <w:p w:rsidR="00BC3CC3" w:rsidRDefault="00BC3CC3" w:rsidP="00A11E97">
            <w:r>
              <w:t>50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100000"/>
            </w:pPr>
            <w:r>
              <w:t>0,0015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100000"/>
            </w:pPr>
            <w:r>
              <w:t>0,0008</w:t>
            </w:r>
          </w:p>
        </w:tc>
        <w:tc>
          <w:tcPr>
            <w:tcW w:w="2799" w:type="dxa"/>
          </w:tcPr>
          <w:p w:rsidR="00BC3CC3" w:rsidRDefault="00BC3CC3" w:rsidP="00A11E97">
            <w:pPr>
              <w:cnfStyle w:val="000000100000"/>
            </w:pPr>
            <w:r>
              <w:t>0,0025</w:t>
            </w:r>
          </w:p>
        </w:tc>
      </w:tr>
      <w:tr w:rsidR="00BC3CC3" w:rsidTr="00BC3CC3">
        <w:tc>
          <w:tcPr>
            <w:cnfStyle w:val="001000000000"/>
            <w:tcW w:w="817" w:type="dxa"/>
          </w:tcPr>
          <w:p w:rsidR="00BC3CC3" w:rsidRDefault="00BC3CC3" w:rsidP="00A11E97">
            <w:r>
              <w:t>100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000000"/>
            </w:pPr>
            <w:r>
              <w:t>0,0032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000000"/>
            </w:pPr>
            <w:r>
              <w:t>0,0014</w:t>
            </w:r>
          </w:p>
        </w:tc>
        <w:tc>
          <w:tcPr>
            <w:tcW w:w="2799" w:type="dxa"/>
          </w:tcPr>
          <w:p w:rsidR="00BC3CC3" w:rsidRDefault="00BC3CC3" w:rsidP="00A11E97">
            <w:pPr>
              <w:cnfStyle w:val="000000000000"/>
            </w:pPr>
            <w:r>
              <w:t>0,0085</w:t>
            </w:r>
          </w:p>
        </w:tc>
      </w:tr>
      <w:tr w:rsidR="00BC3CC3" w:rsidTr="00BC3CC3">
        <w:trPr>
          <w:cnfStyle w:val="000000100000"/>
        </w:trPr>
        <w:tc>
          <w:tcPr>
            <w:cnfStyle w:val="001000000000"/>
            <w:tcW w:w="817" w:type="dxa"/>
          </w:tcPr>
          <w:p w:rsidR="00BC3CC3" w:rsidRDefault="00BC3CC3" w:rsidP="00A11E97">
            <w:r>
              <w:t>500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100000"/>
            </w:pPr>
            <w:r>
              <w:t>0,0977</w:t>
            </w:r>
          </w:p>
        </w:tc>
        <w:tc>
          <w:tcPr>
            <w:tcW w:w="2798" w:type="dxa"/>
          </w:tcPr>
          <w:p w:rsidR="00BC3CC3" w:rsidRDefault="00BC3CC3" w:rsidP="00A11E97">
            <w:pPr>
              <w:cnfStyle w:val="000000100000"/>
            </w:pPr>
            <w:r>
              <w:t>0,03</w:t>
            </w:r>
          </w:p>
        </w:tc>
        <w:tc>
          <w:tcPr>
            <w:tcW w:w="2799" w:type="dxa"/>
          </w:tcPr>
          <w:p w:rsidR="00BC3CC3" w:rsidRDefault="00BC3CC3" w:rsidP="00A11E97">
            <w:pPr>
              <w:cnfStyle w:val="000000100000"/>
            </w:pPr>
            <w:r>
              <w:t>1,7598</w:t>
            </w:r>
          </w:p>
        </w:tc>
      </w:tr>
    </w:tbl>
    <w:p w:rsidR="00551537" w:rsidRDefault="00551537" w:rsidP="00A11E97"/>
    <w:p w:rsidR="00BC3CC3" w:rsidRDefault="00BC3CC3" w:rsidP="00A11E97">
      <w:r>
        <w:t>Zgodnie z oczekiwaniami, wbudowana implementacja eliminacji Gaussa okazała się najszybsza; najwolniejsza okazała się własna implementacja co nie powinno dziwić  - została napisana bez żadnych modyfikacji mających przyspieszyć jej działanie. Stosunkowo dobrze wypadła metoda polegająca na odwróceniu macierzy – działała średnio 2-3x dłużej niż najszybsza metoda.</w:t>
      </w:r>
    </w:p>
    <w:p w:rsidR="00DC2C30" w:rsidRDefault="00DC2C30" w:rsidP="00A11E97"/>
    <w:p w:rsidR="00DC2C30" w:rsidRDefault="00DC2C30" w:rsidP="00DC2C30">
      <w:pPr>
        <w:pStyle w:val="Nagwek2"/>
      </w:pPr>
      <w:r>
        <w:t>Wnioski</w:t>
      </w:r>
    </w:p>
    <w:p w:rsidR="00DC2C30" w:rsidRDefault="006174D9" w:rsidP="00DC2C30">
      <w:r>
        <w:t>Mimo, że zarówno badanie błędów aproksymacji może – dla niektórych danych wejściowych – wprowadzać w błąd podając sprzeczne ze zdrowym rozsądkiem wyniki, oraz mimo, że porównywanie czasów działania różnych algorytmów jest rzeczą trudną o ile w ogóle możliwą, to udało się uzyskać rozsądne wyniki, które potwierdzają teorię jak i przypuszczenia.</w:t>
      </w:r>
    </w:p>
    <w:p w:rsidR="006174D9" w:rsidRPr="00DC2C30" w:rsidRDefault="006174D9" w:rsidP="00DC2C30">
      <w:r>
        <w:t xml:space="preserve">Wraz z dwukrotnym wzrostem liczby n, czterokrotnie maleje błąd minimalny. Odbywa się to oczywiście kosztem czasu działania, jednak – jak zobaczyliśmy – dla n=500 wbudowana metoda eliminacji Gaussa radzi sobie doskonale i generuje wynik średnio w 0,03 sekundy. Okazało się też </w:t>
      </w:r>
      <w:r>
        <w:lastRenderedPageBreak/>
        <w:t>niestety, że pisanie własnych implementacji niektórych algorytmów – oprócz wątpliwej sensowności duplikowania kodu – może powodować zmniejszenie wydajności programu o kilka rzędów wielkości nawet dla stosunkowo niewielkich danych.</w:t>
      </w:r>
    </w:p>
    <w:p w:rsidR="004B19C0" w:rsidRDefault="004B19C0" w:rsidP="0082777A">
      <w:pPr>
        <w:pStyle w:val="Nagwek1"/>
      </w:pPr>
      <w:r w:rsidRPr="0099077E">
        <w:t>Zastosowanie MRS do rozwiązania równania przewodnictwa ciepła</w:t>
      </w:r>
    </w:p>
    <w:p w:rsidR="00852A0C" w:rsidRDefault="00852A0C" w:rsidP="00852A0C">
      <w:pPr>
        <w:pStyle w:val="Nagwek2"/>
      </w:pPr>
      <w:r>
        <w:t>Omówienie</w:t>
      </w:r>
    </w:p>
    <w:p w:rsidR="00195871" w:rsidRDefault="00195871" w:rsidP="00195871">
      <w:r>
        <w:t xml:space="preserve">W czasie rozwiązywania tej części zadania boleśnie dała mi się we znaki wrażliwość przedstawionej metody jawnej na dane wejściowe – mimo, że dane </w:t>
      </w:r>
      <w:r w:rsidRPr="00195871">
        <w:rPr>
          <w:i/>
        </w:rPr>
        <w:t>wydawały się</w:t>
      </w:r>
      <w:r>
        <w:t xml:space="preserve"> odpowiednie, program generował całkowicie bezsensowne wyniki. Po bardzo długich poszukiwaniach błędu okazało się, że wszystkiemu winne są złe parametry przekazane do programu.</w:t>
      </w:r>
    </w:p>
    <w:p w:rsidR="00CB239A" w:rsidRDefault="00CB239A" w:rsidP="00CB239A">
      <w:pPr>
        <w:pStyle w:val="Nagwek2"/>
      </w:pPr>
      <w:r>
        <w:t>Wyniki</w:t>
      </w:r>
    </w:p>
    <w:p w:rsidR="00CB239A" w:rsidRDefault="00CB239A" w:rsidP="00CB239A">
      <w:r>
        <w:t>Po wprowadzeniu następujących parametrów:</w:t>
      </w:r>
    </w:p>
    <w:tbl>
      <w:tblPr>
        <w:tblStyle w:val="Jasnecieniowanieakcent1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CB239A" w:rsidTr="00CB239A">
        <w:trPr>
          <w:cnfStyle w:val="100000000000"/>
        </w:trPr>
        <w:tc>
          <w:tcPr>
            <w:cnfStyle w:val="001000000000"/>
            <w:tcW w:w="1023" w:type="dxa"/>
          </w:tcPr>
          <w:p w:rsidR="00CB239A" w:rsidRDefault="00CB239A" w:rsidP="00CB239A">
            <w:pPr>
              <w:jc w:val="center"/>
            </w:pPr>
            <w:r>
              <w:t>a</w:t>
            </w:r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f(x)≡</m:t>
                </m:r>
              </m:oMath>
            </m:oMathPara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g(x)≡</m:t>
                </m:r>
              </m:oMath>
            </m:oMathPara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φ(x)≡</m:t>
                </m:r>
              </m:oMath>
            </m:oMathPara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100000000000"/>
            </w:pPr>
            <w:r>
              <w:t>n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1000000000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CB239A" w:rsidTr="00CB239A">
        <w:trPr>
          <w:cnfStyle w:val="000000100000"/>
        </w:trPr>
        <w:tc>
          <w:tcPr>
            <w:cnfStyle w:val="001000000000"/>
            <w:tcW w:w="1023" w:type="dxa"/>
          </w:tcPr>
          <w:p w:rsidR="00CB239A" w:rsidRDefault="00CB239A" w:rsidP="00CB239A">
            <w:pPr>
              <w:jc w:val="center"/>
            </w:pPr>
            <w:r>
              <w:t>1</w:t>
            </w:r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23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50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0,0001</w:t>
            </w:r>
          </w:p>
        </w:tc>
        <w:tc>
          <w:tcPr>
            <w:tcW w:w="1024" w:type="dxa"/>
          </w:tcPr>
          <w:p w:rsidR="00CB239A" w:rsidRDefault="00CB239A" w:rsidP="00CB239A">
            <w:pPr>
              <w:jc w:val="center"/>
              <w:cnfStyle w:val="000000100000"/>
            </w:pPr>
            <w:r>
              <w:t>100</w:t>
            </w:r>
          </w:p>
        </w:tc>
      </w:tr>
    </w:tbl>
    <w:p w:rsidR="00CB239A" w:rsidRDefault="00CB239A" w:rsidP="00CB239A"/>
    <w:p w:rsidR="00CB239A" w:rsidRPr="00CB239A" w:rsidRDefault="00CB239A" w:rsidP="00CB239A">
      <w:r>
        <w:t>otrzymałem 3 następujące wykresy przedstawiające – odpowiednio – obliczenia przeprowadzone metodą jawną, metodą niejawną i wzorem analitycznym.</w:t>
      </w:r>
    </w:p>
    <w:p w:rsidR="00195871" w:rsidRPr="00195871" w:rsidRDefault="00195871" w:rsidP="00CB239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816100" cy="13620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828798" cy="1371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706" cy="137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838325" cy="1378744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9A" w:rsidRDefault="00CB239A" w:rsidP="00CB239A">
      <w:r>
        <w:t>Porównując dwie pierwsze metody z metodą referencyjną, otrzymujemy następujące wykresy błędów bezwzględnych:</w:t>
      </w:r>
    </w:p>
    <w:p w:rsidR="00CB239A" w:rsidRDefault="00CB239A" w:rsidP="00CB239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800350" cy="2100263"/>
            <wp:effectExtent l="0" t="0" r="0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627" cy="211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803525" cy="2102644"/>
            <wp:effectExtent l="0" t="0" r="0" b="0"/>
            <wp:docPr id="8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38" cy="210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9C0" w:rsidRPr="0099077E" w:rsidRDefault="00CB239A" w:rsidP="00385664">
      <w:r>
        <w:lastRenderedPageBreak/>
        <w:t xml:space="preserve">Zgodnie z przewidywaniami okazało się, że metoda niejawna jest nieco dokładniejsza. Warto zauważyć, że </w:t>
      </w:r>
      <w:r w:rsidR="00385664">
        <w:t xml:space="preserve">wraz o ile na początku </w:t>
      </w:r>
      <w:r w:rsidR="00385664" w:rsidRPr="00385664">
        <w:rPr>
          <w:i/>
        </w:rPr>
        <w:t>symulacji</w:t>
      </w:r>
      <w:r w:rsidR="00385664">
        <w:t xml:space="preserve"> błędy są dość znaczące, to wraz z biegiem czasu stają się coraz mniejsze. Daje to nadzieje na możliwość  wykorzystania tych technik w praktyce.</w:t>
      </w:r>
    </w:p>
    <w:sectPr w:rsidR="004B19C0" w:rsidRPr="0099077E" w:rsidSect="0055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1BE" w:rsidRDefault="009521BE" w:rsidP="006174D9">
      <w:pPr>
        <w:spacing w:after="0" w:line="240" w:lineRule="auto"/>
      </w:pPr>
      <w:r>
        <w:separator/>
      </w:r>
    </w:p>
  </w:endnote>
  <w:endnote w:type="continuationSeparator" w:id="0">
    <w:p w:rsidR="009521BE" w:rsidRDefault="009521BE" w:rsidP="006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1BE" w:rsidRDefault="009521BE" w:rsidP="006174D9">
      <w:pPr>
        <w:spacing w:after="0" w:line="240" w:lineRule="auto"/>
      </w:pPr>
      <w:r>
        <w:separator/>
      </w:r>
    </w:p>
  </w:footnote>
  <w:footnote w:type="continuationSeparator" w:id="0">
    <w:p w:rsidR="009521BE" w:rsidRDefault="009521BE" w:rsidP="00617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9C0"/>
    <w:rsid w:val="000A5BE5"/>
    <w:rsid w:val="000C0391"/>
    <w:rsid w:val="000D220D"/>
    <w:rsid w:val="000E55F8"/>
    <w:rsid w:val="000F6436"/>
    <w:rsid w:val="00110576"/>
    <w:rsid w:val="001325B9"/>
    <w:rsid w:val="00195871"/>
    <w:rsid w:val="001B0D7B"/>
    <w:rsid w:val="00205A63"/>
    <w:rsid w:val="00236D1D"/>
    <w:rsid w:val="002744E2"/>
    <w:rsid w:val="002C28D0"/>
    <w:rsid w:val="00376CE7"/>
    <w:rsid w:val="00385664"/>
    <w:rsid w:val="003F1A0B"/>
    <w:rsid w:val="004B19C0"/>
    <w:rsid w:val="0053139D"/>
    <w:rsid w:val="005478CA"/>
    <w:rsid w:val="00551537"/>
    <w:rsid w:val="005537B6"/>
    <w:rsid w:val="005A5E28"/>
    <w:rsid w:val="005D4CF0"/>
    <w:rsid w:val="00607957"/>
    <w:rsid w:val="006174D9"/>
    <w:rsid w:val="00623D97"/>
    <w:rsid w:val="006820AF"/>
    <w:rsid w:val="006A4EA3"/>
    <w:rsid w:val="006E6CA9"/>
    <w:rsid w:val="00727347"/>
    <w:rsid w:val="00746CF5"/>
    <w:rsid w:val="00766CCB"/>
    <w:rsid w:val="00791C25"/>
    <w:rsid w:val="007D7DE1"/>
    <w:rsid w:val="0082777A"/>
    <w:rsid w:val="00852A0C"/>
    <w:rsid w:val="00864EA9"/>
    <w:rsid w:val="008D1398"/>
    <w:rsid w:val="008D4E63"/>
    <w:rsid w:val="008F59B6"/>
    <w:rsid w:val="00934D4C"/>
    <w:rsid w:val="009521BE"/>
    <w:rsid w:val="00954BBB"/>
    <w:rsid w:val="0099077E"/>
    <w:rsid w:val="00A11E97"/>
    <w:rsid w:val="00A50FFA"/>
    <w:rsid w:val="00A526CB"/>
    <w:rsid w:val="00AB3D41"/>
    <w:rsid w:val="00AB659A"/>
    <w:rsid w:val="00AC7CD5"/>
    <w:rsid w:val="00B4461D"/>
    <w:rsid w:val="00B73152"/>
    <w:rsid w:val="00BC3CC3"/>
    <w:rsid w:val="00C433B2"/>
    <w:rsid w:val="00CB239A"/>
    <w:rsid w:val="00D04552"/>
    <w:rsid w:val="00D127C9"/>
    <w:rsid w:val="00D70300"/>
    <w:rsid w:val="00DC2C30"/>
    <w:rsid w:val="00E20391"/>
    <w:rsid w:val="00E22665"/>
    <w:rsid w:val="00F83FF1"/>
    <w:rsid w:val="00FE4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37B6"/>
  </w:style>
  <w:style w:type="paragraph" w:styleId="Nagwek1">
    <w:name w:val="heading 1"/>
    <w:basedOn w:val="Normalny"/>
    <w:next w:val="Normalny"/>
    <w:link w:val="Nagwek1Znak"/>
    <w:uiPriority w:val="9"/>
    <w:qFormat/>
    <w:rsid w:val="004B1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3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1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B1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90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90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2C28D0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2C28D0"/>
    <w:rPr>
      <w:i/>
      <w:iCs/>
      <w:color w:val="808080" w:themeColor="text1" w:themeTint="7F"/>
    </w:rPr>
  </w:style>
  <w:style w:type="paragraph" w:styleId="Cytat">
    <w:name w:val="Quote"/>
    <w:basedOn w:val="Normalny"/>
    <w:next w:val="Normalny"/>
    <w:link w:val="CytatZnak"/>
    <w:uiPriority w:val="29"/>
    <w:qFormat/>
    <w:rsid w:val="002C28D0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2C28D0"/>
    <w:rPr>
      <w:i/>
      <w:iCs/>
      <w:color w:val="000000" w:themeColor="text1"/>
    </w:rPr>
  </w:style>
  <w:style w:type="character" w:customStyle="1" w:styleId="Nagwek3Znak">
    <w:name w:val="Nagłówek 3 Znak"/>
    <w:basedOn w:val="Domylnaczcionkaakapitu"/>
    <w:link w:val="Nagwek3"/>
    <w:uiPriority w:val="9"/>
    <w:rsid w:val="00C433B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827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82777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7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777A"/>
    <w:rPr>
      <w:rFonts w:ascii="Tahoma" w:hAnsi="Tahoma" w:cs="Tahoma"/>
      <w:sz w:val="16"/>
      <w:szCs w:val="16"/>
    </w:rPr>
  </w:style>
  <w:style w:type="table" w:customStyle="1" w:styleId="Jasnecieniowanieakcent1">
    <w:name w:val="Light Shading Accent 1"/>
    <w:basedOn w:val="Standardowy"/>
    <w:uiPriority w:val="60"/>
    <w:rsid w:val="008277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277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766CC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Jasnalistaakcent1">
    <w:name w:val="Light List Accent 1"/>
    <w:basedOn w:val="Standardowy"/>
    <w:uiPriority w:val="61"/>
    <w:rsid w:val="00746C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redniecieniowanie2akcent1">
    <w:name w:val="Medium Shading 2 Accent 1"/>
    <w:basedOn w:val="Standardowy"/>
    <w:uiPriority w:val="64"/>
    <w:rsid w:val="00BC3C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rednialista1akcent1">
    <w:name w:val="Medium List 1 Accent 1"/>
    <w:basedOn w:val="Standardowy"/>
    <w:uiPriority w:val="65"/>
    <w:rsid w:val="00BC3CC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74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74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74D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852A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734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</dc:creator>
  <cp:lastModifiedBy>Konrad</cp:lastModifiedBy>
  <cp:revision>16</cp:revision>
  <cp:lastPrinted>2010-11-15T06:25:00Z</cp:lastPrinted>
  <dcterms:created xsi:type="dcterms:W3CDTF">2010-11-15T04:39:00Z</dcterms:created>
  <dcterms:modified xsi:type="dcterms:W3CDTF">2010-11-15T06:47:00Z</dcterms:modified>
</cp:coreProperties>
</file>