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sz w:val="22"/>
          <w:szCs w:val="22"/>
        </w:rPr>
      </w:pPr>
      <w:bookmarkStart w:colFirst="0" w:colLast="0" w:name="_z64lirag99y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Individual Insights Summary – Customer Behavior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bal314db7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Customer Segmentation &amp; Profiling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consumer</w:t>
      </w:r>
      <w:r w:rsidDel="00000000" w:rsidR="00000000" w:rsidRPr="00000000">
        <w:rPr>
          <w:rtl w:val="0"/>
        </w:rPr>
        <w:t xml:space="preserve"> segment dominates sales across all regions, particularly in the West ($362,881) and East ($350,908).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Corporate and Home Office segments show moderate contributions, with noticeable strength in Office Supplies.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Visualizations like the treemap clarified the strong regional sales concentration, guiding targeted regional strategies.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Insight:</w:t>
      </w:r>
      <w:r w:rsidDel="00000000" w:rsidR="00000000" w:rsidRPr="00000000">
        <w:rPr>
          <w:rtl w:val="0"/>
        </w:rPr>
        <w:t xml:space="preserve"> Invest in region-specific promotions for the Consumer segment and explore growth strategies for underperforming Home Office regions.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wz4fc9yg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Purchase Pattern Analysis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Average Order Value (AOV) ranges widely (min: $2.42, max: $5008.61), with a median AOV around $362.50.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Top customers like Sean Miller and Tamara Chand show high sales with relatively few orders, signaling low-frequency, high-value buyers.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histogram and summary stats support the presence of high-variance in customer value, making it ideal for differentiated retention tactics.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Insight:</w:t>
      </w:r>
      <w:r w:rsidDel="00000000" w:rsidR="00000000" w:rsidRPr="00000000">
        <w:rPr>
          <w:rtl w:val="0"/>
        </w:rPr>
        <w:t xml:space="preserve"> Tailor marketing and loyalty campaigns for high-AOV customers to encourage more frequent engagement. Implement A/B testing on pricing sensitivity.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8o9f1fmkj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Customer Lifetime Value Indicators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bubble chart displayed CLV proxies across average order value, total orders, and recency.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Top 20 customers contribute significant revenue but vary in engagement recency. For example, Bill Shonely shows high AOV ($1166.85) but hasn't ordered in 924 days.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Color-coded CLV visual (red-to-green) effectively highlighted at-risk yet valuable customers.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Insight:</w:t>
      </w:r>
      <w:r w:rsidDel="00000000" w:rsidR="00000000" w:rsidRPr="00000000">
        <w:rPr>
          <w:rtl w:val="0"/>
        </w:rPr>
        <w:t xml:space="preserve"> Reactivate high-value dormant customers using targeted win-back offers. Monitor “Days Since Last Order” as a key churn risk indicator.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1ua5ql1n5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Recommended Actions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segment-based re-engagement plans based on CLV, frequency, and recency.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Establish loyalty tiers combining AOV and order frequency.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 quarterly reviews of CLV dashboards to adapt promotion strategies for top-value clusters.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Brucaj</w:t>
    </w:r>
  </w:p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tl w:val="0"/>
      </w:rPr>
      <w:t xml:space="preserve">MGMT 590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