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D95B3" w14:textId="77777777" w:rsidR="008E36CD" w:rsidRPr="008E36CD" w:rsidRDefault="008E36CD" w:rsidP="008E36CD">
      <w:pPr>
        <w:pBdr>
          <w:bottom w:val="single" w:sz="6" w:space="4" w:color="EEEEEE"/>
        </w:pBdr>
        <w:spacing w:after="240" w:line="240" w:lineRule="auto"/>
        <w:outlineLvl w:val="0"/>
        <w:rPr>
          <w:rFonts w:ascii="Hiragino Sans GB" w:eastAsia="Hiragino Sans GB" w:hAnsi="Hiragino Sans GB" w:cs="Times New Roman"/>
          <w:b/>
          <w:bCs/>
          <w:color w:val="333333"/>
          <w:kern w:val="36"/>
          <w:sz w:val="54"/>
          <w:szCs w:val="54"/>
          <w14:ligatures w14:val="none"/>
        </w:rPr>
      </w:pPr>
      <w:r w:rsidRPr="008E36CD">
        <w:rPr>
          <w:rFonts w:ascii="Hiragino Sans GB" w:eastAsia="Hiragino Sans GB" w:hAnsi="Hiragino Sans GB" w:cs="Times New Roman" w:hint="eastAsia"/>
          <w:b/>
          <w:bCs/>
          <w:color w:val="333333"/>
          <w:kern w:val="36"/>
          <w:sz w:val="54"/>
          <w:szCs w:val="54"/>
          <w14:ligatures w14:val="none"/>
        </w:rPr>
        <w:t>Regional Performance Analysis: Executive Insights</w:t>
      </w:r>
    </w:p>
    <w:p w14:paraId="15849AB1" w14:textId="77777777" w:rsidR="008E36CD" w:rsidRPr="008E36CD" w:rsidRDefault="008E36CD" w:rsidP="008E36CD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Superstore Dataset Analysis | Strategic Recommendations</w:t>
      </w:r>
    </w:p>
    <w:p w14:paraId="1B2F47A7" w14:textId="77777777" w:rsidR="008E36CD" w:rsidRPr="008E36CD" w:rsidRDefault="002D3389" w:rsidP="008E36CD">
      <w:pPr>
        <w:spacing w:before="225" w:after="225" w:line="240" w:lineRule="auto"/>
        <w:rPr>
          <w:rFonts w:ascii="Microsoft YaHei" w:eastAsia="Microsoft YaHei" w:hAnsi="Microsoft YaHei" w:cs="Times New Roman" w:hint="eastAsia"/>
          <w:kern w:val="0"/>
          <w:sz w:val="21"/>
          <w:szCs w:val="21"/>
          <w14:ligatures w14:val="none"/>
        </w:rPr>
      </w:pPr>
      <w:r w:rsidRPr="002D3389">
        <w:rPr>
          <w:rFonts w:ascii="Times New Roman" w:eastAsia="Times New Roman" w:hAnsi="Times New Roman" w:cs="Times New Roman"/>
          <w:noProof/>
          <w:kern w:val="0"/>
        </w:rPr>
        <w:pict w14:anchorId="58C439B2">
          <v:rect id="_x0000_i1030" alt="" style="width:468pt;height:.05pt;mso-width-percent:0;mso-height-percent:0;mso-width-percent:0;mso-height-percent:0" o:hrstd="t" o:hrnoshade="t" o:hr="t" fillcolor="#333" stroked="f"/>
        </w:pict>
      </w:r>
    </w:p>
    <w:p w14:paraId="7FDC9E5A" w14:textId="77777777" w:rsidR="008E36CD" w:rsidRPr="008E36CD" w:rsidRDefault="008E36CD" w:rsidP="008E36CD">
      <w:pPr>
        <w:pBdr>
          <w:bottom w:val="single" w:sz="6" w:space="4" w:color="EEEEEE"/>
        </w:pBdr>
        <w:spacing w:after="0" w:line="240" w:lineRule="auto"/>
        <w:outlineLvl w:val="1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42"/>
          <w:szCs w:val="42"/>
          <w14:ligatures w14:val="none"/>
        </w:rPr>
      </w:pPr>
      <w:bookmarkStart w:id="0" w:name="Executive_Summary"/>
      <w:bookmarkEnd w:id="0"/>
      <w:r w:rsidRPr="008E36CD"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42"/>
          <w:szCs w:val="42"/>
          <w14:ligatures w14:val="none"/>
        </w:rPr>
        <w:t>Executive Summary</w:t>
      </w:r>
    </w:p>
    <w:p w14:paraId="4DB3F298" w14:textId="77777777" w:rsidR="008E36CD" w:rsidRPr="008E36CD" w:rsidRDefault="008E36CD" w:rsidP="008E36CD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Our comprehensive regional analysis reveals significant performance disparities driven by three critical factors: economic hub concentration, pricing strategy failures, and customer segment misalignment. </w:t>
      </w: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The Central region is actively destroying value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with negative margins, while </w:t>
      </w: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California and New York generate 70% of their regions’ profits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. Immediate intervention can recover $50K+ annually in the Central region alone.</w:t>
      </w:r>
    </w:p>
    <w:p w14:paraId="0B6E9819" w14:textId="77777777" w:rsidR="008E36CD" w:rsidRPr="008E36CD" w:rsidRDefault="002D3389" w:rsidP="008E36CD">
      <w:pPr>
        <w:spacing w:before="225" w:after="225" w:line="240" w:lineRule="auto"/>
        <w:rPr>
          <w:rFonts w:ascii="Microsoft YaHei" w:eastAsia="Microsoft YaHei" w:hAnsi="Microsoft YaHei" w:cs="Times New Roman" w:hint="eastAsia"/>
          <w:kern w:val="0"/>
          <w:sz w:val="21"/>
          <w:szCs w:val="21"/>
          <w14:ligatures w14:val="none"/>
        </w:rPr>
      </w:pPr>
      <w:r w:rsidRPr="002D3389">
        <w:rPr>
          <w:rFonts w:ascii="Times New Roman" w:eastAsia="Times New Roman" w:hAnsi="Times New Roman" w:cs="Times New Roman"/>
          <w:noProof/>
          <w:kern w:val="0"/>
        </w:rPr>
        <w:pict w14:anchorId="7AE640F8">
          <v:rect id="_x0000_i1029" alt="" style="width:468pt;height:.05pt;mso-width-percent:0;mso-height-percent:0;mso-width-percent:0;mso-height-percent:0" o:hrstd="t" o:hrnoshade="t" o:hr="t" fillcolor="#333" stroked="f"/>
        </w:pict>
      </w:r>
    </w:p>
    <w:p w14:paraId="2CCDB99F" w14:textId="77777777" w:rsidR="008E36CD" w:rsidRPr="008E36CD" w:rsidRDefault="008E36CD" w:rsidP="008E36CD">
      <w:pPr>
        <w:pBdr>
          <w:bottom w:val="single" w:sz="6" w:space="4" w:color="EEEEEE"/>
        </w:pBdr>
        <w:spacing w:after="0" w:line="240" w:lineRule="auto"/>
        <w:outlineLvl w:val="1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42"/>
          <w:szCs w:val="42"/>
          <w14:ligatures w14:val="none"/>
        </w:rPr>
      </w:pPr>
      <w:bookmarkStart w:id="1" w:name="Key_Findings:_Three_Validated_Hypotheses"/>
      <w:bookmarkEnd w:id="1"/>
      <w:r w:rsidRPr="008E36CD"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42"/>
          <w:szCs w:val="42"/>
          <w14:ligatures w14:val="none"/>
        </w:rPr>
        <w:t>Key Findings: Three Validated Hypotheses</w:t>
      </w:r>
    </w:p>
    <w:p w14:paraId="6B56C7A0" w14:textId="77777777" w:rsidR="008E36CD" w:rsidRPr="008E36CD" w:rsidRDefault="008E36CD" w:rsidP="008E36CD">
      <w:pPr>
        <w:spacing w:after="0" w:line="240" w:lineRule="auto"/>
        <w:outlineLvl w:val="2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36"/>
          <w:szCs w:val="36"/>
          <w14:ligatures w14:val="none"/>
        </w:rPr>
      </w:pPr>
      <w:bookmarkStart w:id="2" w:name="&lt;strong&gt;Hypothesis_1:_“Economic_Hub”_Eff"/>
      <w:bookmarkEnd w:id="2"/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  <w:t>Hypothesis 1: “Economic Hub” Effect - CONFIRMED</w:t>
      </w:r>
    </w:p>
    <w:p w14:paraId="7B352E2C" w14:textId="77777777" w:rsidR="008E36CD" w:rsidRPr="008E36CD" w:rsidRDefault="008E36CD" w:rsidP="008E36CD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Finding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 California ($76K profit) and New York ($74K profit) dominate their regions through high-volume, high-margin sales</w:t>
      </w:r>
    </w:p>
    <w:p w14:paraId="42394126" w14:textId="77777777" w:rsidR="008E36CD" w:rsidRPr="008E36CD" w:rsidRDefault="008E36CD" w:rsidP="008E36CD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CA Technology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 $82 average profit per order across 359 orders</w:t>
      </w:r>
    </w:p>
    <w:p w14:paraId="29852FB0" w14:textId="77777777" w:rsidR="008E36CD" w:rsidRPr="008E36CD" w:rsidRDefault="008E36CD" w:rsidP="008E36CD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NY Technology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 $203 average profit per order across 208 orders</w:t>
      </w:r>
    </w:p>
    <w:p w14:paraId="75834774" w14:textId="77777777" w:rsidR="008E36CD" w:rsidRPr="008E36CD" w:rsidRDefault="008E36CD" w:rsidP="008E36CD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Success Formula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 </w:t>
      </w:r>
      <w:r w:rsidRPr="008E36CD">
        <w:rPr>
          <w:rFonts w:ascii="Consolas" w:eastAsia="Times New Roman" w:hAnsi="Consolas" w:cs="Consolas"/>
          <w:color w:val="999999"/>
          <w:kern w:val="0"/>
          <w:sz w:val="21"/>
          <w:szCs w:val="21"/>
          <w:bdr w:val="single" w:sz="6" w:space="2" w:color="DDDDDD" w:frame="1"/>
          <w:shd w:val="clear" w:color="auto" w:fill="F6F6F6"/>
          <w14:ligatures w14:val="none"/>
        </w:rPr>
        <w:t>High Volume × Consistently Positive Margins</w:t>
      </w:r>
    </w:p>
    <w:p w14:paraId="48592926" w14:textId="77777777" w:rsidR="008E36CD" w:rsidRPr="008E36CD" w:rsidRDefault="008E36CD" w:rsidP="008E36CD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Implication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 Our business model thrives in dense, affluent markets with corporate concentrations</w:t>
      </w:r>
    </w:p>
    <w:p w14:paraId="1F8C61F6" w14:textId="77777777" w:rsidR="008E36CD" w:rsidRPr="008E36CD" w:rsidRDefault="008E36CD" w:rsidP="008E36CD">
      <w:pPr>
        <w:spacing w:after="0" w:line="240" w:lineRule="auto"/>
        <w:outlineLvl w:val="2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36"/>
          <w:szCs w:val="36"/>
          <w14:ligatures w14:val="none"/>
        </w:rPr>
      </w:pPr>
      <w:bookmarkStart w:id="3" w:name="&lt;strong&gt;Hypothesis_2:_“Central_Problem”_"/>
      <w:bookmarkEnd w:id="3"/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  <w:t>Hypothesis 2: “Central Problem” - Margin Erosion - CONFIRMED</w:t>
      </w:r>
    </w:p>
    <w:p w14:paraId="6796D4F6" w14:textId="77777777" w:rsidR="008E36CD" w:rsidRPr="008E36CD" w:rsidRDefault="008E36CD" w:rsidP="008E36CD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lastRenderedPageBreak/>
        <w:t>Finding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 Central region uses </w:t>
      </w: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24% average discount rate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(2x other regions) on inherently unprofitable products</w:t>
      </w:r>
    </w:p>
    <w:p w14:paraId="2074BCDB" w14:textId="77777777" w:rsidR="008E36CD" w:rsidRPr="008E36CD" w:rsidRDefault="008E36CD" w:rsidP="008E36CD">
      <w:pPr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Critical Issue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 xml:space="preserve">: </w:t>
      </w:r>
      <w:proofErr w:type="gramStart"/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Binders</w:t>
      </w:r>
      <w:proofErr w:type="gramEnd"/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 xml:space="preserve"> category shows </w:t>
      </w: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-86% profit margin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across 366 orders</w:t>
      </w:r>
    </w:p>
    <w:p w14:paraId="397DEF15" w14:textId="77777777" w:rsidR="008E36CD" w:rsidRPr="008E36CD" w:rsidRDefault="008E36CD" w:rsidP="008E36CD">
      <w:pPr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Furniture Disaster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 Combined loss of </w:t>
      </w: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-$9,464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across Tables, Furnishings, Bookcases</w:t>
      </w:r>
    </w:p>
    <w:p w14:paraId="2F49C415" w14:textId="77777777" w:rsidR="008E36CD" w:rsidRPr="008E36CD" w:rsidRDefault="008E36CD" w:rsidP="008E36CD">
      <w:pPr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Volume Paradox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 2nd highest order volume (2,323) but lowest total profit ($39K)</w:t>
      </w:r>
    </w:p>
    <w:p w14:paraId="3BF43019" w14:textId="77777777" w:rsidR="008E36CD" w:rsidRPr="008E36CD" w:rsidRDefault="008E36CD" w:rsidP="008E36CD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Implication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 Current sales incentives reward volume over profitability, creating systematic value destruction</w:t>
      </w:r>
    </w:p>
    <w:p w14:paraId="21E5FA16" w14:textId="77777777" w:rsidR="008E36CD" w:rsidRPr="008E36CD" w:rsidRDefault="008E36CD" w:rsidP="008E36CD">
      <w:pPr>
        <w:spacing w:after="0" w:line="240" w:lineRule="auto"/>
        <w:outlineLvl w:val="2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36"/>
          <w:szCs w:val="36"/>
          <w14:ligatures w14:val="none"/>
        </w:rPr>
      </w:pPr>
      <w:bookmarkStart w:id="4" w:name="&lt;strong&gt;Hypothesis_3:_“Segment_Strategy_"/>
      <w:bookmarkEnd w:id="4"/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  <w:t>Hypothesis 3: “Segment Strategy Mismatch” - CONFIRMED</w:t>
      </w:r>
    </w:p>
    <w:p w14:paraId="0EB7F104" w14:textId="77777777" w:rsidR="008E36CD" w:rsidRPr="008E36CD" w:rsidRDefault="008E36CD" w:rsidP="008E36CD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Finding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 East excels in Home Office segment ($180 profit per tech order) while South fails catastrophically</w:t>
      </w:r>
    </w:p>
    <w:p w14:paraId="41A5E3D2" w14:textId="77777777" w:rsidR="008E36CD" w:rsidRPr="008E36CD" w:rsidRDefault="008E36CD" w:rsidP="008E36CD">
      <w:pPr>
        <w:numPr>
          <w:ilvl w:val="0"/>
          <w:numId w:val="3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East Success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 Home Office Technology generates </w:t>
      </w: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$180 average profit per order</w:t>
      </w:r>
    </w:p>
    <w:p w14:paraId="1421C011" w14:textId="77777777" w:rsidR="008E36CD" w:rsidRPr="008E36CD" w:rsidRDefault="008E36CD" w:rsidP="008E36CD">
      <w:pPr>
        <w:numPr>
          <w:ilvl w:val="0"/>
          <w:numId w:val="3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South Failure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 Home Office Technology shows </w:t>
      </w: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$676 order value but only $14 profit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(2% margin)</w:t>
      </w:r>
    </w:p>
    <w:p w14:paraId="6DD1F84E" w14:textId="77777777" w:rsidR="008E36CD" w:rsidRPr="008E36CD" w:rsidRDefault="008E36CD" w:rsidP="008E36CD">
      <w:pPr>
        <w:numPr>
          <w:ilvl w:val="0"/>
          <w:numId w:val="3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Strategic Gap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 South sells expensive technology for virtually no profit due to pricing/discount errors</w:t>
      </w:r>
    </w:p>
    <w:p w14:paraId="2B2FC804" w14:textId="77777777" w:rsidR="008E36CD" w:rsidRPr="008E36CD" w:rsidRDefault="008E36CD" w:rsidP="008E36CD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Implication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 Regional strategies are not aligned with customer segment opportunities</w:t>
      </w:r>
    </w:p>
    <w:p w14:paraId="631908B5" w14:textId="77777777" w:rsidR="008E36CD" w:rsidRPr="008E36CD" w:rsidRDefault="002D3389" w:rsidP="008E36CD">
      <w:pPr>
        <w:spacing w:before="225" w:after="225" w:line="240" w:lineRule="auto"/>
        <w:rPr>
          <w:rFonts w:ascii="Microsoft YaHei" w:eastAsia="Microsoft YaHei" w:hAnsi="Microsoft YaHei" w:cs="Times New Roman" w:hint="eastAsia"/>
          <w:kern w:val="0"/>
          <w:sz w:val="21"/>
          <w:szCs w:val="21"/>
          <w14:ligatures w14:val="none"/>
        </w:rPr>
      </w:pPr>
      <w:r w:rsidRPr="002D3389">
        <w:rPr>
          <w:rFonts w:ascii="Times New Roman" w:eastAsia="Times New Roman" w:hAnsi="Times New Roman" w:cs="Times New Roman"/>
          <w:noProof/>
          <w:kern w:val="0"/>
        </w:rPr>
        <w:pict w14:anchorId="6E576C18">
          <v:rect id="_x0000_i1028" alt="" style="width:468pt;height:.05pt;mso-width-percent:0;mso-height-percent:0;mso-width-percent:0;mso-height-percent:0" o:hrstd="t" o:hrnoshade="t" o:hr="t" fillcolor="#333" stroked="f"/>
        </w:pict>
      </w:r>
    </w:p>
    <w:p w14:paraId="526FFDFD" w14:textId="77777777" w:rsidR="008E36CD" w:rsidRPr="008E36CD" w:rsidRDefault="008E36CD" w:rsidP="008E36CD">
      <w:pPr>
        <w:pBdr>
          <w:bottom w:val="single" w:sz="6" w:space="4" w:color="EEEEEE"/>
        </w:pBdr>
        <w:spacing w:after="0" w:line="240" w:lineRule="auto"/>
        <w:outlineLvl w:val="1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42"/>
          <w:szCs w:val="42"/>
          <w14:ligatures w14:val="none"/>
        </w:rPr>
      </w:pPr>
      <w:bookmarkStart w:id="5" w:name="Critical_Business_Impact"/>
      <w:bookmarkEnd w:id="5"/>
      <w:r w:rsidRPr="008E36CD"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42"/>
          <w:szCs w:val="42"/>
          <w14:ligatures w14:val="none"/>
        </w:rPr>
        <w:t>Critical Business Impact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"/>
        <w:gridCol w:w="2452"/>
        <w:gridCol w:w="3082"/>
        <w:gridCol w:w="2811"/>
      </w:tblGrid>
      <w:tr w:rsidR="008E36CD" w:rsidRPr="008E36CD" w14:paraId="75507C43" w14:textId="77777777" w:rsidTr="008E36C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FC4E1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0A9C8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Current Performance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E206B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Root Cause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E7CA5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Immediate Risk</w:t>
            </w:r>
          </w:p>
        </w:tc>
      </w:tr>
      <w:tr w:rsidR="008E36CD" w:rsidRPr="008E36CD" w14:paraId="7ED71EBB" w14:textId="77777777" w:rsidTr="008E36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C0AA2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West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0A445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$108K profit (Strong)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AC67B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Economic hub advantage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D273E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Market saturation</w:t>
            </w:r>
          </w:p>
        </w:tc>
      </w:tr>
      <w:tr w:rsidR="008E36CD" w:rsidRPr="008E36CD" w14:paraId="6F3B6C19" w14:textId="77777777" w:rsidTr="008E36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2E864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A12ED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$91K profit (Strong)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4FCB0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Superior Home Office strategy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EF009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Competitor copying</w:t>
            </w:r>
          </w:p>
        </w:tc>
      </w:tr>
      <w:tr w:rsidR="008E36CD" w:rsidRPr="008E36CD" w14:paraId="5D16A2C6" w14:textId="77777777" w:rsidTr="008E36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EEB53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South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6ACBD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$46K profit (Moderate)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DA37A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Home Office segment failure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570D7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Lost growth opportunity</w:t>
            </w:r>
          </w:p>
        </w:tc>
      </w:tr>
      <w:tr w:rsidR="008E36CD" w:rsidRPr="008E36CD" w14:paraId="58C94FDB" w14:textId="77777777" w:rsidTr="008E36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F6863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Central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476D4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$39K profit (Poor)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F8D30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Discount strategy + product mix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8531D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Continued value destruction</w:t>
            </w:r>
          </w:p>
        </w:tc>
      </w:tr>
    </w:tbl>
    <w:p w14:paraId="3E0979F9" w14:textId="77777777" w:rsidR="008E36CD" w:rsidRPr="008E36CD" w:rsidRDefault="002D3389" w:rsidP="008E36CD">
      <w:pPr>
        <w:spacing w:before="225" w:after="225" w:line="240" w:lineRule="auto"/>
        <w:rPr>
          <w:rFonts w:ascii="Microsoft YaHei" w:eastAsia="Microsoft YaHei" w:hAnsi="Microsoft YaHei" w:cs="Times New Roman" w:hint="eastAsia"/>
          <w:kern w:val="0"/>
          <w:sz w:val="21"/>
          <w:szCs w:val="21"/>
          <w14:ligatures w14:val="none"/>
        </w:rPr>
      </w:pPr>
      <w:r w:rsidRPr="002D3389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ADAB441">
          <v:rect id="_x0000_i1027" alt="" style="width:468pt;height:.05pt;mso-width-percent:0;mso-height-percent:0;mso-width-percent:0;mso-height-percent:0" o:hrstd="t" o:hrnoshade="t" o:hr="t" fillcolor="#333" stroked="f"/>
        </w:pict>
      </w:r>
    </w:p>
    <w:p w14:paraId="0C991123" w14:textId="77777777" w:rsidR="008E36CD" w:rsidRPr="008E36CD" w:rsidRDefault="008E36CD" w:rsidP="008E36CD">
      <w:pPr>
        <w:pBdr>
          <w:bottom w:val="single" w:sz="6" w:space="4" w:color="EEEEEE"/>
        </w:pBdr>
        <w:spacing w:after="0" w:line="240" w:lineRule="auto"/>
        <w:outlineLvl w:val="1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42"/>
          <w:szCs w:val="42"/>
          <w14:ligatures w14:val="none"/>
        </w:rPr>
      </w:pPr>
      <w:bookmarkStart w:id="6" w:name="Immediate_Actions_Required_(Next_30_Days"/>
      <w:bookmarkEnd w:id="6"/>
      <w:r w:rsidRPr="008E36CD"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42"/>
          <w:szCs w:val="42"/>
          <w14:ligatures w14:val="none"/>
        </w:rPr>
        <w:t>Immediate Actions Required (Next 30 Days)</w:t>
      </w:r>
    </w:p>
    <w:p w14:paraId="673330B9" w14:textId="77777777" w:rsidR="008E36CD" w:rsidRPr="008E36CD" w:rsidRDefault="008E36CD" w:rsidP="008E36CD">
      <w:pPr>
        <w:spacing w:after="0" w:line="240" w:lineRule="auto"/>
        <w:outlineLvl w:val="2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36"/>
          <w:szCs w:val="36"/>
          <w14:ligatures w14:val="none"/>
        </w:rPr>
      </w:pPr>
      <w:bookmarkStart w:id="7" w:name="&lt;strong&gt;URGENT_-_Central_Region&lt;/strong&gt;"/>
      <w:bookmarkEnd w:id="7"/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  <w:t>URGENT - Central Region</w:t>
      </w:r>
    </w:p>
    <w:p w14:paraId="31E10E36" w14:textId="77777777" w:rsidR="008E36CD" w:rsidRPr="008E36CD" w:rsidRDefault="008E36CD" w:rsidP="008E36CD">
      <w:pPr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Moratorium on discounts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for Binders, Furniture, and Appliances</w:t>
      </w:r>
    </w:p>
    <w:p w14:paraId="21EB01C4" w14:textId="77777777" w:rsidR="008E36CD" w:rsidRPr="008E36CD" w:rsidRDefault="008E36CD" w:rsidP="008E36CD">
      <w:pPr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Sales incentive review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- shift from revenue-based to profit-based compensation</w:t>
      </w:r>
    </w:p>
    <w:p w14:paraId="4FAF6F01" w14:textId="77777777" w:rsidR="008E36CD" w:rsidRPr="008E36CD" w:rsidRDefault="008E36CD" w:rsidP="008E36CD">
      <w:pPr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Pricing audit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for loss-making categories</w:t>
      </w:r>
    </w:p>
    <w:p w14:paraId="1842590D" w14:textId="77777777" w:rsidR="008E36CD" w:rsidRPr="008E36CD" w:rsidRDefault="008E36CD" w:rsidP="008E36CD">
      <w:pPr>
        <w:spacing w:after="0" w:line="240" w:lineRule="auto"/>
        <w:outlineLvl w:val="2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36"/>
          <w:szCs w:val="36"/>
          <w14:ligatures w14:val="none"/>
        </w:rPr>
      </w:pPr>
      <w:bookmarkStart w:id="8" w:name="&lt;strong&gt;HIGH_PRIORITY_-_South_Region&lt;/st"/>
      <w:bookmarkEnd w:id="8"/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  <w:t>HIGH PRIORITY - South Region</w:t>
      </w:r>
    </w:p>
    <w:p w14:paraId="445EF97A" w14:textId="77777777" w:rsidR="008E36CD" w:rsidRPr="008E36CD" w:rsidRDefault="008E36CD" w:rsidP="008E36CD">
      <w:pPr>
        <w:numPr>
          <w:ilvl w:val="0"/>
          <w:numId w:val="5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Emergency review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of Home Office Technology pricing strategy</w:t>
      </w:r>
    </w:p>
    <w:p w14:paraId="0A95882D" w14:textId="77777777" w:rsidR="008E36CD" w:rsidRPr="008E36CD" w:rsidRDefault="008E36CD" w:rsidP="008E36CD">
      <w:pPr>
        <w:numPr>
          <w:ilvl w:val="0"/>
          <w:numId w:val="5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Transfer East’s best practices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for Home Office segment execution</w:t>
      </w:r>
    </w:p>
    <w:p w14:paraId="2595EB6F" w14:textId="77777777" w:rsidR="008E36CD" w:rsidRPr="008E36CD" w:rsidRDefault="008E36CD" w:rsidP="008E36CD">
      <w:pPr>
        <w:numPr>
          <w:ilvl w:val="0"/>
          <w:numId w:val="5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Investigate discount policies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causing near-zero margins on high-value sales</w:t>
      </w:r>
    </w:p>
    <w:p w14:paraId="0375C6F0" w14:textId="77777777" w:rsidR="008E36CD" w:rsidRPr="008E36CD" w:rsidRDefault="008E36CD" w:rsidP="008E36CD">
      <w:pPr>
        <w:spacing w:after="0" w:line="240" w:lineRule="auto"/>
        <w:outlineLvl w:val="2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36"/>
          <w:szCs w:val="36"/>
          <w14:ligatures w14:val="none"/>
        </w:rPr>
      </w:pPr>
      <w:bookmarkStart w:id="9" w:name="&lt;strong&gt;STRATEGIC_-_East/West_Regions&lt;/s"/>
      <w:bookmarkEnd w:id="9"/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14:ligatures w14:val="none"/>
        </w:rPr>
        <w:t>STRATEGIC - East/West Regions</w:t>
      </w:r>
    </w:p>
    <w:p w14:paraId="585D8ED9" w14:textId="77777777" w:rsidR="008E36CD" w:rsidRPr="008E36CD" w:rsidRDefault="008E36CD" w:rsidP="008E36CD">
      <w:pPr>
        <w:numPr>
          <w:ilvl w:val="0"/>
          <w:numId w:val="6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Document and replicate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successful strategies in other markets</w:t>
      </w:r>
    </w:p>
    <w:p w14:paraId="183DF460" w14:textId="77777777" w:rsidR="008E36CD" w:rsidRPr="008E36CD" w:rsidRDefault="008E36CD" w:rsidP="008E36CD">
      <w:pPr>
        <w:numPr>
          <w:ilvl w:val="0"/>
          <w:numId w:val="6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Expand Corporate and Home Office targeting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in California and New York</w:t>
      </w:r>
    </w:p>
    <w:p w14:paraId="1BD4BCAD" w14:textId="77777777" w:rsidR="008E36CD" w:rsidRPr="008E36CD" w:rsidRDefault="008E36CD" w:rsidP="008E36CD">
      <w:pPr>
        <w:numPr>
          <w:ilvl w:val="0"/>
          <w:numId w:val="6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Protect market position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 against competitive threats</w:t>
      </w:r>
    </w:p>
    <w:p w14:paraId="4B56FC5C" w14:textId="77777777" w:rsidR="008E36CD" w:rsidRPr="008E36CD" w:rsidRDefault="002D3389" w:rsidP="008E36CD">
      <w:pPr>
        <w:spacing w:before="225" w:after="225" w:line="240" w:lineRule="auto"/>
        <w:rPr>
          <w:rFonts w:ascii="Microsoft YaHei" w:eastAsia="Microsoft YaHei" w:hAnsi="Microsoft YaHei" w:cs="Times New Roman" w:hint="eastAsia"/>
          <w:kern w:val="0"/>
          <w:sz w:val="21"/>
          <w:szCs w:val="21"/>
          <w14:ligatures w14:val="none"/>
        </w:rPr>
      </w:pPr>
      <w:r w:rsidRPr="002D3389">
        <w:rPr>
          <w:rFonts w:ascii="Times New Roman" w:eastAsia="Times New Roman" w:hAnsi="Times New Roman" w:cs="Times New Roman"/>
          <w:noProof/>
          <w:kern w:val="0"/>
        </w:rPr>
        <w:pict w14:anchorId="2341EBDF">
          <v:rect id="_x0000_i1026" alt="" style="width:468pt;height:.05pt;mso-width-percent:0;mso-height-percent:0;mso-width-percent:0;mso-height-percent:0" o:hrstd="t" o:hrnoshade="t" o:hr="t" fillcolor="#333" stroked="f"/>
        </w:pict>
      </w:r>
    </w:p>
    <w:p w14:paraId="631C2226" w14:textId="77777777" w:rsidR="008E36CD" w:rsidRPr="008E36CD" w:rsidRDefault="008E36CD" w:rsidP="008E36CD">
      <w:pPr>
        <w:pBdr>
          <w:bottom w:val="single" w:sz="6" w:space="4" w:color="EEEEEE"/>
        </w:pBdr>
        <w:spacing w:after="0" w:line="240" w:lineRule="auto"/>
        <w:outlineLvl w:val="1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42"/>
          <w:szCs w:val="42"/>
          <w14:ligatures w14:val="none"/>
        </w:rPr>
      </w:pPr>
      <w:bookmarkStart w:id="10" w:name="Expected_Financial_Impact"/>
      <w:bookmarkEnd w:id="10"/>
      <w:r w:rsidRPr="008E36CD"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42"/>
          <w:szCs w:val="42"/>
          <w14:ligatures w14:val="none"/>
        </w:rPr>
        <w:t>Expected Financial Impact</w:t>
      </w:r>
    </w:p>
    <w:p w14:paraId="4956E5A5" w14:textId="77777777" w:rsidR="008E36CD" w:rsidRPr="008E36CD" w:rsidRDefault="008E36CD" w:rsidP="008E36CD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12-Month Projections:</w:t>
      </w:r>
    </w:p>
    <w:p w14:paraId="25B4BC9D" w14:textId="77777777" w:rsidR="008E36CD" w:rsidRPr="008E36CD" w:rsidRDefault="008E36CD" w:rsidP="008E36CD">
      <w:pPr>
        <w:numPr>
          <w:ilvl w:val="0"/>
          <w:numId w:val="7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Central Region Recovery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 +$50K annual profit through discount discipline and product mix optimization</w:t>
      </w:r>
    </w:p>
    <w:p w14:paraId="21B4AC6D" w14:textId="77777777" w:rsidR="008E36CD" w:rsidRPr="008E36CD" w:rsidRDefault="008E36CD" w:rsidP="008E36CD">
      <w:pPr>
        <w:numPr>
          <w:ilvl w:val="0"/>
          <w:numId w:val="7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South Home Office Growth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 +$25K annual profit through strategy alignment</w:t>
      </w:r>
    </w:p>
    <w:p w14:paraId="2B479FD3" w14:textId="77777777" w:rsidR="008E36CD" w:rsidRPr="008E36CD" w:rsidRDefault="008E36CD" w:rsidP="008E36CD">
      <w:pPr>
        <w:numPr>
          <w:ilvl w:val="0"/>
          <w:numId w:val="7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East/West Expansion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 +$75K annual profit through enhanced focus on proven segments</w:t>
      </w:r>
    </w:p>
    <w:p w14:paraId="75CB2D67" w14:textId="77777777" w:rsidR="008E36CD" w:rsidRPr="008E36CD" w:rsidRDefault="008E36CD" w:rsidP="008E36CD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Total Expected Improvement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 </w:t>
      </w: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+$150K annual profit (50% increase)</w:t>
      </w:r>
    </w:p>
    <w:p w14:paraId="0E99BAC3" w14:textId="77777777" w:rsidR="008E36CD" w:rsidRPr="008E36CD" w:rsidRDefault="002D3389" w:rsidP="008E36CD">
      <w:pPr>
        <w:spacing w:before="225" w:after="225" w:line="240" w:lineRule="auto"/>
        <w:rPr>
          <w:rFonts w:ascii="Microsoft YaHei" w:eastAsia="Microsoft YaHei" w:hAnsi="Microsoft YaHei" w:cs="Times New Roman" w:hint="eastAsia"/>
          <w:kern w:val="0"/>
          <w:sz w:val="21"/>
          <w:szCs w:val="21"/>
          <w14:ligatures w14:val="none"/>
        </w:rPr>
      </w:pPr>
      <w:r w:rsidRPr="002D3389">
        <w:rPr>
          <w:rFonts w:ascii="Times New Roman" w:eastAsia="Times New Roman" w:hAnsi="Times New Roman" w:cs="Times New Roman"/>
          <w:noProof/>
          <w:kern w:val="0"/>
        </w:rPr>
        <w:pict w14:anchorId="33027DB7">
          <v:rect id="_x0000_i1025" alt="" style="width:468pt;height:.05pt;mso-width-percent:0;mso-height-percent:0;mso-width-percent:0;mso-height-percent:0" o:hrstd="t" o:hrnoshade="t" o:hr="t" fillcolor="#333" stroked="f"/>
        </w:pict>
      </w:r>
    </w:p>
    <w:p w14:paraId="3A9E855C" w14:textId="77777777" w:rsidR="008E36CD" w:rsidRPr="008E36CD" w:rsidRDefault="008E36CD" w:rsidP="008E36CD">
      <w:pPr>
        <w:pBdr>
          <w:bottom w:val="single" w:sz="6" w:space="4" w:color="EEEEEE"/>
        </w:pBdr>
        <w:spacing w:after="0" w:line="240" w:lineRule="auto"/>
        <w:outlineLvl w:val="1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42"/>
          <w:szCs w:val="42"/>
          <w14:ligatures w14:val="none"/>
        </w:rPr>
      </w:pPr>
      <w:bookmarkStart w:id="11" w:name="Success_Metrics_&amp;_Timeline"/>
      <w:bookmarkEnd w:id="11"/>
      <w:r w:rsidRPr="008E36CD"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42"/>
          <w:szCs w:val="42"/>
          <w14:ligatures w14:val="none"/>
        </w:rPr>
        <w:t>Success Metrics &amp; Timeline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8"/>
        <w:gridCol w:w="1959"/>
        <w:gridCol w:w="1668"/>
      </w:tblGrid>
      <w:tr w:rsidR="008E36CD" w:rsidRPr="008E36CD" w14:paraId="3A3DFA62" w14:textId="77777777" w:rsidTr="008E36C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EEEF0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Metric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16932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D6E51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Timeline</w:t>
            </w:r>
          </w:p>
        </w:tc>
      </w:tr>
      <w:tr w:rsidR="008E36CD" w:rsidRPr="008E36CD" w14:paraId="79F83144" w14:textId="77777777" w:rsidTr="008E36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B5D16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Central </w:t>
            </w:r>
            <w:proofErr w:type="gramStart"/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region</w:t>
            </w:r>
            <w:proofErr w:type="gramEnd"/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 profit margin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F0CE2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Break-even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DDF31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Q1</w:t>
            </w:r>
          </w:p>
        </w:tc>
      </w:tr>
      <w:tr w:rsidR="008E36CD" w:rsidRPr="008E36CD" w14:paraId="1BA5D2E0" w14:textId="77777777" w:rsidTr="008E36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6EF12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South Home Office segment contribution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E58A2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+10%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B298D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Q2</w:t>
            </w:r>
          </w:p>
        </w:tc>
      </w:tr>
      <w:tr w:rsidR="008E36CD" w:rsidRPr="008E36CD" w14:paraId="6B529AD1" w14:textId="77777777" w:rsidTr="008E36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7AE3F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Overall company profit growth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47CAE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+15%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FF83A" w14:textId="77777777" w:rsidR="008E36CD" w:rsidRPr="008E36CD" w:rsidRDefault="008E36CD" w:rsidP="008E36C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8E36C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Q4</w:t>
            </w:r>
          </w:p>
        </w:tc>
      </w:tr>
    </w:tbl>
    <w:p w14:paraId="5B0A2448" w14:textId="77777777" w:rsidR="008E36CD" w:rsidRPr="008E36CD" w:rsidRDefault="008E36CD" w:rsidP="008E36CD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8E36C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14:ligatures w14:val="none"/>
        </w:rPr>
        <w:t>Next Steps</w:t>
      </w:r>
      <w:r w:rsidRPr="008E36C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: Present findings to executive leadership, assign pillar owners, and begin immediate interventions in Central region.</w:t>
      </w:r>
    </w:p>
    <w:p w14:paraId="382FA4AD" w14:textId="77777777" w:rsidR="00566DFA" w:rsidRDefault="00566DFA"/>
    <w:sectPr w:rsidR="00566D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9CFA2" w14:textId="77777777" w:rsidR="002D3389" w:rsidRDefault="002D3389" w:rsidP="008E36CD">
      <w:pPr>
        <w:spacing w:after="0" w:line="240" w:lineRule="auto"/>
      </w:pPr>
      <w:r>
        <w:separator/>
      </w:r>
    </w:p>
  </w:endnote>
  <w:endnote w:type="continuationSeparator" w:id="0">
    <w:p w14:paraId="562A2C47" w14:textId="77777777" w:rsidR="002D3389" w:rsidRDefault="002D3389" w:rsidP="008E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iragino Sans GB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4979C" w14:textId="77777777" w:rsidR="002D3389" w:rsidRDefault="002D3389" w:rsidP="008E36CD">
      <w:pPr>
        <w:spacing w:after="0" w:line="240" w:lineRule="auto"/>
      </w:pPr>
      <w:r>
        <w:separator/>
      </w:r>
    </w:p>
  </w:footnote>
  <w:footnote w:type="continuationSeparator" w:id="0">
    <w:p w14:paraId="30A3B3E0" w14:textId="77777777" w:rsidR="002D3389" w:rsidRDefault="002D3389" w:rsidP="008E3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CD6AF" w14:textId="174CB230" w:rsidR="008E36CD" w:rsidRDefault="008E36CD">
    <w:pPr>
      <w:pStyle w:val="Header"/>
    </w:pPr>
    <w:r>
      <w:t>Sai Nuka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774B"/>
    <w:multiLevelType w:val="multilevel"/>
    <w:tmpl w:val="8B54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36F0E"/>
    <w:multiLevelType w:val="multilevel"/>
    <w:tmpl w:val="8F5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85A09"/>
    <w:multiLevelType w:val="multilevel"/>
    <w:tmpl w:val="A57E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B700A"/>
    <w:multiLevelType w:val="multilevel"/>
    <w:tmpl w:val="D8B65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A0829"/>
    <w:multiLevelType w:val="multilevel"/>
    <w:tmpl w:val="8C60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20586"/>
    <w:multiLevelType w:val="multilevel"/>
    <w:tmpl w:val="4C4C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D72D3"/>
    <w:multiLevelType w:val="multilevel"/>
    <w:tmpl w:val="9D5E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234380">
    <w:abstractNumId w:val="5"/>
  </w:num>
  <w:num w:numId="2" w16cid:durableId="1135413928">
    <w:abstractNumId w:val="0"/>
  </w:num>
  <w:num w:numId="3" w16cid:durableId="851263534">
    <w:abstractNumId w:val="6"/>
  </w:num>
  <w:num w:numId="4" w16cid:durableId="98061795">
    <w:abstractNumId w:val="2"/>
  </w:num>
  <w:num w:numId="5" w16cid:durableId="659233963">
    <w:abstractNumId w:val="3"/>
  </w:num>
  <w:num w:numId="6" w16cid:durableId="1504667566">
    <w:abstractNumId w:val="1"/>
  </w:num>
  <w:num w:numId="7" w16cid:durableId="1104688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CD"/>
    <w:rsid w:val="00146EE4"/>
    <w:rsid w:val="002D3389"/>
    <w:rsid w:val="00566DFA"/>
    <w:rsid w:val="0063724C"/>
    <w:rsid w:val="008E36CD"/>
    <w:rsid w:val="00D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0E3C"/>
  <w15:chartTrackingRefBased/>
  <w15:docId w15:val="{0DE3F8E3-A8B8-CD44-8871-4845F56E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3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3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6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E36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36C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6CD"/>
  </w:style>
  <w:style w:type="paragraph" w:styleId="Footer">
    <w:name w:val="footer"/>
    <w:basedOn w:val="Normal"/>
    <w:link w:val="FooterChar"/>
    <w:uiPriority w:val="99"/>
    <w:unhideWhenUsed/>
    <w:rsid w:val="008E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Nuka</dc:creator>
  <cp:keywords/>
  <dc:description/>
  <cp:lastModifiedBy>Sai Nuka</cp:lastModifiedBy>
  <cp:revision>1</cp:revision>
  <dcterms:created xsi:type="dcterms:W3CDTF">2025-07-14T17:33:00Z</dcterms:created>
  <dcterms:modified xsi:type="dcterms:W3CDTF">2025-07-14T17:34:00Z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2025-07-14T17:34:40Z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407f956a-85ee-4b01-a4e5-c66ea4ae7833</vt:lpwstr>
  </property>
  <property fmtid="{D5CDD505-2E9C-101B-9397-08002B2CF9AE}" pid="7" name="MSIP_Label_defa4170-0d19-0005-0004-bc88714345d2_ActionId">
    <vt:lpwstr>7c1eac3f-6384-42c6-b847-1c14e0f2c281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