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Calibri" w:cs="Calibri" w:eastAsia="Calibri" w:hAnsi="Calibri"/>
          <w:b/>
          <w:bCs/>
          <w:color w:val="0F172A"/>
          <w:sz w:val="64"/>
          <w:szCs w:val="64"/>
        </w:rPr>
        <w:t xml:space="preserve">PlantProcess IQ</w:t>
      </w:r>
    </w:p>
    <w:p>
      <w:pPr>
        <w:spacing w:after="100" w:before="100"/>
        <w:jc w:val="center"/>
      </w:pPr>
      <w:r>
        <w:rPr>
          <w:rFonts w:ascii="Calibri" w:cs="Calibri" w:eastAsia="Calibri" w:hAnsi="Calibri"/>
          <w:i/>
          <w:iCs/>
          <w:color w:val="0891B2"/>
          <w:sz w:val="36"/>
          <w:szCs w:val="36"/>
        </w:rPr>
        <w:t xml:space="preserve">Strategic Code Validation</w:t>
      </w:r>
    </w:p>
    <w:p>
      <w:pPr>
        <w:spacing w:after="600"/>
        <w:jc w:val="center"/>
      </w:pPr>
      <w:r>
        <w:rPr>
          <w:rFonts w:ascii="Calibri" w:cs="Calibri" w:eastAsia="Calibri" w:hAnsi="Calibri"/>
          <w:i/>
          <w:iCs/>
          <w:color w:val="0891B2"/>
          <w:sz w:val="36"/>
          <w:szCs w:val="36"/>
        </w:rPr>
        <w:t xml:space="preserve">&amp; Vision-Alignment Report</w:t>
      </w:r>
    </w:p>
    <w:p>
      <w:pPr>
        <w:spacing w:after="200" w:before="400"/>
        <w:jc w:val="center"/>
      </w:pPr>
      <w:r>
        <w:rPr>
          <w:rFonts w:ascii="Calibri" w:cs="Calibri" w:eastAsia="Calibri" w:hAnsi="Calibri"/>
          <w:i/>
          <w:iCs/>
          <w:color w:val="475569"/>
          <w:sz w:val="22"/>
          <w:szCs w:val="22"/>
        </w:rPr>
        <w:t xml:space="preserve">Independent deep audit of the entire codebase against the Latest Vision document and the GTM V4.1 plan</w:t>
      </w:r>
    </w:p>
    <w:p>
      <w:pPr>
        <w:spacing w:after="100" w:before="800"/>
        <w:jc w:val="center"/>
      </w:pPr>
      <w:r>
        <w:rPr>
          <w:rFonts w:ascii="Calibri" w:cs="Calibri" w:eastAsia="Calibri" w:hAnsi="Calibri"/>
          <w:b/>
          <w:bCs/>
          <w:color w:val="111827"/>
          <w:sz w:val="24"/>
          <w:szCs w:val="24"/>
        </w:rPr>
        <w:t xml:space="preserve">Version 1.0  ·  22 May 2026</w:t>
      </w:r>
    </w:p>
    <w:p>
      <w:pPr>
        <w:spacing w:after="100"/>
        <w:jc w:val="center"/>
      </w:pPr>
      <w:r>
        <w:rPr>
          <w:rFonts w:ascii="Calibri" w:cs="Calibri" w:eastAsia="Calibri" w:hAnsi="Calibri"/>
          <w:i/>
          <w:iCs/>
          <w:color w:val="475569"/>
          <w:sz w:val="22"/>
          <w:szCs w:val="22"/>
        </w:rPr>
        <w:t xml:space="preserve">Confidential — SOU Industrial Software</w:t>
      </w:r>
    </w:p>
    <w:p>
      <w:r>
        <w:br w:type="page"/>
      </w:r>
    </w:p>
    <w:p>
      <w:pPr>
        <w:pStyle w:val="Heading1"/>
        <w:spacing w:after="200" w:before="360"/>
      </w:pPr>
      <w:r>
        <w:rPr>
          <w:rFonts w:ascii="Calibri" w:cs="Calibri" w:eastAsia="Calibri" w:hAnsi="Calibri"/>
          <w:b/>
          <w:bCs/>
          <w:color w:val="0F172A"/>
          <w:sz w:val="36"/>
          <w:szCs w:val="36"/>
        </w:rPr>
        <w:t xml:space="preserve">Executive Summary</w:t>
      </w:r>
    </w:p>
    <w:p>
      <w:pPr>
        <w:spacing w:after="120"/>
        <w:jc w:val="left"/>
      </w:pPr>
      <w:r>
        <w:rPr>
          <w:rFonts w:ascii="Calibri" w:cs="Calibri" w:eastAsia="Calibri" w:hAnsi="Calibri"/>
          <w:b w:val="false"/>
          <w:bCs w:val="false"/>
          <w:i w:val="false"/>
          <w:iCs w:val="false"/>
          <w:color w:val="111827"/>
          <w:sz w:val="22"/>
          <w:szCs w:val="22"/>
        </w:rPr>
        <w:t xml:space="preserve">This document is an independent deep audit of the entire PlantProcess IQ codebase — 559 files, 84,168 lines, 2.881 MB — cross-referenced line by line against the Latest Vision document, the GTM V4.1 plan, and the previously authored Status Audit Report (May 2026). It answers three questions: what is the actual current status, whether the current implementation has remained faithful to the original vision, and what bug fixes or hot fixes are required to back the work on track.</w:t>
      </w:r>
    </w:p>
    <w:p>
      <w:pPr>
        <w:spacing w:after="120"/>
        <w:jc w:val="left"/>
      </w:pPr>
      <w:r>
        <w:rPr>
          <w:rFonts w:ascii="Calibri" w:cs="Calibri" w:eastAsia="Calibri" w:hAnsi="Calibri"/>
          <w:b w:val="false"/>
          <w:bCs w:val="false"/>
          <w:i w:val="false"/>
          <w:iCs w:val="false"/>
          <w:color w:val="111827"/>
          <w:sz w:val="22"/>
          <w:szCs w:val="22"/>
        </w:rPr>
        <w:t xml:space="preserve">The headline result is direct: the work is substantially further along than the previously authored Status Audit Report claims. The audit was generated against a snapshot from roughly ten to fourteen days before this report, and is materially obsolete. Eleven of the fourteen items it marks as critical or missing are now resolved in code, three remain genuinely open, and the architecture remains faithful to the vision in every direction it has chosen to build.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ONE-LINE VERDICT</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The code matches the vision. The previous audit does not match the code. The single highest-priority corrective action is non-technical: rewrite the Status Audit Report so it stops describing a weaker product than what exists.</w:t>
            </w:r>
          </w:p>
        </w:tc>
      </w:tr>
    </w:tbl>
    <w:p>
      <w:r>
        <w:t xml:space="preserve"/>
      </w:r>
    </w:p>
    <w:p>
      <w:pPr>
        <w:pStyle w:val="Heading2"/>
        <w:spacing w:after="160" w:before="280"/>
      </w:pPr>
      <w:r>
        <w:rPr>
          <w:rFonts w:ascii="Calibri" w:cs="Calibri" w:eastAsia="Calibri" w:hAnsi="Calibri"/>
          <w:b/>
          <w:bCs/>
          <w:color w:val="0F172A"/>
          <w:sz w:val="28"/>
          <w:szCs w:val="28"/>
        </w:rPr>
        <w:t xml:space="preserve">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Dimension</w:t>
            </w:r>
          </w:p>
        </w:tc>
        <w:tc>
          <w:tcPr>
            <w:tcW w:type="dxa" w:w="18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Status</w:t>
            </w:r>
          </w:p>
        </w:tc>
        <w:tc>
          <w:tcPr>
            <w:tcW w:type="dxa" w:w="51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Direction</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Codebase architecture &amp; quality</w:t>
            </w:r>
          </w:p>
        </w:tc>
        <w:tc>
          <w:tcPr>
            <w:tcW w:type="dxa" w:w="180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EXCELLENT</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Clean Architecture enforced as a test. Zero SQL injection vectors. License-tier limits in code, not data.</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Database connectivity vs Vision §1.1</w:t>
            </w:r>
          </w:p>
        </w:tc>
        <w:tc>
          <w:tcPr>
            <w:tcW w:type="dxa" w:w="180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ON TRACK</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of 6 connectors built (CSV, Excel, PostgreSQL, MSSQL, MySQL). Oracle remains.</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Two-stage import (raw staging → canonical)</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Architecturally complete and exactly matches Vision §1.2–§1.3.</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 configuration &amp; SQL view builder</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Complete with one security-tightening recommendation on the SQL validator.</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Per-source import scheduling</w:t>
            </w:r>
          </w:p>
        </w:tc>
        <w:tc>
          <w:tcPr>
            <w:tcW w:type="dxa" w:w="180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 captures intent; executor ignores per-profile rate (vision-critical fix).</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Jobs Monitor &amp; operational visibility</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Real JobDefinition + JobRunHistory wired across all background work.</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Page management (Vision §2.1)</w:t>
            </w:r>
          </w:p>
        </w:tc>
        <w:tc>
          <w:tcPr>
            <w:tcW w:type="dxa" w:w="180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Dashboard CRUD = pages functionally; no separate Page abstraction yet.</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Widget script layer (Vision §2.2)</w:t>
            </w:r>
          </w:p>
        </w:tc>
        <w:tc>
          <w:tcPr>
            <w:tcW w:type="dxa" w:w="18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 feature reserved; implementation pending. Anti-pattern risk.</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ML engine (Vision §3)</w:t>
            </w:r>
          </w:p>
        </w:tc>
        <w:tc>
          <w:tcPr>
            <w:tcW w:type="dxa" w:w="180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DELAYED</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Correctly delayed per GTM Phase 9 (M16). Infrastructure ready.</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 enforcement</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Full LicenseService, 34-feature enum, 4 tiers, matches GTM V4.1 §3.3 exactly.</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RBAC (4 roles)</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All four policies registered: Admin, DataManager, Engineer, Viewer.</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CI/CD pipeline</w:t>
            </w:r>
          </w:p>
        </w:tc>
        <w:tc>
          <w:tcPr>
            <w:tcW w:type="dxa" w:w="18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All 4 audit gaps closed: auto-migration, smoke + e2e, email, rollback.</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Audit log (Pilot Blocker 2)</w:t>
            </w:r>
          </w:p>
        </w:tc>
        <w:tc>
          <w:tcPr>
            <w:tcW w:type="dxa" w:w="18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Genuinely missing. 4–6 hour fix path documented in §3.3.</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Tenant isolation (Pilot Blocker 3)</w:t>
            </w:r>
          </w:p>
        </w:tc>
        <w:tc>
          <w:tcPr>
            <w:tcW w:type="dxa" w:w="18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TenantId on entities. Defer with single-tenant SOW until shared-tenancy contract.</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Public website go-live</w:t>
            </w:r>
          </w:p>
        </w:tc>
        <w:tc>
          <w:tcPr>
            <w:tcW w:type="dxa" w:w="180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Hosted on Hetzner via IP+port. DNS + Caddyfile rewrite needed before publish.</w:t>
            </w:r>
          </w:p>
        </w:tc>
      </w:tr>
      <w:tr>
        <w:tc>
          <w:tcPr>
            <w:tcW w:type="dxa" w:w="2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Test coverage</w:t>
            </w:r>
          </w:p>
        </w:tc>
        <w:tc>
          <w:tcPr>
            <w:tcW w:type="dxa" w:w="180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IMPROVING</w:t>
            </w:r>
          </w:p>
        </w:tc>
        <w:tc>
          <w:tcPr>
            <w:tcW w:type="dxa" w:w="5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26 files / 1,447 lines (up from audit's 17 / 602). New: license, SafeSql, connectors.</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Sections that follow give the line-level evidence behind each row, the specific hot fixes and bug fixes required, and a sequenced two-week patch plan that closes the largest remaining gaps while keeping the team focused on the commercial milestones in the GTM.</w:t>
      </w:r>
    </w:p>
    <w:p>
      <w:r>
        <w:br w:type="page"/>
      </w:r>
    </w:p>
    <w:p>
      <w:pPr>
        <w:pStyle w:val="Heading1"/>
        <w:spacing w:after="200" w:before="360"/>
      </w:pPr>
      <w:r>
        <w:rPr>
          <w:rFonts w:ascii="Calibri" w:cs="Calibri" w:eastAsia="Calibri" w:hAnsi="Calibri"/>
          <w:b/>
          <w:bCs/>
          <w:color w:val="0F172A"/>
          <w:sz w:val="36"/>
          <w:szCs w:val="36"/>
        </w:rPr>
        <w:t xml:space="preserve">1.  Current Status — Detailed Professional Assessment</w:t>
      </w:r>
    </w:p>
    <w:p>
      <w:pPr>
        <w:spacing w:after="120"/>
        <w:jc w:val="left"/>
      </w:pPr>
      <w:r>
        <w:rPr>
          <w:rFonts w:ascii="Calibri" w:cs="Calibri" w:eastAsia="Calibri" w:hAnsi="Calibri"/>
          <w:b w:val="false"/>
          <w:bCs w:val="false"/>
          <w:i w:val="false"/>
          <w:iCs w:val="false"/>
          <w:color w:val="111827"/>
          <w:sz w:val="22"/>
          <w:szCs w:val="22"/>
        </w:rPr>
        <w:t xml:space="preserve">This section is a comprehensive, evidence-based assessment of every meaningful component of the system. Every claim is backed by a file path, line number, and the modification date observed in the audit package. Where a previous audit claim has been resolved, the resolution is named.</w:t>
      </w:r>
    </w:p>
    <w:p>
      <w:pPr>
        <w:pStyle w:val="Heading2"/>
        <w:spacing w:after="160" w:before="280"/>
      </w:pPr>
      <w:r>
        <w:rPr>
          <w:rFonts w:ascii="Calibri" w:cs="Calibri" w:eastAsia="Calibri" w:hAnsi="Calibri"/>
          <w:b/>
          <w:bCs/>
          <w:color w:val="0F172A"/>
          <w:sz w:val="28"/>
          <w:szCs w:val="28"/>
        </w:rPr>
        <w:t xml:space="preserve">1.1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500"/>
        <w:gridCol w:w="2160"/>
      </w:tblGrid>
      <w:tr>
        <w:tc>
          <w:tcPr>
            <w:tcW w:type="dxa" w:w="4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Layer</w:t>
            </w:r>
          </w:p>
        </w:tc>
        <w:tc>
          <w:tcPr>
            <w:tcW w:type="dxa" w:w="1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Files</w:t>
            </w:r>
          </w:p>
        </w:tc>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Lines</w:t>
            </w:r>
          </w:p>
        </w:tc>
        <w:tc>
          <w:tcPr>
            <w:tcW w:type="dxa" w:w="21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Size</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 Core (API · Application · Domain · Infrastructure · Workers)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291</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38,908</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1.43 MB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 Database (scripts · seed · views)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16</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5,458</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300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 Tests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26</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1,447</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49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Frontend App (PlantProcess.Web React 19)</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148</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25,565</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722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Frontend Misc (E2E · scripts · reports)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961</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28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 (Deployment · Docker · Caddy · CI/CD)</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413</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Tools, Validation Scripts, Root Config</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33</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8,915</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272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Website (PlantProcess.Website)</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26</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2,501</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65 KB</w:t>
            </w:r>
          </w:p>
        </w:tc>
      </w:tr>
      <w:tr>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TOTAL</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559</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84,168</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2.88 MB</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This is a materially strong codebase by every relevant measure. The ratio between Backend Core (291 files) and Backend Tests (26 files) understates the test situation because the test files now cover the highest-risk components, not the highest line counts: license enforcement, SQL safety policy, connector truth contracts, frontend architecture rules, and connector smoke tests.</w:t>
      </w:r>
    </w:p>
    <w:p>
      <w:pPr>
        <w:pStyle w:val="Heading2"/>
        <w:spacing w:after="160" w:before="280"/>
      </w:pPr>
      <w:r>
        <w:rPr>
          <w:rFonts w:ascii="Calibri" w:cs="Calibri" w:eastAsia="Calibri" w:hAnsi="Calibri"/>
          <w:b/>
          <w:bCs/>
          <w:color w:val="0F172A"/>
          <w:sz w:val="28"/>
          <w:szCs w:val="28"/>
        </w:rPr>
        <w:t xml:space="preserve">1.2  Architecture — Clean Architecture, Verified</w:t>
      </w:r>
    </w:p>
    <w:p>
      <w:pPr>
        <w:spacing w:after="120"/>
        <w:jc w:val="left"/>
      </w:pPr>
      <w:r>
        <w:rPr>
          <w:rFonts w:ascii="Calibri" w:cs="Calibri" w:eastAsia="Calibri" w:hAnsi="Calibri"/>
          <w:b w:val="false"/>
          <w:bCs w:val="false"/>
          <w:i w:val="false"/>
          <w:iCs w:val="false"/>
          <w:color w:val="111827"/>
          <w:sz w:val="22"/>
          <w:szCs w:val="22"/>
        </w:rPr>
        <w:t xml:space="preserve">The backend follows strict Clean Architecture across four independent projects. The separation is not a convention — it is enforced as an automated test (Backend/tests/PlantProcess.Domain.Tests/Architecture/DomainArchitectureTests.cs, 51 lines), which fails the build if any Domain code reaches into Application or Infrastructure. This is rare in codebases of this size and is a meaningful signal of long-term maintainability.</w:t>
      </w:r>
    </w:p>
    <w:p>
      <w:pPr>
        <w:pStyle w:val="Heading3"/>
        <w:spacing w:after="120" w:before="220"/>
      </w:pPr>
      <w:r>
        <w:rPr>
          <w:rFonts w:ascii="Calibri" w:cs="Calibri" w:eastAsia="Calibri" w:hAnsi="Calibri"/>
          <w:b/>
          <w:bCs/>
          <w:color w:val="0891B2"/>
          <w:sz w:val="24"/>
          <w:szCs w:val="24"/>
        </w:rPr>
        <w:t xml:space="preserve">Domain Layer</w:t>
      </w:r>
    </w:p>
    <w:p>
      <w:pPr>
        <w:spacing w:after="120"/>
        <w:jc w:val="left"/>
      </w:pPr>
      <w:r>
        <w:rPr>
          <w:rFonts w:ascii="Calibri" w:cs="Calibri" w:eastAsia="Calibri" w:hAnsi="Calibri"/>
          <w:b w:val="false"/>
          <w:bCs w:val="false"/>
          <w:i w:val="false"/>
          <w:iCs w:val="false"/>
          <w:color w:val="111827"/>
          <w:sz w:val="22"/>
          <w:szCs w:val="22"/>
        </w:rPr>
        <w:t xml:space="preserve">35 entities organised by aggregate: PlantLayout (Site, Area, Equipment), Configuration (IndustryTemplate, MaterialUnitTypeDefinition, OperationDefinition, Route, RouteStep), Integration (12 entities including ConnectionProfile, SourceDatasetDefinition, SchemaViewDefinition, KpiDefinition, JobDefinition, JobRunHistory, MappingDefinition, StagingRecord, ImportBatch, SourceFieldDefinition, SourceSystemDefinition), Materials (MaterialUnit, MaterialAlias, GenealogyEdge), Process (ProcessStepExecution, ParameterDefinition, ParameterObservation, ProcessEvent, DowntimeEvent), Quality (DefectCatalog, QualityEvent, DataQualityIssue), Analytics (RiskScore, CorrelationResult, ModelRegistry), and Dashboarding (DashboardDefinition, DashboardWidgetDefinition). Every entity descends from BaseEntity, which provides soft delete, UTC and plant-local dual timestamps, PostgreSQL xmin optimistic concurrency, and synthetic / source-system traceability.</w:t>
      </w:r>
    </w:p>
    <w:p>
      <w:pPr>
        <w:pStyle w:val="Heading3"/>
        <w:spacing w:after="120" w:before="220"/>
      </w:pPr>
      <w:r>
        <w:rPr>
          <w:rFonts w:ascii="Calibri" w:cs="Calibri" w:eastAsia="Calibri" w:hAnsi="Calibri"/>
          <w:b/>
          <w:bCs/>
          <w:color w:val="0891B2"/>
          <w:sz w:val="24"/>
          <w:szCs w:val="24"/>
        </w:rPr>
        <w:t xml:space="preserve">Application Layer</w:t>
      </w:r>
    </w:p>
    <w:p>
      <w:pPr>
        <w:spacing w:after="120"/>
        <w:jc w:val="left"/>
      </w:pPr>
      <w:r>
        <w:rPr>
          <w:rFonts w:ascii="Calibri" w:cs="Calibri" w:eastAsia="Calibri" w:hAnsi="Calibri"/>
          <w:b w:val="false"/>
          <w:bCs w:val="false"/>
          <w:i w:val="false"/>
          <w:iCs w:val="false"/>
          <w:color w:val="111827"/>
          <w:sz w:val="22"/>
          <w:szCs w:val="22"/>
        </w:rPr>
        <w:t xml:space="preserve">41 services across 26 interfaces and 41 DTOs. All public services return the ApplicationResult&lt;T&gt; monad rather than throwing exceptions for business validation, which makes the API response model uniform and predictable. Notable services: CorrelationService (437 lines), FeatureEngineeringService (445 lines), MlReadinessService (482 lines), RiskScoreService (392 lines), QualityLabelBuilderService (245 lines), DashboardQueryService, MappingExecutionService, ImportWorkflowService, DeltaImportExecutionService (314 lines), JobRuntimeService, ApplicationReadinessService.</w:t>
      </w:r>
    </w:p>
    <w:p>
      <w:pPr>
        <w:pStyle w:val="Heading3"/>
        <w:spacing w:after="120" w:before="220"/>
      </w:pPr>
      <w:r>
        <w:rPr>
          <w:rFonts w:ascii="Calibri" w:cs="Calibri" w:eastAsia="Calibri" w:hAnsi="Calibri"/>
          <w:b/>
          <w:bCs/>
          <w:color w:val="0891B2"/>
          <w:sz w:val="24"/>
          <w:szCs w:val="24"/>
        </w:rPr>
        <w:t xml:space="preserve">Infrastructure Layer</w:t>
      </w:r>
    </w:p>
    <w:p>
      <w:pPr>
        <w:spacing w:after="120"/>
        <w:jc w:val="left"/>
      </w:pPr>
      <w:r>
        <w:rPr>
          <w:rFonts w:ascii="Calibri" w:cs="Calibri" w:eastAsia="Calibri" w:hAnsi="Calibri"/>
          <w:b w:val="false"/>
          <w:bCs w:val="false"/>
          <w:i w:val="false"/>
          <w:iCs w:val="false"/>
          <w:color w:val="111827"/>
          <w:sz w:val="22"/>
          <w:szCs w:val="22"/>
        </w:rPr>
        <w:t xml:space="preserve">PostgreSQL 17 with EF Core 9, 36 entity configurations in dedicated files. UTC converter applied globally via reflection so every DateTime is stored UTC. Soft-delete global query filters defined via Expression API so deleted rows never accidentally appear. High-throughput parameter observation ingestion via NpgsqlBulkCopy in TelemetryBulkRepository. Five concrete data-source connectors: CsvConnector (505 lines), ExcelConnector (407 lines, ClosedXML), PostgreSqlConnector (323 lines, Npgsql), MsSqlConnector (401 lines, Microsoft.Data.SqlClient), MySqlConnector (389 lines, MySqlConnector community driver). All implement the same three interfaces — IDataSourceConnector, ISchemaReader, IDataSourceReader — for contract symmetry, normalised through DataSourceConnectorFactory.</w:t>
      </w:r>
    </w:p>
    <w:p>
      <w:pPr>
        <w:pStyle w:val="Heading3"/>
        <w:spacing w:after="120" w:before="220"/>
      </w:pPr>
      <w:r>
        <w:rPr>
          <w:rFonts w:ascii="Calibri" w:cs="Calibri" w:eastAsia="Calibri" w:hAnsi="Calibri"/>
          <w:b/>
          <w:bCs/>
          <w:color w:val="0891B2"/>
          <w:sz w:val="24"/>
          <w:szCs w:val="24"/>
        </w:rPr>
        <w:t xml:space="preserve">API Layer</w:t>
      </w:r>
    </w:p>
    <w:p>
      <w:pPr>
        <w:spacing w:after="120"/>
        <w:jc w:val="left"/>
      </w:pPr>
      <w:r>
        <w:rPr>
          <w:rFonts w:ascii="Calibri" w:cs="Calibri" w:eastAsia="Calibri" w:hAnsi="Calibri"/>
          <w:b w:val="false"/>
          <w:bCs w:val="false"/>
          <w:i w:val="false"/>
          <w:iCs w:val="false"/>
          <w:color w:val="111827"/>
          <w:sz w:val="22"/>
          <w:szCs w:val="22"/>
        </w:rPr>
        <w:t xml:space="preserve">ASP.NET 9 Minimal APIs. 23 endpoint groups totaling 9,287 lines. The standout file is Workflow/WorkflowEndpoints.cs at 1,148 lines, which implements the full multi-hop genealogy-aware material investigation. JWT authentication with four named policies. StartupConfigurationValidator (285 lines) validates configuration at boot before the API listens. Serilog structured logging with CorrelationIdMiddleware and RequestResponseLoggingMiddleware.</w:t>
      </w:r>
    </w:p>
    <w:p>
      <w:pPr>
        <w:pStyle w:val="Heading3"/>
        <w:spacing w:after="120" w:before="220"/>
      </w:pPr>
      <w:r>
        <w:rPr>
          <w:rFonts w:ascii="Calibri" w:cs="Calibri" w:eastAsia="Calibri" w:hAnsi="Calibri"/>
          <w:b/>
          <w:bCs/>
          <w:color w:val="0891B2"/>
          <w:sz w:val="24"/>
          <w:szCs w:val="24"/>
        </w:rPr>
        <w:t xml:space="preserve">Workers</w:t>
      </w:r>
    </w:p>
    <w:p>
      <w:pPr>
        <w:spacing w:after="120"/>
        <w:jc w:val="left"/>
      </w:pPr>
      <w:r>
        <w:rPr>
          <w:rFonts w:ascii="Calibri" w:cs="Calibri" w:eastAsia="Calibri" w:hAnsi="Calibri"/>
          <w:b w:val="false"/>
          <w:bCs w:val="false"/>
          <w:i w:val="false"/>
          <w:iCs w:val="false"/>
          <w:color w:val="111827"/>
          <w:sz w:val="22"/>
          <w:szCs w:val="22"/>
        </w:rPr>
        <w:t xml:space="preserve">Two background services. Worker.cs (483 lines, modified 22 May 2026 20:21) orchestrates four jobs: ImportQueueProcessor (every 2 minutes by default), DataQualityScan (every hour), RiskScoring (every two hours), and the newly added DeltaImportJob (every 5 minutes). Every job follows the same start → execute → complete pattern with JobRunHistory persistence. TelemetryIngestionWorker.cs (123 lines) is a Channel-based bulk ingestion service designed for 5,000-row 1-second batches; correctly built but currently idle awaiting real-time connectors.</w:t>
      </w:r>
    </w:p>
    <w:p>
      <w:r>
        <w:br w:type="page"/>
      </w:r>
    </w:p>
    <w:p>
      <w:pPr>
        <w:pStyle w:val="Heading2"/>
        <w:spacing w:after="160" w:before="280"/>
      </w:pPr>
      <w:r>
        <w:rPr>
          <w:rFonts w:ascii="Calibri" w:cs="Calibri" w:eastAsia="Calibri" w:hAnsi="Calibri"/>
          <w:b/>
          <w:bCs/>
          <w:color w:val="0F172A"/>
          <w:sz w:val="28"/>
          <w:szCs w:val="28"/>
        </w:rPr>
        <w:t xml:space="preserve">1.3  Recent Code Activity Confirms Pace</w:t>
      </w:r>
    </w:p>
    <w:p>
      <w:pPr>
        <w:spacing w:after="120"/>
        <w:jc w:val="left"/>
      </w:pPr>
      <w:r>
        <w:rPr>
          <w:rFonts w:ascii="Calibri" w:cs="Calibri" w:eastAsia="Calibri" w:hAnsi="Calibri"/>
          <w:b w:val="false"/>
          <w:bCs w:val="false"/>
          <w:i w:val="false"/>
          <w:iCs w:val="false"/>
          <w:color w:val="111827"/>
          <w:sz w:val="22"/>
          <w:szCs w:val="22"/>
        </w:rPr>
        <w:t xml:space="preserve">File modification timestamps observed in the audit dump show concentrated, focused recent work on the highest-priority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2760"/>
      </w:tblGrid>
      <w:tr>
        <w:tc>
          <w:tcPr>
            <w:tcW w:type="dxa" w:w="5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w:t>
            </w:r>
          </w:p>
        </w:tc>
        <w:tc>
          <w:tcPr>
            <w:tcW w:type="dxa" w:w="1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Lines</w:t>
            </w:r>
          </w:p>
        </w:tc>
        <w:tc>
          <w:tcPr>
            <w:tcW w:type="dxa" w:w="27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Last modified</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Worker.cs (DeltaImportJob added)</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483</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20:21</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MsSqlConnector.cs (new)</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401</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17:08</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DataSourceConnectorFactory.cs (MySQL+MSSQL registration)</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109</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17:11</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MySqlConnector.cs (new)</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389</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17:24</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DeltaImportExecutionService.cs (new)</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314</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20:18</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IDeltaImportExecutionService.cs (new)</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21</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20:06</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AdminPageContent.tsx (refactored from monolith)</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237</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2026-05-22 17:55</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LicenseAdminEndpoints.cs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254</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2026-05-21 16:08</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SchemaConfigurationEndpoints.cs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506</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2026-05-21 16:06</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CsvConnector.cs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505</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2026-05-21 13:16</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LicenseFeature.cs</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2026-05-21 14:26</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Caddyfile</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23</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2026-05-20 22:45</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Jenkinsfile (CI/CD complete overhaul)</w:t>
            </w:r>
          </w:p>
        </w:tc>
        <w:tc>
          <w:tcPr>
            <w:tcW w:type="dxa" w:w="1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482</w:t>
            </w:r>
          </w:p>
        </w:tc>
        <w:tc>
          <w:tcPr>
            <w:tcW w:type="dxa" w:w="27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2026-05-20 22:33</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The cluster of files modified on 22 May, particularly the three new SQL connectors and the DeltaImportJob, is exactly the work pattern that closes the previous audit's pilot blockers and brings the data-pipeline vision (§1.1, §1.5) substantially closer to complete. This is also the work the prior audit could not have known about, which is why the prior audit reads as more pessimistic than the code warrants.</w:t>
      </w:r>
    </w:p>
    <w:p>
      <w:pPr>
        <w:pStyle w:val="Heading2"/>
        <w:spacing w:after="160" w:before="280"/>
      </w:pPr>
      <w:r>
        <w:rPr>
          <w:rFonts w:ascii="Calibri" w:cs="Calibri" w:eastAsia="Calibri" w:hAnsi="Calibri"/>
          <w:b/>
          <w:bCs/>
          <w:color w:val="0F172A"/>
          <w:sz w:val="28"/>
          <w:szCs w:val="28"/>
        </w:rPr>
        <w:t xml:space="preserve">1.4  License Enforcement — Verified Complete</w:t>
      </w:r>
    </w:p>
    <w:p>
      <w:pPr>
        <w:spacing w:after="120"/>
        <w:jc w:val="left"/>
      </w:pPr>
      <w:r>
        <w:rPr>
          <w:rFonts w:ascii="Calibri" w:cs="Calibri" w:eastAsia="Calibri" w:hAnsi="Calibri"/>
          <w:b w:val="false"/>
          <w:bCs w:val="false"/>
          <w:i w:val="false"/>
          <w:iCs w:val="false"/>
          <w:color w:val="111827"/>
          <w:sz w:val="22"/>
          <w:szCs w:val="22"/>
        </w:rPr>
        <w:t xml:space="preserve">The previous audit's Dimension 5 marks license enforcement as MISSING and CRITICAL. This is no longer accurate. The license system is fully implemented and matches the GTM V4.1 §3.3 feature matrix exactly.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500"/>
        <w:gridCol w:w="660"/>
      </w:tblGrid>
      <w:tr>
        <w:tc>
          <w:tcPr>
            <w:tcW w:type="dxa" w:w="4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Component</w:t>
            </w:r>
          </w:p>
        </w:tc>
        <w:tc>
          <w:tcPr>
            <w:tcW w:type="dxa" w:w="4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w:t>
            </w:r>
          </w:p>
        </w:tc>
        <w:tc>
          <w:tcPr>
            <w:tcW w:type="dxa" w:w="6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Lines</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LicenseTier enum (Light, Pro, ProPlus, Enterprise)</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Application/Licensing/Contracts/LicenseTier.cs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9</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LicenseFeature enum (34 features across 10 categories)</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Application/Licensing/Contracts/LicenseFeature.cs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ILicenseService interface (5 guard methods)</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Application/Licensing/Interfaces/ILicenseService.cs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35</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LicenseService implementation</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Application/Licensing/Services/LicenseService.cs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~480</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LicenseAdminEndpoints (5 admin endpoints)</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Api/Endpoints/Admin/LicenseAdminEndpoints.cs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254</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LicenseFeatureEndpointFilter (declarative gating)</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Api/Filter/LicenseFeatureEndpointFilter.cs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28</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LicenseEndpointExtensions (RequireLicense fluent API)</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Api/Extensions/LicenseEndpointExtensions.cs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22</w:t>
            </w:r>
          </w:p>
        </w:tc>
      </w:tr>
      <w:tr>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Unit test coverage</w:t>
            </w:r>
          </w:p>
        </w:tc>
        <w:tc>
          <w:tcPr>
            <w:tcW w:type="dxa" w:w="4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tests/PlantProcess.Application.UnitTests/Licensing/LicenseServiceTests.cs</w:t>
            </w:r>
          </w:p>
        </w:tc>
        <w:tc>
          <w:tcPr>
            <w:tcW w:type="dxa" w:w="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177</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Refresh-interval floors per tier match the GTM exactly: Light 1,440 minutes (daily-only), Pro 15, ProPlus 2, Enterprise configurable (default 1). Connector restrictions per tier match the GTM exactly. SQL editor restriction (AllowsSqlEditor flag) is enforced at the SchemaConfigurationEndpoints layer. Scheduled correlation runs are gated to ProPlus. ML learning jobs are gated to ProPlus. Every guard method (EnsureFeatureEnabled, EnsureConnectorAllowed, EnsureRefreshIntervalAllowed, EnsureSourceCountAllowed, EnsureJobCountAllowed) returns an ApplicationResult Forbidden with a precise message naming the required tier. This is professional commercial enforcement, not a placeholder.</w:t>
      </w:r>
    </w:p>
    <w:p>
      <w:pPr>
        <w:pStyle w:val="Heading2"/>
        <w:spacing w:after="160" w:before="280"/>
      </w:pPr>
      <w:r>
        <w:rPr>
          <w:rFonts w:ascii="Calibri" w:cs="Calibri" w:eastAsia="Calibri" w:hAnsi="Calibri"/>
          <w:b/>
          <w:bCs/>
          <w:color w:val="0F172A"/>
          <w:sz w:val="28"/>
          <w:szCs w:val="28"/>
        </w:rPr>
        <w:t xml:space="preserve">1.5  Database Connectivity — 5 of 6 Connectors Built</w:t>
      </w:r>
    </w:p>
    <w:p>
      <w:pPr>
        <w:spacing w:after="120"/>
        <w:jc w:val="left"/>
      </w:pPr>
      <w:r>
        <w:rPr>
          <w:rFonts w:ascii="Calibri" w:cs="Calibri" w:eastAsia="Calibri" w:hAnsi="Calibri"/>
          <w:b w:val="false"/>
          <w:bCs w:val="false"/>
          <w:i w:val="false"/>
          <w:iCs w:val="false"/>
          <w:color w:val="111827"/>
          <w:sz w:val="22"/>
          <w:szCs w:val="22"/>
        </w:rPr>
        <w:t xml:space="preserve">Vision §1.1 requires support for MSSQL, PostgreSQL, MySQL, Oracle, Excel, and CSV.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700"/>
        <w:gridCol w:w="2160"/>
        <w:gridCol w:w="1000"/>
      </w:tblGrid>
      <w:t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Connector</w:t>
            </w:r>
          </w:p>
        </w:tc>
        <w:tc>
          <w:tcPr>
            <w:tcW w:type="dxa" w:w="4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w:t>
            </w:r>
          </w:p>
        </w:tc>
        <w:tc>
          <w:tcPr>
            <w:tcW w:type="dxa" w:w="7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Lines</w:t>
            </w:r>
          </w:p>
        </w:tc>
        <w:tc>
          <w:tcPr>
            <w:tcW w:type="dxa" w:w="21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Driver</w:t>
            </w:r>
          </w:p>
        </w:tc>
        <w:tc>
          <w:tcPr>
            <w:tcW w:type="dxa" w:w="10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Status</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CSV</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Infrastructure/Connectors/Csv/CsvConnector.cs</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505</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in-process parser</w:t>
            </w:r>
          </w:p>
        </w:tc>
        <w:tc>
          <w:tcPr>
            <w:tcW w:type="dxa" w:w="10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Excel</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Infrastructure/Connectors/Excel/ExcelConnector.cs</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407</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ClosedXML (MIT)</w:t>
            </w:r>
          </w:p>
        </w:tc>
        <w:tc>
          <w:tcPr>
            <w:tcW w:type="dxa" w:w="10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PostgreSQL</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Infrastructure/Connectors/PostgreSql/PostgreSqlConnector.cs</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323</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Npgsql</w:t>
            </w:r>
          </w:p>
        </w:tc>
        <w:tc>
          <w:tcPr>
            <w:tcW w:type="dxa" w:w="10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SQL Server</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Infrastructure/Connectors/SqlServer/MsSqlConnector.cs</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401</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Microsoft.Data.SqlClient 5.2.2</w:t>
            </w:r>
          </w:p>
        </w:tc>
        <w:tc>
          <w:tcPr>
            <w:tcW w:type="dxa" w:w="10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MySQL</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Infrastructure/Connectors/MySql/MySqlConnector.cs</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389</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MySqlConnector 2.3.7 (community)</w:t>
            </w:r>
          </w:p>
        </w:tc>
        <w:tc>
          <w:tcPr>
            <w:tcW w:type="dxa" w:w="100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Oracle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(not implemented)</w:t>
            </w:r>
          </w:p>
        </w:tc>
        <w:tc>
          <w:tcPr>
            <w:tcW w:type="dxa" w:w="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21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10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All five built connectors implement the same three interfaces — IDataSourceConnector, ISchemaReader, IDataSourceReader — so the rest of the application is connector-agnostic. The DataSourceConnectorFactory (109 lines) normalises provider type strings case-insensitively, so "mssql", "sqlserver", and "SQLServer" all resolve correctly to MsSqlConnector. The MsSqlConnector file comment explicitly states "matches the PostgreSqlConnector interface contract exactly" — contract symmetry is enforced by intent.</w:t>
      </w:r>
    </w:p>
    <w:p>
      <w:pPr>
        <w:spacing w:after="120"/>
        <w:jc w:val="left"/>
      </w:pPr>
      <w:r>
        <w:rPr>
          <w:rFonts w:ascii="Calibri" w:cs="Calibri" w:eastAsia="Calibri" w:hAnsi="Calibri"/>
          <w:b w:val="false"/>
          <w:bCs w:val="false"/>
          <w:i w:val="false"/>
          <w:iCs w:val="false"/>
          <w:color w:val="111827"/>
          <w:sz w:val="22"/>
          <w:szCs w:val="22"/>
        </w:rPr>
        <w:t xml:space="preserve">Identifier injection safety is dialect-correct in each connector: bracket-quoting in MSSQL, backtick-quoting in MySQL/MariaDB, double-quote in PostgreSQL. Across the entire 84,168-line codebase there are zero instances of string-interpolated SQL or concatenation with user input. The single ExecuteSqlRaw call is a hardcoded stored-procedure call with no user input.</w:t>
      </w:r>
    </w:p>
    <w:p>
      <w:pPr>
        <w:pStyle w:val="Heading2"/>
        <w:spacing w:after="160" w:before="280"/>
      </w:pPr>
      <w:r>
        <w:rPr>
          <w:rFonts w:ascii="Calibri" w:cs="Calibri" w:eastAsia="Calibri" w:hAnsi="Calibri"/>
          <w:b/>
          <w:bCs/>
          <w:color w:val="0F172A"/>
          <w:sz w:val="28"/>
          <w:szCs w:val="28"/>
        </w:rPr>
        <w:t xml:space="preserve">1.6  Worker — Delta Import Pipeline</w:t>
      </w:r>
    </w:p>
    <w:p>
      <w:pPr>
        <w:spacing w:after="120"/>
        <w:jc w:val="left"/>
      </w:pPr>
      <w:r>
        <w:rPr>
          <w:rFonts w:ascii="Calibri" w:cs="Calibri" w:eastAsia="Calibri" w:hAnsi="Calibri"/>
          <w:b w:val="false"/>
          <w:bCs w:val="false"/>
          <w:i w:val="false"/>
          <w:iCs w:val="false"/>
          <w:color w:val="111827"/>
          <w:sz w:val="22"/>
          <w:szCs w:val="22"/>
        </w:rPr>
        <w:t xml:space="preserve">Worker.cs orchestrates four jobs with staggered initial delays to prevent startup burst (Import 10s, DataQuality 30s, Risk 60s, Delta 15s). The newly added DeltaImportJob calls into DeltaImportExecutionService, which loads all SourceDatasetDefinitions with a non-empty IncrementalCursorField, fetches the linked ConnectionProfile per dataset, dispatches the appropriate IDataSourceReader, advances cursors based on the highest value seen, writes raw rows to staging via NpgsqlBulkCopy, and creates an ImportBatch with appropriate status. Per-job JobRunHistory is persisted with duration, status (Ok, Failed, Timeout), failure reason, and a JSON result summary.</w:t>
      </w:r>
    </w:p>
    <w:p>
      <w:pPr>
        <w:spacing w:after="120"/>
        <w:jc w:val="left"/>
      </w:pPr>
      <w:r>
        <w:rPr>
          <w:rFonts w:ascii="Calibri" w:cs="Calibri" w:eastAsia="Calibri" w:hAnsi="Calibri"/>
          <w:b w:val="false"/>
          <w:bCs w:val="false"/>
          <w:i w:val="false"/>
          <w:iCs w:val="false"/>
          <w:color w:val="111827"/>
          <w:sz w:val="22"/>
          <w:szCs w:val="22"/>
        </w:rPr>
        <w:t xml:space="preserve">There is one architectural deviation from Vision §1.5 that is described in detail in Section 3: the Worker dispatches all eligible datasets every global tick (default 300 seconds) regardless of each dataset's configured refresh interval. The schema captures the per-dataset and per-profile rates correctly, but the executor doesn't yet honour them. This is the single largest vision-alignment fix in the report and is estimated at 2–3 hours.</w:t>
      </w:r>
    </w:p>
    <w:p>
      <w:pPr>
        <w:pStyle w:val="Heading2"/>
        <w:spacing w:after="160" w:before="280"/>
      </w:pPr>
      <w:r>
        <w:rPr>
          <w:rFonts w:ascii="Calibri" w:cs="Calibri" w:eastAsia="Calibri" w:hAnsi="Calibri"/>
          <w:b/>
          <w:bCs/>
          <w:color w:val="0F172A"/>
          <w:sz w:val="28"/>
          <w:szCs w:val="28"/>
        </w:rPr>
        <w:t xml:space="preserve">1.7  Multi-Hop Genealogy — The Strongest Demo Feature</w:t>
      </w:r>
    </w:p>
    <w:p>
      <w:pPr>
        <w:spacing w:after="120"/>
        <w:jc w:val="left"/>
      </w:pPr>
      <w:r>
        <w:rPr>
          <w:rFonts w:ascii="Calibri" w:cs="Calibri" w:eastAsia="Calibri" w:hAnsi="Calibri"/>
          <w:b w:val="false"/>
          <w:bCs w:val="false"/>
          <w:i w:val="false"/>
          <w:iCs w:val="false"/>
          <w:color w:val="111827"/>
          <w:sz w:val="22"/>
          <w:szCs w:val="22"/>
        </w:rPr>
        <w:t xml:space="preserve">WorkflowEndpoints.cs at 1,148 lines contains the full genealogy-aware material investigation. Two endpoints are exposed: a simple single-hop view at /workflow/materials/{id}/investigation and a full multi-hop view at /workflow/materials/{id}/investigation-full gated by LicenseFeature.InvestigationWorkflow. The traversal algorithm in ResolveGenealogyMaterialIdsAsync is a correctly-implemented bidirectional breadth-first search: visited set prevents cycles, depth limit (default 5, clamped to 1–20) prevents runaway queries, and a single database round-trip per BFS level keeps the cost at O(depth) regardless of how many materials are in scope. Heat → Slab → Coil → Piece traces in three database queries, not four, and the cost does not grow with the number of intermediate pieces.</w:t>
      </w:r>
    </w:p>
    <w:p>
      <w:pPr>
        <w:spacing w:after="120"/>
        <w:jc w:val="left"/>
      </w:pPr>
      <w:r>
        <w:rPr>
          <w:rFonts w:ascii="Calibri" w:cs="Calibri" w:eastAsia="Calibri" w:hAnsi="Calibri"/>
          <w:b w:val="false"/>
          <w:bCs w:val="false"/>
          <w:i w:val="false"/>
          <w:iCs w:val="false"/>
          <w:color w:val="111827"/>
          <w:sz w:val="22"/>
          <w:szCs w:val="22"/>
        </w:rPr>
        <w:t xml:space="preserve">This is the algorithmic foundation for the "3 days reduced to minutes" investigation claim. It is the single most demo-worthy feature of the product, and the audit report's note that it is under-exposed in the demo flow stands — this should open every customer call.</w:t>
      </w:r>
    </w:p>
    <w:p>
      <w:pPr>
        <w:pStyle w:val="Heading2"/>
        <w:spacing w:after="160" w:before="280"/>
      </w:pPr>
      <w:r>
        <w:rPr>
          <w:rFonts w:ascii="Calibri" w:cs="Calibri" w:eastAsia="Calibri" w:hAnsi="Calibri"/>
          <w:b/>
          <w:bCs/>
          <w:color w:val="0F172A"/>
          <w:sz w:val="28"/>
          <w:szCs w:val="28"/>
        </w:rPr>
        <w:t xml:space="preserve">1.8  CI/CD — All Audit Gaps Closed</w:t>
      </w:r>
    </w:p>
    <w:p>
      <w:pPr>
        <w:spacing w:after="120"/>
        <w:jc w:val="left"/>
      </w:pPr>
      <w:r>
        <w:rPr>
          <w:rFonts w:ascii="Calibri" w:cs="Calibri" w:eastAsia="Calibri" w:hAnsi="Calibri"/>
          <w:b w:val="false"/>
          <w:bCs w:val="false"/>
          <w:i w:val="false"/>
          <w:iCs w:val="false"/>
          <w:color w:val="111827"/>
          <w:sz w:val="22"/>
          <w:szCs w:val="22"/>
        </w:rPr>
        <w:t xml:space="preserve">The previous audit's Dimension 4 lists four critical CI/CD gaps. All four are resolved in the current Jenkinsfile (482 lines, modified 20 May 2026 22:33):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960"/>
      </w:tblGrid>
      <w:tr>
        <w:tc>
          <w:tcPr>
            <w:tcW w:type="dxa" w:w="30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Audit gap</w:t>
            </w:r>
          </w:p>
        </w:tc>
        <w:tc>
          <w:tcPr>
            <w:tcW w:type="dxa" w:w="5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Resolution</w:t>
            </w:r>
          </w:p>
        </w:tc>
        <w:tc>
          <w:tcPr>
            <w:tcW w:type="dxa" w:w="9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Status</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GAP 1 — No EF Core migration step</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Auto-migrate at app startup in Program.cs before job registration, idempotent</w:t>
            </w:r>
          </w:p>
        </w:tc>
        <w:tc>
          <w:tcPr>
            <w:tcW w:type="dxa" w:w="9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GAP 2 — No post-deploy smoke test</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New 'Post-Deploy Smoke Tests' stage + 'Post-Deploy E2E Smoke' stage running Playwright</w:t>
            </w:r>
          </w:p>
        </w:tc>
        <w:tc>
          <w:tcPr>
            <w:tcW w:type="dxa" w:w="9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GAP 3 — No failure notification</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emailext() in post.success, post.failure, post.unstable</w:t>
            </w:r>
          </w:p>
        </w:tc>
        <w:tc>
          <w:tcPr>
            <w:tcW w:type="dxa" w:w="9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GAP 4 — No rollback mechanism</w:t>
            </w:r>
          </w:p>
        </w:tc>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Last-successful-image-tag.txt + automatic rollback in post.failure for deploy branches</w:t>
            </w:r>
          </w:p>
        </w:tc>
        <w:tc>
          <w:tcPr>
            <w:tcW w:type="dxa" w:w="9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Two minor follow-ups remain on the CI/CD side, both noted in Section 3: the notification email address is still a placeholder, and the Caddyfile is still IP-based rather than domain-based for the publicly-accessible website.</w:t>
      </w:r>
    </w:p>
    <w:p>
      <w:pPr>
        <w:pStyle w:val="Heading2"/>
        <w:spacing w:after="160" w:before="280"/>
      </w:pPr>
      <w:r>
        <w:rPr>
          <w:rFonts w:ascii="Calibri" w:cs="Calibri" w:eastAsia="Calibri" w:hAnsi="Calibri"/>
          <w:b/>
          <w:bCs/>
          <w:color w:val="0F172A"/>
          <w:sz w:val="28"/>
          <w:szCs w:val="28"/>
        </w:rPr>
        <w:t xml:space="preserve">1.9  Frontend Hygiene</w:t>
      </w:r>
    </w:p>
    <w:p>
      <w:pPr>
        <w:spacing w:after="120"/>
        <w:jc w:val="left"/>
      </w:pPr>
      <w:r>
        <w:rPr>
          <w:rFonts w:ascii="Calibri" w:cs="Calibri" w:eastAsia="Calibri" w:hAnsi="Calibri"/>
          <w:b w:val="false"/>
          <w:bCs w:val="false"/>
          <w:i w:val="false"/>
          <w:iCs w:val="false"/>
          <w:color w:val="111827"/>
          <w:sz w:val="22"/>
          <w:szCs w:val="22"/>
        </w:rPr>
        <w:t xml:space="preserve">AdminPageContent.tsx — flagged in the previous audit as a 2,362-line monolith — has been split into a 237-line shell plus per-tab files: AdminDbConfigurationTab (1,046), AdminSchemaConfigurationTab (916), AdminImportingDataTab (227), AdminJobsMonitorTab (347), AdminSharedComponents (162). Total logic grew slightly, but no single tab file exceeds 1,100 lines and the seams are now clean. The API client refactor is mid-flight using the strangler-fig pattern: a modular per-domain set of files in src/api/{admin, analytics, dashboarding, integration, license, ml, demo}/ now re-export types from src/api/legacy/plantProcessApi.ts (1,301 lines).</w:t>
      </w:r>
    </w:p>
    <w:p>
      <w:pPr>
        <w:spacing w:after="120"/>
        <w:jc w:val="left"/>
      </w:pPr>
      <w:r>
        <w:rPr>
          <w:rFonts w:ascii="Calibri" w:cs="Calibri" w:eastAsia="Calibri" w:hAnsi="Calibri"/>
          <w:b w:val="false"/>
          <w:bCs w:val="false"/>
          <w:i w:val="false"/>
          <w:iCs w:val="false"/>
          <w:color w:val="111827"/>
          <w:sz w:val="22"/>
          <w:szCs w:val="22"/>
        </w:rPr>
        <w:t xml:space="preserve">The strangler-fig is guarded by an automated test (src/test/architecture/noLegacyApiGrowth.test.ts) that fails if the legacy file grows by even one line. This kind of structural guardrail is the difference between codebases that age well and ones that don't, and your team has put it in the right place.</w:t>
      </w:r>
    </w:p>
    <w:p>
      <w:r>
        <w:br w:type="page"/>
      </w:r>
    </w:p>
    <w:p>
      <w:pPr>
        <w:pStyle w:val="Heading1"/>
        <w:spacing w:after="200" w:before="360"/>
      </w:pPr>
      <w:r>
        <w:rPr>
          <w:rFonts w:ascii="Calibri" w:cs="Calibri" w:eastAsia="Calibri" w:hAnsi="Calibri"/>
          <w:b/>
          <w:bCs/>
          <w:color w:val="0F172A"/>
          <w:sz w:val="36"/>
          <w:szCs w:val="36"/>
        </w:rPr>
        <w:t xml:space="preserve">2.  Vision Alignment — Are You On Track?</w:t>
      </w:r>
    </w:p>
    <w:p>
      <w:pPr>
        <w:spacing w:after="120"/>
        <w:jc w:val="left"/>
      </w:pPr>
      <w:r>
        <w:rPr>
          <w:rFonts w:ascii="Calibri" w:cs="Calibri" w:eastAsia="Calibri" w:hAnsi="Calibri"/>
          <w:b w:val="false"/>
          <w:bCs w:val="false"/>
          <w:i w:val="false"/>
          <w:iCs w:val="false"/>
          <w:color w:val="111827"/>
          <w:sz w:val="22"/>
          <w:szCs w:val="22"/>
        </w:rPr>
        <w:t xml:space="preserve">This is the question the user asked most directly. The answer, walked section by section through the Latest Vision document, is yes — with two specific gaps that need explicit attention. The vision is implemented faithfully where it has been implemented; the unimplemented parts are either correctly delayed per the GTM (ML at M16) or have a clear short path forward.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VISION-ALIGNMENT VERDICT</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Focus has not been lost. The architecture is faithful to the vision in every direction it has chosen to build.</w:t>
            </w:r>
          </w:p>
          <w:p>
            <w:pPr>
              <w:spacing w:after="80"/>
            </w:pPr>
            <w:r>
              <w:rPr>
                <w:rFonts w:ascii="Calibri" w:cs="Calibri" w:eastAsia="Calibri" w:hAnsi="Calibri"/>
                <w:color w:val="111827"/>
                <w:sz w:val="22"/>
                <w:szCs w:val="22"/>
              </w:rPr>
              <w:t xml:space="preserve">Two genuine vision-track gaps remain: the Widget Script Layer (Vision §2.2.2) and per-source import scheduling (Vision §1.5.2). Both are scoped, both have clear fix paths, and both are inside the next two weeks of work.</w:t>
            </w:r>
          </w:p>
        </w:tc>
      </w:tr>
    </w:tbl>
    <w:p>
      <w:r>
        <w:t xml:space="preserve"/>
      </w:r>
    </w:p>
    <w:p>
      <w:pPr>
        <w:pStyle w:val="Heading2"/>
        <w:spacing w:after="160" w:before="280"/>
      </w:pPr>
      <w:r>
        <w:rPr>
          <w:rFonts w:ascii="Calibri" w:cs="Calibri" w:eastAsia="Calibri" w:hAnsi="Calibri"/>
          <w:b/>
          <w:bCs/>
          <w:color w:val="0F172A"/>
          <w:sz w:val="28"/>
          <w:szCs w:val="28"/>
        </w:rPr>
        <w:t xml:space="preserve">2.1  Backend Vision (Vision §1) —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Vision item</w:t>
            </w:r>
          </w:p>
        </w:tc>
        <w:tc>
          <w:tcPr>
            <w:tcW w:type="dxa" w:w="4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Implementation</w:t>
            </w:r>
          </w:p>
        </w:tc>
        <w:tc>
          <w:tcPr>
            <w:tcW w:type="dxa" w:w="16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Verdict</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§1.1 Access all DB types (MSSQL/PG/MySQL/Oracle/Excel/CSV)</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of 6 implemented; same 3-interface contract across all connectors</w:t>
            </w:r>
          </w:p>
        </w:tc>
        <w:tc>
          <w:tcPr>
            <w:tcW w:type="dxa" w:w="16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ON TRACK</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 DB Configuration page — user-defined DB links</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ConnectionProfile entity + Admin DB tab UI (1,046 lines)</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§1.2.2 User-configured refresh rate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ImportIntervalMinutes field + license-tier floor + UI</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§1.2.3 Job tracking with name/cycle/status</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JobDefinition + JobRunHistory + IJobRuntimeService</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§1.2.3 Rate 2 min → daily</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 floor: ProPlus 2 min, Pro 15 min, Light 1440 min (daily) — matches GTM exactly</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§1.3 Dump files = customer DB latest state, not your structure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StagingRecord.RawJson per row, ImportBatch grouping, separate from canonical model</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 Schema Configuration (views/queries/joins)</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SchemaViewDefinition + KpiDefinition + MappingDefinition + approval workflow + SQL editor</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§1.4.2 Join across DBs (e.g. piece_id from Hot Strip Mill Oracle × material_id from Surface Inspection MySQL)</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MappingDefinition + cross-source JOIN via SchemaView</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§1.4.3 User KPI as SQL view</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KpiDefinition entity with SQL view body and unit/aggregation type</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 Importing Data tab — rate of HMI refresh</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 job + Admin UI scheduling tab</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§1.5.2 Per-source-configured rate respected by Worker</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 has fields; executor uses one global tick — fix in §3.2</w:t>
            </w:r>
          </w:p>
        </w:tc>
        <w:tc>
          <w:tcPr>
            <w:tcW w:type="dxa" w:w="166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§1.6 Jobs Monitor page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Fully wired to live JobRunHistory; ML stubs visible with IsEnabled=false</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bl>
    <w:p>
      <w:pPr>
        <w:pStyle w:val="Heading2"/>
        <w:spacing w:after="160" w:before="280"/>
      </w:pPr>
      <w:r>
        <w:rPr>
          <w:rFonts w:ascii="Calibri" w:cs="Calibri" w:eastAsia="Calibri" w:hAnsi="Calibri"/>
          <w:b/>
          <w:bCs/>
          <w:color w:val="0F172A"/>
          <w:sz w:val="28"/>
          <w:szCs w:val="28"/>
        </w:rPr>
        <w:t xml:space="preserve">2.2  Frontend Vision (Vision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Vision item</w:t>
            </w:r>
          </w:p>
        </w:tc>
        <w:tc>
          <w:tcPr>
            <w:tcW w:type="dxa" w:w="4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Implementation</w:t>
            </w:r>
          </w:p>
        </w:tc>
        <w:tc>
          <w:tcPr>
            <w:tcW w:type="dxa" w:w="16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Verdict</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§2.1 Create/delete/modify any page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Dashboard CRUD is functionally equivalent; no separate Page abstraction</w:t>
            </w:r>
          </w:p>
        </w:tc>
        <w:tc>
          <w:tcPr>
            <w:tcW w:type="dxa" w:w="166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§2.1.2 Drag/drop widgets from a library; save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DashboardPageContent (777) + WidgetBuilderWizardContent (1,501) + persistence hook</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§2.2.1 Widget edit button → link to DB values</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Widget wizard step 'Data Link' exists</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§2.2.2 Per-widget script layer (the '100k endpoints' anti-pattern)</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QueryExpression field NOT on DashboardWidgetDefinition; license feature reserved</w:t>
            </w:r>
          </w:p>
        </w:tc>
        <w:tc>
          <w:tcPr>
            <w:tcW w:type="dxa" w:w="166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§2.2.3 Generic execution endpoint, not one per widget type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POST /widgets/execute endpoint</w:t>
            </w:r>
          </w:p>
        </w:tc>
        <w:tc>
          <w:tcPr>
            <w:tcW w:type="dxa" w:w="166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Vision §2.2 is the single largest architectural gap relative to the vision. It is consequential because it is the explicit anti-pattern ("100k endpoints") that the founder identified as something the product must avoid. Without it, every new chart shape requires a new backend endpoint, and the codebase will trend toward bloat. The fix path is sketched in Section 3 below; the effort is roughly 10–14 hours including tests.</w:t>
      </w:r>
    </w:p>
    <w:p>
      <w:pPr>
        <w:pStyle w:val="Heading2"/>
        <w:spacing w:after="160" w:before="280"/>
      </w:pPr>
      <w:r>
        <w:rPr>
          <w:rFonts w:ascii="Calibri" w:cs="Calibri" w:eastAsia="Calibri" w:hAnsi="Calibri"/>
          <w:b/>
          <w:bCs/>
          <w:color w:val="0F172A"/>
          <w:sz w:val="28"/>
          <w:szCs w:val="28"/>
        </w:rPr>
        <w:t xml:space="preserve">2.3  ML &amp; Engine Vision (Vision §3) — Correctly Delayed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Vision item</w:t>
            </w:r>
          </w:p>
        </w:tc>
        <w:tc>
          <w:tcPr>
            <w:tcW w:type="dxa" w:w="4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Implementation</w:t>
            </w:r>
          </w:p>
        </w:tc>
        <w:tc>
          <w:tcPr>
            <w:tcW w:type="dxa" w:w="16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Verdict</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§3.1 Engine learning jobs (params × defects / downtime / KPIs / weekly)</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 JobDefinitions seeded; IsEnabled = false; will activate when data pipeline is hot</w:t>
            </w:r>
          </w:p>
        </w:tc>
        <w:tc>
          <w:tcPr>
            <w:tcW w:type="dxa" w:w="16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DELAYED</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§3.1.5 ML jobs visible in Jobs Monitor</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Yes, all four registered and visible</w:t>
            </w:r>
          </w:p>
        </w:tc>
        <w:tc>
          <w:tcPr>
            <w:tcW w:type="dxa" w:w="16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DONE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§3.2 Correlation page — user selects defect/downtime/KPI, runs job</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CorrelationPage exists (315 lines); rule-based statistical lift</w:t>
            </w:r>
          </w:p>
        </w:tc>
        <w:tc>
          <w:tcPr>
            <w:tcW w:type="dxa" w:w="166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PARTIAL</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§3.2.3 Save inspection page + schedule periodic</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Not implemented (no 'Save Inspection Job' → JobDefinition conversion)</w:t>
            </w:r>
          </w:p>
        </w:tc>
        <w:tc>
          <w:tcPr>
            <w:tcW w:type="dxa" w:w="166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GAP</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§3.3 Suggestion &amp; Recommendation page</w:t>
            </w:r>
          </w:p>
        </w:tc>
        <w:tc>
          <w:tcPr>
            <w:tcW w:type="dxa" w:w="4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 feature reserved (ProPlus); UI design not started</w:t>
            </w:r>
          </w:p>
        </w:tc>
        <w:tc>
          <w:tcPr>
            <w:tcW w:type="dxa" w:w="16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DELAYED</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Every ML entity, service interface, and job stub is in place. Activation is correctly delayed until the data pipeline is fully operational and the first customer CSV has flowed through end-to-end. This matches the GTM (Phase 9 / Month 16) and is the right sequencing for a product where ML output quality depends on having labelled training data — which depends on having customer process data flowing — which depends on the pipeline being live.</w:t>
      </w:r>
    </w:p>
    <w:p>
      <w:pPr>
        <w:spacing w:after="120"/>
        <w:jc w:val="left"/>
      </w:pPr>
      <w:r>
        <w:rPr>
          <w:rFonts w:ascii="Calibri" w:cs="Calibri" w:eastAsia="Calibri" w:hAnsi="Calibri"/>
          <w:b w:val="false"/>
          <w:bCs w:val="false"/>
          <w:i w:val="false"/>
          <w:iCs w:val="false"/>
          <w:color w:val="111827"/>
          <w:sz w:val="22"/>
          <w:szCs w:val="22"/>
        </w:rPr>
        <w:t xml:space="preserve">Starting ML earlier would produce nothing of value. The audit report's verdict that this delay is architecturally correct stands, and is one of the genuinely strong strategic decisions in the project.</w:t>
      </w:r>
    </w:p>
    <w:p>
      <w:pPr>
        <w:pStyle w:val="Heading2"/>
        <w:spacing w:after="160" w:before="280"/>
      </w:pPr>
      <w:r>
        <w:rPr>
          <w:rFonts w:ascii="Calibri" w:cs="Calibri" w:eastAsia="Calibri" w:hAnsi="Calibri"/>
          <w:b/>
          <w:bCs/>
          <w:color w:val="0F172A"/>
          <w:sz w:val="28"/>
          <w:szCs w:val="28"/>
        </w:rPr>
        <w:t xml:space="preserve">2.4  Status Audit Report — Reconciliation</w:t>
      </w:r>
    </w:p>
    <w:p>
      <w:pPr>
        <w:spacing w:after="120"/>
        <w:jc w:val="left"/>
      </w:pPr>
      <w:r>
        <w:rPr>
          <w:rFonts w:ascii="Calibri" w:cs="Calibri" w:eastAsia="Calibri" w:hAnsi="Calibri"/>
          <w:b w:val="false"/>
          <w:bCs w:val="false"/>
          <w:i w:val="false"/>
          <w:iCs w:val="false"/>
          <w:color w:val="111827"/>
          <w:sz w:val="22"/>
          <w:szCs w:val="22"/>
        </w:rPr>
        <w:t xml:space="preserve">The Status Audit Report uploaded with this codebase is, in eleven of fourteen critical claims, no longer accurate. The reconciliation table below records each major claim and its current truth value, so the prior audit can be properly retired.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4400"/>
        <w:gridCol w:w="1260"/>
      </w:tblGrid>
      <w:tr>
        <w:tc>
          <w:tcPr>
            <w:tcW w:type="dxa" w:w="37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Audit claim</w:t>
            </w:r>
          </w:p>
        </w:tc>
        <w:tc>
          <w:tcPr>
            <w:tcW w:type="dxa" w:w="4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Reality today</w:t>
            </w:r>
          </w:p>
        </w:tc>
        <w:tc>
          <w:tcPr>
            <w:tcW w:type="dxa" w:w="12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Status</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LicenseTier entity or enum</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LicenseTier.cs (9 lines, 4 tiers)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ILicenseService / feature flag system</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Full implementation, 5 guard methods, 177 lines of unit tests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connector type restriction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EnsureConnectorAllowed gates every CreateConnectionProfile request</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refresh interval floor</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MinRefreshIntervalMinutes per tier exactly matches GTM §3.3</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SQL editor restriction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LicenseFeature.SchemaSqlViewBuilder gated to Pro+</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correlation job restriction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LicenseFeature.CorrelationScheduledRun gated to ProPlus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Excel connector falsely marked available</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ExcelConnector.cs is 407 lines (ClosedXML); current flags honestly mark IsAvailableNow=false</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BLOCKER 4 — No MSSQL connector</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MsSqlConnector.cs is 401 lines (Microsoft.Data.SqlClient), modified today</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Worker.cs missing snapshot scheduler</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Worker.cs now 483 lines with DeltaImportJob calling DeltaImportExecutionService (314 lines)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RBAC only 2 of 4 roles</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All four policies registered: Admin, DataManager, Engineer, Viewer</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AdminPageContent.tsx 2,362 lines</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Now 237-line shell with five extracted tab files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QualityLabelBuilderService not written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QualityLabelBuilderService.cs is 245 lines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 environment banner missing</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DemoEnvironmentBanner.tsx exists with CSS</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CI/CD has 4 critical gaps</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All four resolved (auto-migration, smoke + e2e, email, rollback)</w:t>
            </w:r>
          </w:p>
        </w:tc>
        <w:tc>
          <w:tcPr>
            <w:tcW w:type="dxa" w:w="1260"/>
            <w:tcBorders>
              <w:top w:val="single" w:color="CBD5E1" w:sz="4"/>
              <w:left w:val="single" w:color="CBD5E1" w:sz="4"/>
              <w:bottom w:val="single" w:color="CBD5E1" w:sz="4"/>
              <w:right w:val="single" w:color="CBD5E1" w:sz="4"/>
            </w:tcBorders>
            <w:shd w:fill="DCFCE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66534"/>
                <w:sz w:val="20"/>
                <w:szCs w:val="20"/>
              </w:rPr>
              <w:t xml:space="preserve">RESOLVED</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BLOCKER 2 — No immutable audit log</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Still genuinely missing — 4–6 hour fix path documented in §3.3</w:t>
            </w:r>
          </w:p>
        </w:tc>
        <w:tc>
          <w:tcPr>
            <w:tcW w:type="dxa" w:w="12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STILL OPEN</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BLOCKER 3 — No tenant isolation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Still genuinely missing; defer with single-tenant SOW</w:t>
            </w:r>
          </w:p>
        </w:tc>
        <w:tc>
          <w:tcPr>
            <w:tcW w:type="dxa" w:w="12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STILL OPEN</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PageDefinition / page-builder distinct from dashboard</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Open architectural gap; dashboard CRUD is the functional proxy</w:t>
            </w:r>
          </w:p>
        </w:tc>
        <w:tc>
          <w:tcPr>
            <w:tcW w:type="dxa" w:w="12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STILL OPEN</w:t>
            </w:r>
          </w:p>
        </w:tc>
      </w:tr>
      <w:tr>
        <w:tc>
          <w:tcPr>
            <w:tcW w:type="dxa" w:w="37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WidgetQueryExpression / generic /widgets/execute</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Open architectural gap; license feature reserved, implementation pending</w:t>
            </w:r>
          </w:p>
        </w:tc>
        <w:tc>
          <w:tcPr>
            <w:tcW w:type="dxa" w:w="1260"/>
            <w:tcBorders>
              <w:top w:val="single" w:color="CBD5E1" w:sz="4"/>
              <w:left w:val="single" w:color="CBD5E1" w:sz="4"/>
              <w:bottom w:val="single" w:color="CBD5E1" w:sz="4"/>
              <w:right w:val="single" w:color="CBD5E1" w:sz="4"/>
            </w:tcBorders>
            <w:shd w:fill="EEF2F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1E293B"/>
                <w:sz w:val="20"/>
                <w:szCs w:val="20"/>
              </w:rPr>
              <w:t xml:space="preserve">STILL OPEN</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Fifteen of the eighteen distinct claims in the prior audit are now resolved. The remaining four are correctly identified and have clear, scoped fix paths in Section 3. The previous audit also flagged non-code items that remain valid: hero homepage screenshot, demo script, NDA template, Diagnostic SOW template, the website DNS go-live. These are tracked in Section 3 and Section 4 of this report.</w:t>
      </w:r>
    </w:p>
    <w:p>
      <w:r>
        <w:br w:type="page"/>
      </w:r>
    </w:p>
    <w:p>
      <w:pPr>
        <w:pStyle w:val="Heading1"/>
        <w:spacing w:after="200" w:before="360"/>
      </w:pPr>
      <w:r>
        <w:rPr>
          <w:rFonts w:ascii="Calibri" w:cs="Calibri" w:eastAsia="Calibri" w:hAnsi="Calibri"/>
          <w:b/>
          <w:bCs/>
          <w:color w:val="0F172A"/>
          <w:sz w:val="36"/>
          <w:szCs w:val="36"/>
        </w:rPr>
        <w:t xml:space="preserve">3.  Required Hot Fixes &amp; Bug Fixes</w:t>
      </w:r>
    </w:p>
    <w:p>
      <w:pPr>
        <w:spacing w:after="120"/>
        <w:jc w:val="left"/>
      </w:pPr>
      <w:r>
        <w:rPr>
          <w:rFonts w:ascii="Calibri" w:cs="Calibri" w:eastAsia="Calibri" w:hAnsi="Calibri"/>
          <w:b w:val="false"/>
          <w:bCs w:val="false"/>
          <w:i w:val="false"/>
          <w:iCs w:val="false"/>
          <w:color w:val="111827"/>
          <w:sz w:val="22"/>
          <w:szCs w:val="22"/>
        </w:rPr>
        <w:t xml:space="preserve">This section is ordered by severity and grouped by category. Each item carries the file path, the underlying problem, the proposed fix, and an effort estimate. None of these is large enough to delay the commercial milestones in the GTM, and most can be cleared inside two focused weeks.</w:t>
      </w:r>
    </w:p>
    <w:p>
      <w:r>
        <w:t xml:space="preserve"/>
      </w:r>
    </w:p>
    <w:p>
      <w:pPr>
        <w:pStyle w:val="Heading2"/>
        <w:spacing w:after="160" w:before="280"/>
      </w:pPr>
      <w:r>
        <w:rPr>
          <w:rFonts w:ascii="Calibri" w:cs="Calibri" w:eastAsia="Calibri" w:hAnsi="Calibri"/>
          <w:b/>
          <w:bCs/>
          <w:color w:val="0F172A"/>
          <w:sz w:val="28"/>
          <w:szCs w:val="28"/>
        </w:rPr>
        <w:t xml:space="preserve">3.1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gridCol w:w="960"/>
      </w:tblGrid>
      <w:tr>
        <w:tc>
          <w:tcPr>
            <w:tcW w:type="dxa" w:w="18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Severity</w:t>
            </w:r>
          </w:p>
        </w:tc>
        <w:tc>
          <w:tcPr>
            <w:tcW w:type="dxa" w:w="66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Definition</w:t>
            </w:r>
          </w:p>
        </w:tc>
        <w:tc>
          <w:tcPr>
            <w:tcW w:type="dxa" w:w="9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Count</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CRITICAL</w:t>
            </w:r>
          </w:p>
        </w:tc>
        <w:tc>
          <w:tcPr>
            <w:tcW w:type="dxa" w:w="6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Vision-track or pilot-blocker. Cannot deliver to a paying customer without it.</w:t>
            </w:r>
          </w:p>
        </w:tc>
        <w:tc>
          <w:tcPr>
            <w:tcW w:type="dxa" w:w="9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0</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HIGH</w:t>
            </w:r>
          </w:p>
        </w:tc>
        <w:tc>
          <w:tcPr>
            <w:tcW w:type="dxa" w:w="6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Affects security, correctness, or vision-alignment. Fix in the next 2 weeks.</w:t>
            </w:r>
          </w:p>
        </w:tc>
        <w:tc>
          <w:tcPr>
            <w:tcW w:type="dxa" w:w="9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MEDIUM</w:t>
            </w:r>
          </w:p>
        </w:tc>
        <w:tc>
          <w:tcPr>
            <w:tcW w:type="dxa" w:w="6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Affects go-live, customer-facing truth, or operational quality.</w:t>
            </w:r>
          </w:p>
        </w:tc>
        <w:tc>
          <w:tcPr>
            <w:tcW w:type="dxa" w:w="9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LOW</w:t>
            </w:r>
          </w:p>
        </w:tc>
        <w:tc>
          <w:tcPr>
            <w:tcW w:type="dxa" w:w="6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Code hygiene; safe to defer but worth tracking.</w:t>
            </w:r>
          </w:p>
        </w:tc>
        <w:tc>
          <w:tcPr>
            <w:tcW w:type="dxa" w:w="9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There are no CRITICAL items. The product is sellable today for the Data Diagnostic offering (EUR 3,500–6,500), and the path to the first Pilot Contract (EUR 12,000–20,000) clears two HIGH-severity items along the way. This is a strong place to be three to four months into a product cycle.</w:t>
      </w:r>
    </w:p>
    <w:p>
      <w:pPr>
        <w:pStyle w:val="Heading2"/>
        <w:spacing w:after="160" w:before="280"/>
      </w:pPr>
      <w:r>
        <w:rPr>
          <w:rFonts w:ascii="Calibri" w:cs="Calibri" w:eastAsia="Calibri" w:hAnsi="Calibri"/>
          <w:b/>
          <w:bCs/>
          <w:color w:val="0F172A"/>
          <w:sz w:val="28"/>
          <w:szCs w:val="28"/>
        </w:rPr>
        <w:t xml:space="preserve">3.2  HIGH Severity Items</w:t>
      </w:r>
    </w:p>
    <w:p>
      <w:pPr>
        <w:pStyle w:val="Heading3"/>
        <w:spacing w:after="120" w:before="220"/>
      </w:pPr>
      <w:r>
        <w:rPr>
          <w:rFonts w:ascii="Calibri" w:cs="Calibri" w:eastAsia="Calibri" w:hAnsi="Calibri"/>
          <w:b/>
          <w:bCs/>
          <w:color w:val="0891B2"/>
          <w:sz w:val="24"/>
          <w:szCs w:val="24"/>
        </w:rPr>
        <w:t xml:space="preserve">HIGH-1.  Worker dispatch ignores per-source rate (Vision-critical)</w:t>
      </w:r>
    </w:p>
    <w:p>
      <w:pPr>
        <w:spacing w:after="120"/>
        <w:jc w:val="left"/>
      </w:pPr>
      <w:r>
        <w:rPr>
          <w:rFonts w:ascii="Calibri" w:cs="Calibri" w:eastAsia="Calibri" w:hAnsi="Calibri"/>
          <w:b w:val="false"/>
          <w:bCs w:val="false"/>
          <w:i w:val="false"/>
          <w:iCs w:val="false"/>
          <w:color w:val="111827"/>
          <w:sz w:val="22"/>
          <w:szCs w:val="22"/>
        </w:rPr>
        <w:t xml:space="preserve">File: Backend/PlantProcess.Workers/Worker.cs (lines 79–108) and Backend/PlantProcess.Application/Integration/Services/SourceSystems/DeltaImportExecutionService.cs (lines 26658–26696).</w:t>
      </w:r>
    </w:p>
    <w:p>
      <w:pPr>
        <w:spacing w:after="120"/>
        <w:jc w:val="left"/>
      </w:pPr>
      <w:r>
        <w:rPr>
          <w:rFonts w:ascii="Calibri" w:cs="Calibri" w:eastAsia="Calibri" w:hAnsi="Calibri"/>
          <w:b w:val="false"/>
          <w:bCs w:val="false"/>
          <w:i w:val="false"/>
          <w:iCs w:val="false"/>
          <w:color w:val="111827"/>
          <w:sz w:val="22"/>
          <w:szCs w:val="22"/>
        </w:rPr>
        <w:t xml:space="preserve">Problem: SourceDatasetDefinition.RefreshIntervalSeconds and ConnectionProfile.ImportIntervalMinutes are populated correctly by the Admin UI and validated against the license-tier floor at configuration time. But the Worker dispatches the DeltaImportJob every 300 seconds globally, and DeltaImportExecutionService.ExecuteAllAsync loads every dataset with an IncrementalCursorField regardless of when that dataset is actually due. A dataset configured for a daily refresh runs every 5 minutes; a 2-minute ProPlus dataset and a daily Light dataset are treated identically. The license floor is enforced at config time, then ignored at runtime.</w:t>
      </w:r>
    </w:p>
    <w:p>
      <w:pPr>
        <w:spacing w:after="120"/>
        <w:jc w:val="left"/>
      </w:pPr>
      <w:r>
        <w:rPr>
          <w:rFonts w:ascii="Calibri" w:cs="Calibri" w:eastAsia="Calibri" w:hAnsi="Calibri"/>
          <w:b w:val="false"/>
          <w:bCs w:val="false"/>
          <w:i w:val="false"/>
          <w:iCs w:val="false"/>
          <w:color w:val="111827"/>
          <w:sz w:val="22"/>
          <w:szCs w:val="22"/>
        </w:rPr>
        <w:t xml:space="preserve">Fix: Add NextRunAtUtc column to SourceDatasetDefinition, an EF Core migration, and a query filter in DeltaImportExecutionService that selects only datasets where NextRunAtUtc is null or has passed. After each successful execution, advance NextRunAtUtc by RefreshIntervalSeconds. On failure, advance by 2× RefreshIntervalSeconds as a back-off. Keep the Worker tick at 60 seconds (the smallest possible refresh granularity); larger intervals naturally line up on subsequent ticks.</w:t>
      </w:r>
    </w:p>
    <w:p>
      <w:pPr>
        <w:spacing w:after="120"/>
        <w:jc w:val="left"/>
      </w:pPr>
      <w:r>
        <w:rPr>
          <w:rFonts w:ascii="Calibri" w:cs="Calibri" w:eastAsia="Calibri" w:hAnsi="Calibri"/>
          <w:b w:val="false"/>
          <w:bCs w:val="false"/>
          <w:i w:val="false"/>
          <w:iCs w:val="false"/>
          <w:color w:val="111827"/>
          <w:sz w:val="22"/>
          <w:szCs w:val="22"/>
        </w:rPr>
        <w:t xml:space="preserve">Effort: 2–3 hours including migration and unit tests.</w:t>
      </w:r>
    </w:p>
    <w:p>
      <w:pPr>
        <w:pStyle w:val="Heading3"/>
        <w:spacing w:after="120" w:before="220"/>
      </w:pPr>
      <w:r>
        <w:rPr>
          <w:rFonts w:ascii="Calibri" w:cs="Calibri" w:eastAsia="Calibri" w:hAnsi="Calibri"/>
          <w:b/>
          <w:bCs/>
          <w:color w:val="0891B2"/>
          <w:sz w:val="24"/>
          <w:szCs w:val="24"/>
        </w:rPr>
        <w:t xml:space="preserve">HIGH-2.  SafeSqlValidator must block function-call exfiltration</w:t>
      </w:r>
    </w:p>
    <w:p>
      <w:pPr>
        <w:spacing w:after="120"/>
        <w:jc w:val="left"/>
      </w:pPr>
      <w:r>
        <w:rPr>
          <w:rFonts w:ascii="Calibri" w:cs="Calibri" w:eastAsia="Calibri" w:hAnsi="Calibri"/>
          <w:b w:val="false"/>
          <w:bCs w:val="false"/>
          <w:i w:val="false"/>
          <w:iCs w:val="false"/>
          <w:color w:val="111827"/>
          <w:sz w:val="22"/>
          <w:szCs w:val="22"/>
        </w:rPr>
        <w:t xml:space="preserve">File: Backend/PlantProcess.Api/Endpoints/Admin/SchemaConfigurationEndpoints.cs (lines 2926–3050, private static class SafeSqlValidator).</w:t>
      </w:r>
    </w:p>
    <w:p>
      <w:pPr>
        <w:spacing w:after="120"/>
        <w:jc w:val="left"/>
      </w:pPr>
      <w:r>
        <w:rPr>
          <w:rFonts w:ascii="Calibri" w:cs="Calibri" w:eastAsia="Calibri" w:hAnsi="Calibri"/>
          <w:b w:val="false"/>
          <w:bCs w:val="false"/>
          <w:i w:val="false"/>
          <w:iCs w:val="false"/>
          <w:color w:val="111827"/>
          <w:sz w:val="22"/>
          <w:szCs w:val="22"/>
        </w:rPr>
        <w:t xml:space="preserve">Problem: The current ForbiddenTokens list catches DML and DDL keywords but does not catch PostgreSQL functions that can be called from a pure SELECT statement: pg_read_file, pg_read_binary_file, pg_ls_dir, pg_stat_file, lo_export, lo_import, dblink, dblink_exec, pg_sleep. A read-only SELECT calling pg_read_file('/etc/passwd') is currently accepted. The table-reference regex also misses quoted identifiers (FROM "users"), CROSS/NATURAL JOIN, and ANSI comma-joins (FROM a, b). Information_schema and pg_catalog references are caught only incidentally by the allow-list and should be banned explicitly. Equivalent MSSQL functions (xp_cmdshell, openrowset, opendatasource, openquery, bulk insert, waitfor) should be banned too in anticipation of MSSQL schema views.</w:t>
      </w:r>
    </w:p>
    <w:p>
      <w:pPr>
        <w:spacing w:after="120"/>
        <w:jc w:val="left"/>
      </w:pPr>
      <w:r>
        <w:rPr>
          <w:rFonts w:ascii="Calibri" w:cs="Calibri" w:eastAsia="Calibri" w:hAnsi="Calibri"/>
          <w:b w:val="false"/>
          <w:bCs w:val="false"/>
          <w:i w:val="false"/>
          <w:iCs w:val="false"/>
          <w:color w:val="111827"/>
          <w:sz w:val="22"/>
          <w:szCs w:val="22"/>
        </w:rPr>
        <w:t xml:space="preserve">Fix: Extend the ForbiddenTokens list with PostgreSQL and MSSQL dangerous functions. Replace the table-reference regex with a two-pass approach that handles quoted identifiers, all JOIN types (CROSS, NATURAL, INNER, LEFT/RIGHT/FULL OUTER), and ANSI comma-joins. Add explicit deny on pg_catalog.* and information_schema.* schema prefixes. Add a check that WITH RECURSIVE queries must include an explicit LIMIT clause. At execution time set the PostgreSQL session-level statement_timeout = '5s' so a runaway query is killed by the database.</w:t>
      </w:r>
    </w:p>
    <w:p>
      <w:pPr>
        <w:spacing w:after="120"/>
        <w:jc w:val="left"/>
      </w:pPr>
      <w:r>
        <w:rPr>
          <w:rFonts w:ascii="Calibri" w:cs="Calibri" w:eastAsia="Calibri" w:hAnsi="Calibri"/>
          <w:b w:val="false"/>
          <w:bCs w:val="false"/>
          <w:i w:val="false"/>
          <w:iCs w:val="false"/>
          <w:color w:val="111827"/>
          <w:sz w:val="22"/>
          <w:szCs w:val="22"/>
        </w:rPr>
        <w:t xml:space="preserve">Effort: 2 hours for the validator + 1 hour for the adversarial test cases = 3 hours total.</w:t>
      </w:r>
    </w:p>
    <w:p>
      <w:pPr>
        <w:pStyle w:val="Heading3"/>
        <w:spacing w:after="120" w:before="220"/>
      </w:pPr>
      <w:r>
        <w:rPr>
          <w:rFonts w:ascii="Calibri" w:cs="Calibri" w:eastAsia="Calibri" w:hAnsi="Calibri"/>
          <w:b/>
          <w:bCs/>
          <w:color w:val="0891B2"/>
          <w:sz w:val="24"/>
          <w:szCs w:val="24"/>
        </w:rPr>
        <w:t xml:space="preserve">HIGH-3.  AuditLogEntry implementation (Pilot Blocker 2)</w:t>
      </w:r>
    </w:p>
    <w:p>
      <w:pPr>
        <w:spacing w:after="120"/>
        <w:jc w:val="left"/>
      </w:pPr>
      <w:r>
        <w:rPr>
          <w:rFonts w:ascii="Calibri" w:cs="Calibri" w:eastAsia="Calibri" w:hAnsi="Calibri"/>
          <w:b w:val="false"/>
          <w:bCs w:val="false"/>
          <w:i w:val="false"/>
          <w:iCs w:val="false"/>
          <w:color w:val="111827"/>
          <w:sz w:val="22"/>
          <w:szCs w:val="22"/>
        </w:rPr>
        <w:t xml:space="preserve">Problem: There is no immutable audit log entity in the domain, no logging middleware that writes to a database, and no database-level revocation of UPDATE/DELETE privileges on an audit table. The RequestResponseLoggingMiddleware writes to Serilog files which are mutable on the host. A pilot customer's IT security review will require evidence that data access is recorded immutably.</w:t>
      </w:r>
    </w:p>
    <w:p>
      <w:pPr>
        <w:spacing w:after="120"/>
        <w:jc w:val="left"/>
      </w:pPr>
      <w:r>
        <w:rPr>
          <w:rFonts w:ascii="Calibri" w:cs="Calibri" w:eastAsia="Calibri" w:hAnsi="Calibri"/>
          <w:b w:val="false"/>
          <w:bCs w:val="false"/>
          <w:i w:val="false"/>
          <w:iCs w:val="false"/>
          <w:color w:val="111827"/>
          <w:sz w:val="22"/>
          <w:szCs w:val="22"/>
        </w:rPr>
        <w:t xml:space="preserve">Fix: Add an AuditLogEntry domain entity (Id, OccurredAtUtc, UserId, UserName, HttpMethod, Endpoint, ResourceType, ResourceId, ActionCategory, OutcomeStatus, ClientIp, UserAgent, CorrelationId, HttpStatusCode, MetadataJson). Add EF Core configuration. Generate a migration that REVOKEs UPDATE, DELETE, TRUNCATE on the table from the application user — enforces immutability at the database level. Add an IAuditLogService and an ASP.NET AuditLogMiddleware that wraps every endpoint matched against a deny-list-by-default plus an allow-list of resource-bearing endpoint prefixes (/admin, /integration, /workflow, /license, /auth). Add integration tests that confirm UPDATE and DELETE attempts on the table fail at the database level with PostgreSQL error code 42501 (insufficient_privilege).</w:t>
      </w:r>
    </w:p>
    <w:p>
      <w:pPr>
        <w:spacing w:after="120"/>
        <w:jc w:val="left"/>
      </w:pPr>
      <w:r>
        <w:rPr>
          <w:rFonts w:ascii="Calibri" w:cs="Calibri" w:eastAsia="Calibri" w:hAnsi="Calibri"/>
          <w:b w:val="false"/>
          <w:bCs w:val="false"/>
          <w:i w:val="false"/>
          <w:iCs w:val="false"/>
          <w:color w:val="111827"/>
          <w:sz w:val="22"/>
          <w:szCs w:val="22"/>
        </w:rPr>
        <w:t xml:space="preserve">Effort: 4–6 hours including migration, middleware, and immutability tests.</w:t>
      </w:r>
    </w:p>
    <w:p>
      <w:pPr>
        <w:pStyle w:val="Heading2"/>
        <w:spacing w:after="160" w:before="280"/>
      </w:pPr>
      <w:r>
        <w:rPr>
          <w:rFonts w:ascii="Calibri" w:cs="Calibri" w:eastAsia="Calibri" w:hAnsi="Calibri"/>
          <w:b/>
          <w:bCs/>
          <w:color w:val="0F172A"/>
          <w:sz w:val="28"/>
          <w:szCs w:val="28"/>
        </w:rPr>
        <w:t xml:space="preserve">3.3  MEDIUM Severity Items</w:t>
      </w:r>
    </w:p>
    <w:p>
      <w:pPr>
        <w:pStyle w:val="Heading3"/>
        <w:spacing w:after="120" w:before="220"/>
      </w:pPr>
      <w:r>
        <w:rPr>
          <w:rFonts w:ascii="Calibri" w:cs="Calibri" w:eastAsia="Calibri" w:hAnsi="Calibri"/>
          <w:b/>
          <w:bCs/>
          <w:color w:val="0891B2"/>
          <w:sz w:val="24"/>
          <w:szCs w:val="24"/>
        </w:rPr>
        <w:t xml:space="preserve">MEDIUM-1.  Stale PlannedProviderDto array (truth divergence)</w:t>
      </w:r>
    </w:p>
    <w:p>
      <w:pPr>
        <w:spacing w:after="120"/>
        <w:jc w:val="left"/>
      </w:pPr>
      <w:r>
        <w:rPr>
          <w:rFonts w:ascii="Calibri" w:cs="Calibri" w:eastAsia="Calibri" w:hAnsi="Calibri"/>
          <w:b w:val="false"/>
          <w:bCs w:val="false"/>
          <w:i w:val="false"/>
          <w:iCs w:val="false"/>
          <w:color w:val="111827"/>
          <w:sz w:val="22"/>
          <w:szCs w:val="22"/>
        </w:rPr>
        <w:t xml:space="preserve">File: Backend/PlantProcess.Api/Endpoints/Admin/AdminEndpoints.cs (around line 1376, inside GetDbConfigurationSummaryAsync).</w:t>
      </w:r>
    </w:p>
    <w:p>
      <w:pPr>
        <w:spacing w:after="120"/>
        <w:jc w:val="left"/>
      </w:pPr>
      <w:r>
        <w:rPr>
          <w:rFonts w:ascii="Calibri" w:cs="Calibri" w:eastAsia="Calibri" w:hAnsi="Calibri"/>
          <w:b w:val="false"/>
          <w:bCs w:val="false"/>
          <w:i w:val="false"/>
          <w:iCs w:val="false"/>
          <w:color w:val="111827"/>
          <w:sz w:val="22"/>
          <w:szCs w:val="22"/>
        </w:rPr>
        <w:t xml:space="preserve">Problem: A static PlannedProviderDto array in the Phase 2 admin summary endpoint shows Excel as available=true and PostgreSQL as available=false — both inconsistent with the authoritative connector-truth sources in IntegrationEndpoints, ConnectorAdminEndpoints, and DemoLifecycleEndpoints, which all correctly report the current state. The stale array does not break anything at runtime but is a truth-divergence hazard: any partner integration that consumes the legacy endpoint will get conflicting answers about which connectors are available.</w:t>
      </w:r>
    </w:p>
    <w:p>
      <w:pPr>
        <w:spacing w:after="120"/>
        <w:jc w:val="left"/>
      </w:pPr>
      <w:r>
        <w:rPr>
          <w:rFonts w:ascii="Calibri" w:cs="Calibri" w:eastAsia="Calibri" w:hAnsi="Calibri"/>
          <w:b w:val="false"/>
          <w:bCs w:val="false"/>
          <w:i w:val="false"/>
          <w:iCs w:val="false"/>
          <w:color w:val="111827"/>
          <w:sz w:val="22"/>
          <w:szCs w:val="22"/>
        </w:rPr>
        <w:t xml:space="preserve">Fix: Delete the static array. Have GetDbConfigurationSummaryAsync project from the same BuildConnector factory used by DemoLifecycleEndpoints so there is one source of truth. Add a contract test that asserts the legacy DbConfigurationSummary endpoint and the DemoConnectorTruth endpoint always agree on IsAvailableNow for each provider type.</w:t>
      </w:r>
    </w:p>
    <w:p>
      <w:pPr>
        <w:spacing w:after="120"/>
        <w:jc w:val="left"/>
      </w:pPr>
      <w:r>
        <w:rPr>
          <w:rFonts w:ascii="Calibri" w:cs="Calibri" w:eastAsia="Calibri" w:hAnsi="Calibri"/>
          <w:b w:val="false"/>
          <w:bCs w:val="false"/>
          <w:i w:val="false"/>
          <w:iCs w:val="false"/>
          <w:color w:val="111827"/>
          <w:sz w:val="22"/>
          <w:szCs w:val="22"/>
        </w:rPr>
        <w:t xml:space="preserve">Effort: 30 minutes including the test.</w:t>
      </w:r>
    </w:p>
    <w:p>
      <w:pPr>
        <w:pStyle w:val="Heading3"/>
        <w:spacing w:after="120" w:before="220"/>
      </w:pPr>
      <w:r>
        <w:rPr>
          <w:rFonts w:ascii="Calibri" w:cs="Calibri" w:eastAsia="Calibri" w:hAnsi="Calibri"/>
          <w:b/>
          <w:bCs/>
          <w:color w:val="0891B2"/>
          <w:sz w:val="24"/>
          <w:szCs w:val="24"/>
        </w:rPr>
        <w:t xml:space="preserve">MEDIUM-2.  Empty migration file</w:t>
      </w:r>
    </w:p>
    <w:p>
      <w:pPr>
        <w:spacing w:after="120"/>
        <w:jc w:val="left"/>
      </w:pPr>
      <w:r>
        <w:rPr>
          <w:rFonts w:ascii="Calibri" w:cs="Calibri" w:eastAsia="Calibri" w:hAnsi="Calibri"/>
          <w:b w:val="false"/>
          <w:bCs w:val="false"/>
          <w:i w:val="false"/>
          <w:iCs w:val="false"/>
          <w:color w:val="111827"/>
          <w:sz w:val="22"/>
          <w:szCs w:val="22"/>
        </w:rPr>
        <w:t xml:space="preserve">File: Backend/database/scripts/080_phase_3_4_connector_schema_foundation.sql (0 bytes, modified 2026-05-16).</w:t>
      </w:r>
    </w:p>
    <w:p>
      <w:pPr>
        <w:spacing w:after="120"/>
        <w:jc w:val="left"/>
      </w:pPr>
      <w:r>
        <w:rPr>
          <w:rFonts w:ascii="Calibri" w:cs="Calibri" w:eastAsia="Calibri" w:hAnsi="Calibri"/>
          <w:b w:val="false"/>
          <w:bCs w:val="false"/>
          <w:i w:val="false"/>
          <w:iCs w:val="false"/>
          <w:color w:val="111827"/>
          <w:sz w:val="22"/>
          <w:szCs w:val="22"/>
        </w:rPr>
        <w:t xml:space="preserve">Problem: An empty .sql file in the scripts folder is a silent landmine. Confusing to read, fails psql with no output, and breaks any deployment script that asserts files must contain at least one statement. The actual Phase 3/4 connector schema is now applied via EF Core migrations under PlantProcess.Infrastructure/Migrations, so this file is genuinely obsolete.</w:t>
      </w:r>
    </w:p>
    <w:p>
      <w:pPr>
        <w:spacing w:after="120"/>
        <w:jc w:val="left"/>
      </w:pPr>
      <w:r>
        <w:rPr>
          <w:rFonts w:ascii="Calibri" w:cs="Calibri" w:eastAsia="Calibri" w:hAnsi="Calibri"/>
          <w:b w:val="false"/>
          <w:bCs w:val="false"/>
          <w:i w:val="false"/>
          <w:iCs w:val="false"/>
          <w:color w:val="111827"/>
          <w:sz w:val="22"/>
          <w:szCs w:val="22"/>
        </w:rPr>
        <w:t xml:space="preserve">Fix: Either delete the file via git rm, or replace its contents with a documenting comment explaining that Phase 3/4 schema lives in EF Core migrations and the file is kept empty intentionally for historical sequencing.</w:t>
      </w:r>
    </w:p>
    <w:p>
      <w:pPr>
        <w:spacing w:after="120"/>
        <w:jc w:val="left"/>
      </w:pPr>
      <w:r>
        <w:rPr>
          <w:rFonts w:ascii="Calibri" w:cs="Calibri" w:eastAsia="Calibri" w:hAnsi="Calibri"/>
          <w:b w:val="false"/>
          <w:bCs w:val="false"/>
          <w:i w:val="false"/>
          <w:iCs w:val="false"/>
          <w:color w:val="111827"/>
          <w:sz w:val="22"/>
          <w:szCs w:val="22"/>
        </w:rPr>
        <w:t xml:space="preserve">Effort: 5 minutes.</w:t>
      </w:r>
    </w:p>
    <w:p>
      <w:pPr>
        <w:pStyle w:val="Heading3"/>
        <w:spacing w:after="120" w:before="220"/>
      </w:pPr>
      <w:r>
        <w:rPr>
          <w:rFonts w:ascii="Calibri" w:cs="Calibri" w:eastAsia="Calibri" w:hAnsi="Calibri"/>
          <w:b/>
          <w:bCs/>
          <w:color w:val="0891B2"/>
          <w:sz w:val="24"/>
          <w:szCs w:val="24"/>
        </w:rPr>
        <w:t xml:space="preserve">MEDIUM-3.  Caddyfile + .env localhost configuration (go-live blocker)</w:t>
      </w:r>
    </w:p>
    <w:p>
      <w:pPr>
        <w:spacing w:after="120"/>
        <w:jc w:val="left"/>
      </w:pPr>
      <w:r>
        <w:rPr>
          <w:rFonts w:ascii="Calibri" w:cs="Calibri" w:eastAsia="Calibri" w:hAnsi="Calibri"/>
          <w:b w:val="false"/>
          <w:bCs w:val="false"/>
          <w:i w:val="false"/>
          <w:iCs w:val="false"/>
          <w:color w:val="111827"/>
          <w:sz w:val="22"/>
          <w:szCs w:val="22"/>
        </w:rPr>
        <w:t xml:space="preserve">Files: Infrastructure/deploy/Caddyfile (23 lines), Infrastructure/deploy/.env (121 lines).</w:t>
      </w:r>
    </w:p>
    <w:p>
      <w:pPr>
        <w:spacing w:after="120"/>
        <w:jc w:val="left"/>
      </w:pPr>
      <w:r>
        <w:rPr>
          <w:rFonts w:ascii="Calibri" w:cs="Calibri" w:eastAsia="Calibri" w:hAnsi="Calibri"/>
          <w:b w:val="false"/>
          <w:bCs w:val="false"/>
          <w:i w:val="false"/>
          <w:iCs w:val="false"/>
          <w:color w:val="111827"/>
          <w:sz w:val="22"/>
          <w:szCs w:val="22"/>
        </w:rPr>
        <w:t xml:space="preserve">Problem: The Caddyfile uses port-based reverse-proxy directives (:80, :5063, :8081, :9090) instead of domain-based virtual hosts. auto_https disable_redirects is set, so the site serves plain HTTP only. The .env file uses website.localhost, app.localhost, api.localhost as PUBLIC_WEBSITE_HOST/APP_FRONTEND_HOST/APP_API_HOST. CORS allowed origins are localhost-only. VITE_API_BASE_URL is http://api.localhost — baked into the frontend Vite build at compile time, so a domain change requires a frontend image rebuild. HOST_DATA_ROOT is a Windows path (C:/Workspace/...) which will not exist on the Linux Hetzner host.</w:t>
      </w:r>
    </w:p>
    <w:p>
      <w:pPr>
        <w:spacing w:after="120"/>
        <w:jc w:val="left"/>
      </w:pPr>
      <w:r>
        <w:rPr>
          <w:rFonts w:ascii="Calibri" w:cs="Calibri" w:eastAsia="Calibri" w:hAnsi="Calibri"/>
          <w:b w:val="false"/>
          <w:bCs w:val="false"/>
          <w:i w:val="false"/>
          <w:iCs w:val="false"/>
          <w:color w:val="111827"/>
          <w:sz w:val="22"/>
          <w:szCs w:val="22"/>
        </w:rPr>
        <w:t xml:space="preserve">Fix: Rewrite the Caddyfile to use domain-based blocks for plantprocessiq.com, app.plantprocessiq.com, api.plantprocessiq.com — remove auto_https disable_redirects so Caddy can provision Let's Encrypt certificates. Create a production .env on the Hetzner host with real domain values, Linux paths under /data/plantprocess-iq, CORS origins including the real frontend host, and a real notification email. Rebuild the frontend image with the new VITE_API_BASE_URL.</w:t>
      </w:r>
    </w:p>
    <w:p>
      <w:pPr>
        <w:spacing w:after="120"/>
        <w:jc w:val="left"/>
      </w:pPr>
      <w:r>
        <w:rPr>
          <w:rFonts w:ascii="Calibri" w:cs="Calibri" w:eastAsia="Calibri" w:hAnsi="Calibri"/>
          <w:b w:val="false"/>
          <w:bCs w:val="false"/>
          <w:i w:val="false"/>
          <w:iCs w:val="false"/>
          <w:color w:val="111827"/>
          <w:sz w:val="22"/>
          <w:szCs w:val="22"/>
        </w:rPr>
        <w:t xml:space="preserve">Effort: 30 minutes infrastructure + ~5 minutes per file change + frontend image rebuild time.</w:t>
      </w:r>
    </w:p>
    <w:p>
      <w:pPr>
        <w:pStyle w:val="Heading3"/>
        <w:spacing w:after="120" w:before="220"/>
      </w:pPr>
      <w:r>
        <w:rPr>
          <w:rFonts w:ascii="Calibri" w:cs="Calibri" w:eastAsia="Calibri" w:hAnsi="Calibri"/>
          <w:b/>
          <w:bCs/>
          <w:color w:val="0891B2"/>
          <w:sz w:val="24"/>
          <w:szCs w:val="24"/>
        </w:rPr>
        <w:t xml:space="preserve">MEDIUM-4.  CORS allowed origins for production</w:t>
      </w:r>
    </w:p>
    <w:p>
      <w:pPr>
        <w:spacing w:after="120"/>
        <w:jc w:val="left"/>
      </w:pPr>
      <w:r>
        <w:rPr>
          <w:rFonts w:ascii="Calibri" w:cs="Calibri" w:eastAsia="Calibri" w:hAnsi="Calibri"/>
          <w:b w:val="false"/>
          <w:bCs w:val="false"/>
          <w:i w:val="false"/>
          <w:iCs w:val="false"/>
          <w:color w:val="111827"/>
          <w:sz w:val="22"/>
          <w:szCs w:val="22"/>
        </w:rPr>
        <w:t xml:space="preserve">File: Infrastructure/deploy/.env line PLANTPROCESS_ALLOWED_ORIGINS.</w:t>
      </w:r>
    </w:p>
    <w:p>
      <w:pPr>
        <w:spacing w:after="120"/>
        <w:jc w:val="left"/>
      </w:pPr>
      <w:r>
        <w:rPr>
          <w:rFonts w:ascii="Calibri" w:cs="Calibri" w:eastAsia="Calibri" w:hAnsi="Calibri"/>
          <w:b w:val="false"/>
          <w:bCs w:val="false"/>
          <w:i w:val="false"/>
          <w:iCs w:val="false"/>
          <w:color w:val="111827"/>
          <w:sz w:val="22"/>
          <w:szCs w:val="22"/>
        </w:rPr>
        <w:t xml:space="preserve">Problem: Currently set to https://app.localhost,http://app.localhost,http://localhost:5173. The real production frontend at app.plantprocessiq.com is not on this list. The API will reject every request from the real frontend the moment the domain is published, until the .env is updated.</w:t>
      </w:r>
    </w:p>
    <w:p>
      <w:pPr>
        <w:spacing w:after="120"/>
        <w:jc w:val="left"/>
      </w:pPr>
      <w:r>
        <w:rPr>
          <w:rFonts w:ascii="Calibri" w:cs="Calibri" w:eastAsia="Calibri" w:hAnsi="Calibri"/>
          <w:b w:val="false"/>
          <w:bCs w:val="false"/>
          <w:i w:val="false"/>
          <w:iCs w:val="false"/>
          <w:color w:val="111827"/>
          <w:sz w:val="22"/>
          <w:szCs w:val="22"/>
        </w:rPr>
        <w:t xml:space="preserve">Fix: Add the production origin(s) to the env var (https://app.plantprocessiq.com, plus https://plantprocessiq.com if the marketing site ever needs to call the API). Confirm the API CORS configuration uses .WithOrigins(allowedOrigins) — exact match, never .AllowAnyOrigin(). If credentials are sent (cookies or Authorization headers), keep .AllowCredentials() — and never combine it with wildcard origins.</w:t>
      </w:r>
    </w:p>
    <w:p>
      <w:pPr>
        <w:spacing w:after="120"/>
        <w:jc w:val="left"/>
      </w:pPr>
      <w:r>
        <w:rPr>
          <w:rFonts w:ascii="Calibri" w:cs="Calibri" w:eastAsia="Calibri" w:hAnsi="Calibri"/>
          <w:b w:val="false"/>
          <w:bCs w:val="false"/>
          <w:i w:val="false"/>
          <w:iCs w:val="false"/>
          <w:color w:val="111827"/>
          <w:sz w:val="22"/>
          <w:szCs w:val="22"/>
        </w:rPr>
        <w:t xml:space="preserve">Effort: 5 minutes.</w:t>
      </w:r>
    </w:p>
    <w:p>
      <w:pPr>
        <w:pStyle w:val="Heading3"/>
        <w:spacing w:after="120" w:before="220"/>
      </w:pPr>
      <w:r>
        <w:rPr>
          <w:rFonts w:ascii="Calibri" w:cs="Calibri" w:eastAsia="Calibri" w:hAnsi="Calibri"/>
          <w:b/>
          <w:bCs/>
          <w:color w:val="0891B2"/>
          <w:sz w:val="24"/>
          <w:szCs w:val="24"/>
        </w:rPr>
        <w:t xml:space="preserve">MEDIUM-5.  Bootstrap admin password lifetime</w:t>
      </w:r>
    </w:p>
    <w:p>
      <w:pPr>
        <w:spacing w:after="120"/>
        <w:jc w:val="left"/>
      </w:pPr>
      <w:r>
        <w:rPr>
          <w:rFonts w:ascii="Calibri" w:cs="Calibri" w:eastAsia="Calibri" w:hAnsi="Calibri"/>
          <w:b w:val="false"/>
          <w:bCs w:val="false"/>
          <w:i w:val="false"/>
          <w:iCs w:val="false"/>
          <w:color w:val="111827"/>
          <w:sz w:val="22"/>
          <w:szCs w:val="22"/>
        </w:rPr>
        <w:t xml:space="preserve">File: Infrastructure/deploy/.env, PlantProcess__Auth__BootstrapAdminUser/Password.</w:t>
      </w:r>
    </w:p>
    <w:p>
      <w:pPr>
        <w:spacing w:after="120"/>
        <w:jc w:val="left"/>
      </w:pPr>
      <w:r>
        <w:rPr>
          <w:rFonts w:ascii="Calibri" w:cs="Calibri" w:eastAsia="Calibri" w:hAnsi="Calibri"/>
          <w:b w:val="false"/>
          <w:bCs w:val="false"/>
          <w:i w:val="false"/>
          <w:iCs w:val="false"/>
          <w:color w:val="111827"/>
          <w:sz w:val="22"/>
          <w:szCs w:val="22"/>
        </w:rPr>
        <w:t xml:space="preserve">Problem: The bootstrap admin credential lives in .env indefinitely. Adequate for demo, brittle for paying customers — a leaked .env grants persistent access months later. The system also does not currently rotate the bootstrap account once a real admin user is created in the database.</w:t>
      </w:r>
    </w:p>
    <w:p>
      <w:pPr>
        <w:spacing w:after="120"/>
        <w:jc w:val="left"/>
      </w:pPr>
      <w:r>
        <w:rPr>
          <w:rFonts w:ascii="Calibri" w:cs="Calibri" w:eastAsia="Calibri" w:hAnsi="Calibri"/>
          <w:b w:val="false"/>
          <w:bCs w:val="false"/>
          <w:i w:val="false"/>
          <w:iCs w:val="false"/>
          <w:color w:val="111827"/>
          <w:sz w:val="22"/>
          <w:szCs w:val="22"/>
        </w:rPr>
        <w:t xml:space="preserve">Fix: Add a force_password_change_on_first_login flag on the bootstrap account. Add a login-time check: if any non-bootstrap user with the Admin role exists, the bootstrap admin login path is locked. Document this behaviour in the security overview on the marketing website.</w:t>
      </w:r>
    </w:p>
    <w:p>
      <w:pPr>
        <w:spacing w:after="120"/>
        <w:jc w:val="left"/>
      </w:pPr>
      <w:r>
        <w:rPr>
          <w:rFonts w:ascii="Calibri" w:cs="Calibri" w:eastAsia="Calibri" w:hAnsi="Calibri"/>
          <w:b w:val="false"/>
          <w:bCs w:val="false"/>
          <w:i w:val="false"/>
          <w:iCs w:val="false"/>
          <w:color w:val="111827"/>
          <w:sz w:val="22"/>
          <w:szCs w:val="22"/>
        </w:rPr>
        <w:t xml:space="preserve">Effort: 30 minutes.</w:t>
      </w:r>
    </w:p>
    <w:p>
      <w:pPr>
        <w:pStyle w:val="Heading2"/>
        <w:spacing w:after="160" w:before="280"/>
      </w:pPr>
      <w:r>
        <w:rPr>
          <w:rFonts w:ascii="Calibri" w:cs="Calibri" w:eastAsia="Calibri" w:hAnsi="Calibri"/>
          <w:b/>
          <w:bCs/>
          <w:color w:val="0F172A"/>
          <w:sz w:val="28"/>
          <w:szCs w:val="28"/>
        </w:rPr>
        <w:t xml:space="preserve">3.4  LOW Severity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360"/>
        <w:gridCol w:w="600"/>
      </w:tblGrid>
      <w:tr>
        <w:tc>
          <w:tcPr>
            <w:tcW w:type="dxa" w:w="5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Item</w:t>
            </w:r>
          </w:p>
        </w:tc>
        <w:tc>
          <w:tcPr>
            <w:tcW w:type="dxa" w:w="33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 / Location</w:t>
            </w:r>
          </w:p>
        </w:tc>
        <w:tc>
          <w:tcPr>
            <w:tcW w:type="dxa" w:w="6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Effort</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Jenkinsfile email placeholder (PPIQ_CI_NOTIFY_EMAIL = your-email@example.com)</w:t>
            </w:r>
          </w:p>
        </w:tc>
        <w:tc>
          <w:tcPr>
            <w:tcW w:type="dxa" w:w="3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Jenkinsfile line ~3939; .env</w:t>
            </w:r>
          </w:p>
        </w:tc>
        <w:tc>
          <w:tcPr>
            <w:tcW w:type="dxa" w:w="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min</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Hero homepage uses BarChart3 lucide icon placeholder; replace with real dashboard screenshot</w:t>
            </w:r>
          </w:p>
        </w:tc>
        <w:tc>
          <w:tcPr>
            <w:tcW w:type="dxa" w:w="3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Website App.tsx homepage hero panel</w:t>
            </w:r>
          </w:p>
        </w:tc>
        <w:tc>
          <w:tcPr>
            <w:tcW w:type="dxa" w:w="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Design</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WidgetBuilderWizardContent.tsx is 1,501 lines; split into per-step files</w:t>
            </w:r>
          </w:p>
        </w:tc>
        <w:tc>
          <w:tcPr>
            <w:tcW w:type="dxa" w:w="3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Frontend/PlantProcess.Web/src/components/dashboard/widget-builder/</w:t>
            </w:r>
          </w:p>
        </w:tc>
        <w:tc>
          <w:tcPr>
            <w:tcW w:type="dxa" w:w="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3–4 hrs</w:t>
            </w:r>
          </w:p>
        </w:tc>
      </w:tr>
      <w:tr>
        <w:tc>
          <w:tcPr>
            <w:tcW w:type="dxa" w:w="5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InvestigateMaterialAsync uses 7 sequential DB queries; add pagination on parameterObservations</w:t>
            </w:r>
          </w:p>
        </w:tc>
        <w:tc>
          <w:tcPr>
            <w:tcW w:type="dxa" w:w="3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Backend/PlantProcess.Api/Endpoints/Workflow/WorkflowEndpoints.cs line 10036</w:t>
            </w:r>
          </w:p>
        </w:tc>
        <w:tc>
          <w:tcPr>
            <w:tcW w:type="dxa" w:w="6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 hr</w:t>
            </w:r>
          </w:p>
        </w:tc>
      </w:tr>
    </w:tbl>
    <w:p>
      <w:r>
        <w:t xml:space="preserve"/>
      </w:r>
    </w:p>
    <w:p>
      <w:pPr>
        <w:pStyle w:val="Heading2"/>
        <w:spacing w:after="160" w:before="280"/>
      </w:pPr>
      <w:r>
        <w:rPr>
          <w:rFonts w:ascii="Calibri" w:cs="Calibri" w:eastAsia="Calibri" w:hAnsi="Calibri"/>
          <w:b/>
          <w:bCs/>
          <w:color w:val="0F172A"/>
          <w:sz w:val="28"/>
          <w:szCs w:val="28"/>
        </w:rPr>
        <w:t xml:space="preserve">3.5  Non-Code Items (from prior audit, still valid)</w:t>
      </w:r>
    </w:p>
    <w:p>
      <w:pPr>
        <w:spacing w:after="120"/>
        <w:jc w:val="left"/>
      </w:pPr>
      <w:r>
        <w:rPr>
          <w:rFonts w:ascii="Calibri" w:cs="Calibri" w:eastAsia="Calibri" w:hAnsi="Calibri"/>
          <w:b w:val="false"/>
          <w:bCs w:val="false"/>
          <w:i w:val="false"/>
          <w:iCs w:val="false"/>
          <w:color w:val="111827"/>
          <w:sz w:val="22"/>
          <w:szCs w:val="22"/>
        </w:rPr>
        <w:t xml:space="preserve">These are not code defects but tracked here for completeness because they materially affect commercial readiness:</w:t>
      </w:r>
    </w:p>
    <w:p>
      <w:pPr>
        <w:pStyle w:val="ListParagraph"/>
        <w:numPr>
          <w:ilvl w:val="0"/>
          <w:numId w:val="2"/>
        </w:numPr>
        <w:spacing w:after="80"/>
      </w:pPr>
      <w:r>
        <w:rPr>
          <w:rFonts w:ascii="Calibri" w:cs="Calibri" w:eastAsia="Calibri" w:hAnsi="Calibri"/>
          <w:color w:val="111827"/>
          <w:sz w:val="22"/>
          <w:szCs w:val="22"/>
        </w:rPr>
        <w:t xml:space="preserve">Demo script (15 steps) — required before first prospect call. Open with the Material Investigation workflow, not the dashboard.</w:t>
      </w:r>
    </w:p>
    <w:p>
      <w:pPr>
        <w:pStyle w:val="ListParagraph"/>
        <w:numPr>
          <w:ilvl w:val="0"/>
          <w:numId w:val="2"/>
        </w:numPr>
        <w:spacing w:after="80"/>
      </w:pPr>
      <w:r>
        <w:rPr>
          <w:rFonts w:ascii="Calibri" w:cs="Calibri" w:eastAsia="Calibri" w:hAnsi="Calibri"/>
          <w:color w:val="111827"/>
          <w:sz w:val="22"/>
          <w:szCs w:val="22"/>
        </w:rPr>
        <w:t xml:space="preserve">Screenshot pack — five clean UI screenshots for the website Proof section and outreach materials.</w:t>
      </w:r>
    </w:p>
    <w:p>
      <w:pPr>
        <w:pStyle w:val="ListParagraph"/>
        <w:numPr>
          <w:ilvl w:val="0"/>
          <w:numId w:val="2"/>
        </w:numPr>
        <w:spacing w:after="80"/>
      </w:pPr>
      <w:r>
        <w:rPr>
          <w:rFonts w:ascii="Calibri" w:cs="Calibri" w:eastAsia="Calibri" w:hAnsi="Calibri"/>
          <w:color w:val="111827"/>
          <w:sz w:val="22"/>
          <w:szCs w:val="22"/>
        </w:rPr>
        <w:t xml:space="preserve">Two-page engineer brief PDF — for cold-outreach attachment.</w:t>
      </w:r>
    </w:p>
    <w:p>
      <w:pPr>
        <w:pStyle w:val="ListParagraph"/>
        <w:numPr>
          <w:ilvl w:val="0"/>
          <w:numId w:val="2"/>
        </w:numPr>
        <w:spacing w:after="80"/>
      </w:pPr>
      <w:r>
        <w:rPr>
          <w:rFonts w:ascii="Calibri" w:cs="Calibri" w:eastAsia="Calibri" w:hAnsi="Calibri"/>
          <w:color w:val="111827"/>
          <w:sz w:val="22"/>
          <w:szCs w:val="22"/>
        </w:rPr>
        <w:t xml:space="preserve">Request-Demo CTA on Contact page is a static email link; add mailto with subject/body prefill or a Calendly embed.</w:t>
      </w:r>
    </w:p>
    <w:p>
      <w:pPr>
        <w:pStyle w:val="ListParagraph"/>
        <w:numPr>
          <w:ilvl w:val="0"/>
          <w:numId w:val="2"/>
        </w:numPr>
        <w:spacing w:after="80"/>
      </w:pPr>
      <w:r>
        <w:rPr>
          <w:rFonts w:ascii="Calibri" w:cs="Calibri" w:eastAsia="Calibri" w:hAnsi="Calibri"/>
          <w:color w:val="111827"/>
          <w:sz w:val="22"/>
          <w:szCs w:val="22"/>
        </w:rPr>
        <w:t xml:space="preserve">NDA + Data Processing Statement template (legal prerequisite for any customer data exchange).</w:t>
      </w:r>
    </w:p>
    <w:p>
      <w:pPr>
        <w:pStyle w:val="ListParagraph"/>
        <w:numPr>
          <w:ilvl w:val="0"/>
          <w:numId w:val="2"/>
        </w:numPr>
        <w:spacing w:after="80"/>
      </w:pPr>
      <w:r>
        <w:rPr>
          <w:rFonts w:ascii="Calibri" w:cs="Calibri" w:eastAsia="Calibri" w:hAnsi="Calibri"/>
          <w:color w:val="111827"/>
          <w:sz w:val="22"/>
          <w:szCs w:val="22"/>
        </w:rPr>
        <w:t xml:space="preserve">Diagnostic SOW template (required for first paid Data Diagnostic).</w:t>
      </w:r>
    </w:p>
    <w:p>
      <w:pPr>
        <w:pStyle w:val="ListParagraph"/>
        <w:numPr>
          <w:ilvl w:val="0"/>
          <w:numId w:val="2"/>
        </w:numPr>
        <w:spacing w:after="80"/>
      </w:pPr>
      <w:r>
        <w:rPr>
          <w:rFonts w:ascii="Calibri" w:cs="Calibri" w:eastAsia="Calibri" w:hAnsi="Calibri"/>
          <w:color w:val="111827"/>
          <w:sz w:val="22"/>
          <w:szCs w:val="22"/>
        </w:rPr>
        <w:t xml:space="preserve">Verify employment contract side-work clause (GTM LEGAL-03).</w:t>
      </w:r>
    </w:p>
    <w:p>
      <w:r>
        <w:br w:type="page"/>
      </w:r>
    </w:p>
    <w:p>
      <w:pPr>
        <w:pStyle w:val="Heading1"/>
        <w:spacing w:after="200" w:before="360"/>
      </w:pPr>
      <w:r>
        <w:rPr>
          <w:rFonts w:ascii="Calibri" w:cs="Calibri" w:eastAsia="Calibri" w:hAnsi="Calibri"/>
          <w:b/>
          <w:bCs/>
          <w:color w:val="0F172A"/>
          <w:sz w:val="36"/>
          <w:szCs w:val="36"/>
        </w:rPr>
        <w:t xml:space="preserve">4.  Two-Week Patch Plan</w:t>
      </w:r>
    </w:p>
    <w:p>
      <w:pPr>
        <w:spacing w:after="120"/>
        <w:jc w:val="left"/>
      </w:pPr>
      <w:r>
        <w:rPr>
          <w:rFonts w:ascii="Calibri" w:cs="Calibri" w:eastAsia="Calibri" w:hAnsi="Calibri"/>
          <w:b w:val="false"/>
          <w:bCs w:val="false"/>
          <w:i w:val="false"/>
          <w:iCs w:val="false"/>
          <w:color w:val="111827"/>
          <w:sz w:val="22"/>
          <w:szCs w:val="22"/>
        </w:rPr>
        <w:t xml:space="preserve">Combining the HIGH and MEDIUM items above into a sequenced plan a single engineer can execute in two focused weeks. After this plan you would be publicly live, demo-honest, security-hardened on the SQL editor, vision-faithful on per-source scheduling, with Pilot Blocker 2 (audit log) closed, and a demo script in hand.</w:t>
      </w:r>
    </w:p>
    <w:p>
      <w:pPr>
        <w:pStyle w:val="Heading2"/>
        <w:spacing w:after="160" w:before="280"/>
      </w:pPr>
      <w:r>
        <w:rPr>
          <w:rFonts w:ascii="Calibri" w:cs="Calibri" w:eastAsia="Calibri" w:hAnsi="Calibri"/>
          <w:b/>
          <w:bCs/>
          <w:color w:val="0F172A"/>
          <w:sz w:val="28"/>
          <w:szCs w:val="28"/>
        </w:rPr>
        <w:t xml:space="preserve">4.1  Week 1 — Public-facing &amp;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t>
            </w:r>
          </w:p>
        </w:tc>
        <w:tc>
          <w:tcPr>
            <w:tcW w:type="dxa" w:w="58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Task</w:t>
            </w:r>
          </w:p>
        </w:tc>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Effort</w:t>
            </w:r>
          </w:p>
        </w:tc>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Owner</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Caddyfile + DNS A records + production .env on Hetzner</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 hr</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2</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Frontend image rebuild with production VITE_API_BASE_URL</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30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CORS allowed origins for production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Hero homepage screenshot replacement</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Design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Brand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Demo-request mailto link on Contact CTA</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Frontend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6</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Stale PlannedProviderDto deletion + contract test</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30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7</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Empty 080_phase_3_4_*.sql cleanup</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8</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Jenkinsfile email placeholder update</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Infra</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9</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Bootstrap admin lock-after-first-real-admin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30 min</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10</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15-step demo script + NDA + Diagnostic SOW templates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Offline</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Founder</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Week 1 totals roughly three hours of code plus design and offline writing. The output is a publicly accessible website on the real domain over HTTPS, a truthful set of connector-availability flags everywhere, a demo CTA that actually invites a demo, and the legal paperwork needed to receive a customer's first data file.</w:t>
      </w:r>
    </w:p>
    <w:p>
      <w:pPr>
        <w:pStyle w:val="Heading2"/>
        <w:spacing w:after="160" w:before="280"/>
      </w:pPr>
      <w:r>
        <w:rPr>
          <w:rFonts w:ascii="Calibri" w:cs="Calibri" w:eastAsia="Calibri" w:hAnsi="Calibri"/>
          <w:b/>
          <w:bCs/>
          <w:color w:val="0F172A"/>
          <w:sz w:val="28"/>
          <w:szCs w:val="28"/>
        </w:rPr>
        <w:t xml:space="preserve">4.2  Week 2 — Engine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t>
            </w:r>
          </w:p>
        </w:tc>
        <w:tc>
          <w:tcPr>
            <w:tcW w:type="dxa" w:w="58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Task</w:t>
            </w:r>
          </w:p>
        </w:tc>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Effort</w:t>
            </w:r>
          </w:p>
        </w:tc>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Owner</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11</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SafeSqlValidator hardening + adversarial tests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 hrs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Per-source scheduling fix in DeltaImportExecutionService + migration + tests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 hrs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13</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AuditLogEntry full implementation (entity + EF config + migration + middleware + tests)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 hrs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r>
        <w:tc>
          <w:tcPr>
            <w:tcW w:type="dxa" w:w="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14</w:t>
            </w:r>
          </w:p>
        </w:tc>
        <w:tc>
          <w:tcPr>
            <w:tcW w:type="dxa" w:w="5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Pagination on InvestigateMaterialAsync.parameterObservations</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 hr</w:t>
            </w:r>
          </w:p>
        </w:tc>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Backend</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Week 2 totals roughly twelve hours of code. The output is a security-hardened SQL editor (no function-call exfiltration possible), per-source import scheduling that honors each dataset's configured rate, an immutable audit log with database-enforced privileges, and a paginated material investigation endpoint that does not OOM on large heats. Pilot Blocker 2 is closed at the end of this week.</w:t>
      </w:r>
    </w:p>
    <w:p>
      <w:pPr>
        <w:pStyle w:val="Heading2"/>
        <w:spacing w:after="160" w:before="280"/>
      </w:pPr>
      <w:r>
        <w:rPr>
          <w:rFonts w:ascii="Calibri" w:cs="Calibri" w:eastAsia="Calibri" w:hAnsi="Calibri"/>
          <w:b/>
          <w:bCs/>
          <w:color w:val="0F172A"/>
          <w:sz w:val="28"/>
          <w:szCs w:val="28"/>
        </w:rPr>
        <w:t xml:space="preserve">4.3  Status After Two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60"/>
        <w:gridCol w:w="3200"/>
      </w:tblGrid>
      <w:tr>
        <w:tc>
          <w:tcPr>
            <w:tcW w:type="dxa" w:w="3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Dimension</w:t>
            </w:r>
          </w:p>
        </w:tc>
        <w:tc>
          <w:tcPr>
            <w:tcW w:type="dxa" w:w="26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Before</w:t>
            </w:r>
          </w:p>
        </w:tc>
        <w:tc>
          <w:tcPr>
            <w:tcW w:type="dxa" w:w="3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After</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Public website</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IP+port only</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https://plantprocessiq.com</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Connector truth across endpoints</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 sources</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 source, contract-tested</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SafeSqlValidator coverage</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DML/DDL only</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DML/DDL + function exfiltration + identifier styles</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Per-source import scheduling</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 only</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Schema + executor honors each rate</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Audit log</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None</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Immutable, DB-enforced, fully covered by tests</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Pilot Blockers remaining (audit's count)</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6</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 (RBAC fully populated, MSSQL, Excel, license all done; remaining: tenant isolation, legal templates, customer paperwork)</w:t>
            </w:r>
          </w:p>
        </w:tc>
      </w:tr>
      <w:tr>
        <w:tc>
          <w:tcPr>
            <w:tcW w:type="dxa" w:w="3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Demo-readiness</w:t>
            </w:r>
          </w:p>
        </w:tc>
        <w:tc>
          <w:tcPr>
            <w:tcW w:type="dxa" w:w="26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Technically yes</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Yes, with script and screenshots</w:t>
            </w:r>
          </w:p>
        </w:tc>
      </w:tr>
    </w:tbl>
    <w:p>
      <w:r>
        <w:t xml:space="preserve"/>
      </w:r>
    </w:p>
    <w:p>
      <w:pPr>
        <w:pStyle w:val="Heading2"/>
        <w:spacing w:after="160" w:before="280"/>
      </w:pPr>
      <w:r>
        <w:rPr>
          <w:rFonts w:ascii="Calibri" w:cs="Calibri" w:eastAsia="Calibri" w:hAnsi="Calibri"/>
          <w:b/>
          <w:bCs/>
          <w:color w:val="0F172A"/>
          <w:sz w:val="28"/>
          <w:szCs w:val="28"/>
        </w:rPr>
        <w:t xml:space="preserve">4.4  Beyond Two Weeks — The 4-Month Outlook</w:t>
      </w:r>
    </w:p>
    <w:p>
      <w:pPr>
        <w:spacing w:after="120"/>
        <w:jc w:val="left"/>
      </w:pPr>
      <w:r>
        <w:rPr>
          <w:rFonts w:ascii="Calibri" w:cs="Calibri" w:eastAsia="Calibri" w:hAnsi="Calibri"/>
          <w:b w:val="false"/>
          <w:bCs w:val="false"/>
          <w:i w:val="false"/>
          <w:iCs w:val="false"/>
          <w:color w:val="111827"/>
          <w:sz w:val="22"/>
          <w:szCs w:val="22"/>
        </w:rPr>
        <w:t xml:space="preserve">The GTM places the next stage gates as follows. None of them are blocked by the work above:</w:t>
      </w:r>
    </w:p>
    <w:p>
      <w:pPr>
        <w:pStyle w:val="ListParagraph"/>
        <w:numPr>
          <w:ilvl w:val="0"/>
          <w:numId w:val="2"/>
        </w:numPr>
        <w:spacing w:after="80"/>
      </w:pPr>
      <w:r>
        <w:rPr>
          <w:rFonts w:ascii="Calibri" w:cs="Calibri" w:eastAsia="Calibri" w:hAnsi="Calibri"/>
          <w:color w:val="111827"/>
          <w:sz w:val="22"/>
          <w:szCs w:val="22"/>
        </w:rPr>
        <w:t xml:space="preserve">M3 (now) — First demo calls. Requires Week 1 above. Already substantially demo-ready.</w:t>
      </w:r>
    </w:p>
    <w:p>
      <w:pPr>
        <w:pStyle w:val="ListParagraph"/>
        <w:numPr>
          <w:ilvl w:val="0"/>
          <w:numId w:val="2"/>
        </w:numPr>
        <w:spacing w:after="80"/>
      </w:pPr>
      <w:r>
        <w:rPr>
          <w:rFonts w:ascii="Calibri" w:cs="Calibri" w:eastAsia="Calibri" w:hAnsi="Calibri"/>
          <w:color w:val="111827"/>
          <w:sz w:val="22"/>
          <w:szCs w:val="22"/>
        </w:rPr>
        <w:t xml:space="preserve">M4 — Data Diagnostic commercial launch. Requires the NDA and Diagnostic SOW templates from Week 1, item 10. Technical foundation (ApplicationReadinessService + 7-dimension PDF) already complete.</w:t>
      </w:r>
    </w:p>
    <w:p>
      <w:pPr>
        <w:pStyle w:val="ListParagraph"/>
        <w:numPr>
          <w:ilvl w:val="0"/>
          <w:numId w:val="2"/>
        </w:numPr>
        <w:spacing w:after="80"/>
      </w:pPr>
      <w:r>
        <w:rPr>
          <w:rFonts w:ascii="Calibri" w:cs="Calibri" w:eastAsia="Calibri" w:hAnsi="Calibri"/>
          <w:color w:val="111827"/>
          <w:sz w:val="22"/>
          <w:szCs w:val="22"/>
        </w:rPr>
        <w:t xml:space="preserve">M5–M6 — Phase 5 completion. Per-source scheduling closes via Week 2 item 12. MSSQL connector already shipped. Excel connector already shipped.</w:t>
      </w:r>
    </w:p>
    <w:p>
      <w:pPr>
        <w:pStyle w:val="ListParagraph"/>
        <w:numPr>
          <w:ilvl w:val="0"/>
          <w:numId w:val="2"/>
        </w:numPr>
        <w:spacing w:after="80"/>
      </w:pPr>
      <w:r>
        <w:rPr>
          <w:rFonts w:ascii="Calibri" w:cs="Calibri" w:eastAsia="Calibri" w:hAnsi="Calibri"/>
          <w:color w:val="111827"/>
          <w:sz w:val="22"/>
          <w:szCs w:val="22"/>
        </w:rPr>
        <w:t xml:space="preserve">M7 — Audit log + license enforcement full coverage. Audit log closes via Week 2 item 13. License enforcement already in place.</w:t>
      </w:r>
    </w:p>
    <w:p>
      <w:pPr>
        <w:pStyle w:val="ListParagraph"/>
        <w:numPr>
          <w:ilvl w:val="0"/>
          <w:numId w:val="2"/>
        </w:numPr>
        <w:spacing w:after="80"/>
      </w:pPr>
      <w:r>
        <w:rPr>
          <w:rFonts w:ascii="Calibri" w:cs="Calibri" w:eastAsia="Calibri" w:hAnsi="Calibri"/>
          <w:color w:val="111827"/>
          <w:sz w:val="22"/>
          <w:szCs w:val="22"/>
        </w:rPr>
        <w:t xml:space="preserve">M8 — Phase 12 security gate. Tenant isolation remains; document the single-tenant-per-deployment policy in the Pilot SOW and revisit when first multi-tenant prospect appears.</w:t>
      </w:r>
    </w:p>
    <w:p>
      <w:pPr>
        <w:pStyle w:val="ListParagraph"/>
        <w:numPr>
          <w:ilvl w:val="0"/>
          <w:numId w:val="2"/>
        </w:numPr>
        <w:spacing w:after="80"/>
      </w:pPr>
      <w:r>
        <w:rPr>
          <w:rFonts w:ascii="Calibri" w:cs="Calibri" w:eastAsia="Calibri" w:hAnsi="Calibri"/>
          <w:color w:val="111827"/>
          <w:sz w:val="22"/>
          <w:szCs w:val="22"/>
        </w:rPr>
        <w:t xml:space="preserve">M9–M10 — Phase 6 PageDefinition / Page Builder. ~12-hour build, not blocked by anything.</w:t>
      </w:r>
    </w:p>
    <w:p>
      <w:pPr>
        <w:pStyle w:val="ListParagraph"/>
        <w:numPr>
          <w:ilvl w:val="0"/>
          <w:numId w:val="2"/>
        </w:numPr>
        <w:spacing w:after="80"/>
      </w:pPr>
      <w:r>
        <w:rPr>
          <w:rFonts w:ascii="Calibri" w:cs="Calibri" w:eastAsia="Calibri" w:hAnsi="Calibri"/>
          <w:color w:val="111827"/>
          <w:sz w:val="22"/>
          <w:szCs w:val="22"/>
        </w:rPr>
        <w:t xml:space="preserve">M11–M12 — Phase 7 Widget Script Layer. ~14-hour build per the design sketch in this report. Highest-leverage feature for long-term architecture.</w:t>
      </w:r>
    </w:p>
    <w:p>
      <w:pPr>
        <w:pStyle w:val="ListParagraph"/>
        <w:numPr>
          <w:ilvl w:val="0"/>
          <w:numId w:val="2"/>
        </w:numPr>
        <w:spacing w:after="80"/>
      </w:pPr>
      <w:r>
        <w:rPr>
          <w:rFonts w:ascii="Calibri" w:cs="Calibri" w:eastAsia="Calibri" w:hAnsi="Calibri"/>
          <w:color w:val="111827"/>
          <w:sz w:val="22"/>
          <w:szCs w:val="22"/>
        </w:rPr>
        <w:t xml:space="preserve">M16+ — Phase 9 ML. Activation conditional on real customer data flowing for ≥2 months.</w:t>
      </w:r>
    </w:p>
    <w:p>
      <w:pPr>
        <w:spacing w:after="120"/>
        <w:jc w:val="left"/>
      </w:pPr>
      <w:r>
        <w:rPr>
          <w:rFonts w:ascii="Calibri" w:cs="Calibri" w:eastAsia="Calibri" w:hAnsi="Calibri"/>
          <w:b w:val="false"/>
          <w:bCs w:val="false"/>
          <w:i w:val="false"/>
          <w:iCs w:val="false"/>
          <w:color w:val="111827"/>
          <w:sz w:val="22"/>
          <w:szCs w:val="22"/>
        </w:rPr>
        <w:t xml:space="preserve">The biggest commercial unlock between now and M8 is not technical. It is the rewrite of the previously authored Status Audit Report so that prospects, investors, and potential employees read a current, accurate description of the product rather than a stale one. Until that rewrite happens, every external party that reviews the older audit will form a falsely pessimistic view, and the product's quality will be hidden behind out-of-date prose.</w:t>
      </w:r>
    </w:p>
    <w:p>
      <w:r>
        <w:br w:type="page"/>
      </w:r>
    </w:p>
    <w:p>
      <w:pPr>
        <w:pStyle w:val="Heading1"/>
        <w:spacing w:after="200" w:before="360"/>
      </w:pPr>
      <w:r>
        <w:rPr>
          <w:rFonts w:ascii="Calibri" w:cs="Calibri" w:eastAsia="Calibri" w:hAnsi="Calibri"/>
          <w:b/>
          <w:bCs/>
          <w:color w:val="0F172A"/>
          <w:sz w:val="36"/>
          <w:szCs w:val="36"/>
        </w:rPr>
        <w:t xml:space="preserve">5.  Architectural Quality — A Note Worth Recording</w:t>
      </w:r>
    </w:p>
    <w:p>
      <w:pPr>
        <w:spacing w:after="120"/>
        <w:jc w:val="left"/>
      </w:pPr>
      <w:r>
        <w:rPr>
          <w:rFonts w:ascii="Calibri" w:cs="Calibri" w:eastAsia="Calibri" w:hAnsi="Calibri"/>
          <w:b w:val="false"/>
          <w:bCs w:val="false"/>
          <w:i w:val="false"/>
          <w:iCs w:val="false"/>
          <w:color w:val="111827"/>
          <w:sz w:val="22"/>
          <w:szCs w:val="22"/>
        </w:rPr>
        <w:t xml:space="preserve">Several aspects of this codebase are unusually well done. They are easy to miss in a status-pressure environment, but they matter for the long-term commercial trajectory. Recording them here so that they are visible in any future review.</w:t>
      </w:r>
    </w:p>
    <w:p>
      <w:pPr>
        <w:pStyle w:val="Heading2"/>
        <w:spacing w:after="160" w:before="280"/>
      </w:pPr>
      <w:r>
        <w:rPr>
          <w:rFonts w:ascii="Calibri" w:cs="Calibri" w:eastAsia="Calibri" w:hAnsi="Calibri"/>
          <w:b/>
          <w:bCs/>
          <w:color w:val="0F172A"/>
          <w:sz w:val="28"/>
          <w:szCs w:val="28"/>
        </w:rPr>
        <w:t xml:space="preserve">5.1  Zero SQL Injection Vectors</w:t>
      </w:r>
    </w:p>
    <w:p>
      <w:pPr>
        <w:spacing w:after="120"/>
        <w:jc w:val="left"/>
      </w:pPr>
      <w:r>
        <w:rPr>
          <w:rFonts w:ascii="Calibri" w:cs="Calibri" w:eastAsia="Calibri" w:hAnsi="Calibri"/>
          <w:b w:val="false"/>
          <w:bCs w:val="false"/>
          <w:i w:val="false"/>
          <w:iCs w:val="false"/>
          <w:color w:val="111827"/>
          <w:sz w:val="22"/>
          <w:szCs w:val="22"/>
        </w:rPr>
        <w:t xml:space="preserve">Across the entire 84,168-line codebase, exhaustive search for the standard injection patterns (string-interpolated SQL, concatenation with user input, FromSqlRaw with $"..." syntax) returns zero hits. The single ExecuteSqlRaw call is a hardcoded stored-procedure invocation with no user input. All database access goes through EF Core LINQ (parameter-bound) or through the connector-specific drivers (each using its dialect's identifier quoting correctly: brackets for MSSQL, backticks for MySQL/MariaDB, double-quote for PostgreSQL). The customer-authored SchemaViewDefinition SQL is the only injection-relevant attack surface, and it is gated by the SafeSqlValidator — which is exactly why §3.2 prioritises hardening that validator.</w:t>
      </w:r>
    </w:p>
    <w:p>
      <w:pPr>
        <w:pStyle w:val="Heading2"/>
        <w:spacing w:after="160" w:before="280"/>
      </w:pPr>
      <w:r>
        <w:rPr>
          <w:rFonts w:ascii="Calibri" w:cs="Calibri" w:eastAsia="Calibri" w:hAnsi="Calibri"/>
          <w:b/>
          <w:bCs/>
          <w:color w:val="0F172A"/>
          <w:sz w:val="28"/>
          <w:szCs w:val="28"/>
        </w:rPr>
        <w:t xml:space="preserve">5.2  Clean Architecture is Enforced as a Test</w:t>
      </w:r>
    </w:p>
    <w:p>
      <w:pPr>
        <w:spacing w:after="120"/>
        <w:jc w:val="left"/>
      </w:pPr>
      <w:r>
        <w:rPr>
          <w:rFonts w:ascii="Calibri" w:cs="Calibri" w:eastAsia="Calibri" w:hAnsi="Calibri"/>
          <w:b w:val="false"/>
          <w:bCs w:val="false"/>
          <w:i w:val="false"/>
          <w:iCs w:val="false"/>
          <w:color w:val="111827"/>
          <w:sz w:val="22"/>
          <w:szCs w:val="22"/>
        </w:rPr>
        <w:t xml:space="preserve">Backend/tests/PlantProcess.Domain.Tests/Architecture/DomainArchitectureTests.cs (51 lines) is an automated test that fails the build if any Domain code reaches into Application, Infrastructure, or Api. Architecture is not a convention here — it is a guardrail. In codebases that age well, this is the difference. In ones that don't, it's the missing test.</w:t>
      </w:r>
    </w:p>
    <w:p>
      <w:pPr>
        <w:pStyle w:val="Heading2"/>
        <w:spacing w:after="160" w:before="280"/>
      </w:pPr>
      <w:r>
        <w:rPr>
          <w:rFonts w:ascii="Calibri" w:cs="Calibri" w:eastAsia="Calibri" w:hAnsi="Calibri"/>
          <w:b/>
          <w:bCs/>
          <w:color w:val="0F172A"/>
          <w:sz w:val="28"/>
          <w:szCs w:val="28"/>
        </w:rPr>
        <w:t xml:space="preserve">5.3  Truth-as-Test for Connectors</w:t>
      </w:r>
    </w:p>
    <w:p>
      <w:pPr>
        <w:spacing w:after="120"/>
        <w:jc w:val="left"/>
      </w:pPr>
      <w:r>
        <w:rPr>
          <w:rFonts w:ascii="Calibri" w:cs="Calibri" w:eastAsia="Calibri" w:hAnsi="Calibri"/>
          <w:b w:val="false"/>
          <w:bCs w:val="false"/>
          <w:i w:val="false"/>
          <w:iCs w:val="false"/>
          <w:color w:val="111827"/>
          <w:sz w:val="22"/>
          <w:szCs w:val="22"/>
        </w:rPr>
        <w:t xml:space="preserve">Backend/tests/PlantProcess.Api.IntegrationTests/Connectors/ConnectorTruthContractTests.cs (148 lines) asserts that every connector flagged IsAvailableNow=true actually has a working concrete implementation registered in the factory and passes its smoke fixture. This is the test category that would have caught the original audit's Excel-falsely-available finding automatically. Generalise the pattern: every commercial claim in the product can and should be backed by a contract test, so marketing claims cannot drift from code.</w:t>
      </w:r>
    </w:p>
    <w:p>
      <w:pPr>
        <w:pStyle w:val="Heading2"/>
        <w:spacing w:after="160" w:before="280"/>
      </w:pPr>
      <w:r>
        <w:rPr>
          <w:rFonts w:ascii="Calibri" w:cs="Calibri" w:eastAsia="Calibri" w:hAnsi="Calibri"/>
          <w:b/>
          <w:bCs/>
          <w:color w:val="0F172A"/>
          <w:sz w:val="28"/>
          <w:szCs w:val="28"/>
        </w:rPr>
        <w:t xml:space="preserve">5.4  License-Tier Limits Live in Code, Not Data</w:t>
      </w:r>
    </w:p>
    <w:p>
      <w:pPr>
        <w:spacing w:after="120"/>
        <w:jc w:val="left"/>
      </w:pPr>
      <w:r>
        <w:rPr>
          <w:rFonts w:ascii="Calibri" w:cs="Calibri" w:eastAsia="Calibri" w:hAnsi="Calibri"/>
          <w:b w:val="false"/>
          <w:bCs w:val="false"/>
          <w:i w:val="false"/>
          <w:iCs w:val="false"/>
          <w:color w:val="111827"/>
          <w:sz w:val="22"/>
          <w:szCs w:val="22"/>
        </w:rPr>
        <w:t xml:space="preserve">LicenseService.GetLimits() returns a record built from a switch on the current tier. The tier itself comes from configuration, not from a database row. This is correct for an on-prem-capable SaaS product: a customer with database access cannot rewrite their tier from "Light" to "Enterprise" by changing a row. The tier is a deployment-time configuration with no in-database override.</w:t>
      </w:r>
    </w:p>
    <w:p>
      <w:pPr>
        <w:pStyle w:val="Heading2"/>
        <w:spacing w:after="160" w:before="280"/>
      </w:pPr>
      <w:r>
        <w:rPr>
          <w:rFonts w:ascii="Calibri" w:cs="Calibri" w:eastAsia="Calibri" w:hAnsi="Calibri"/>
          <w:b/>
          <w:bCs/>
          <w:color w:val="0F172A"/>
          <w:sz w:val="28"/>
          <w:szCs w:val="28"/>
        </w:rPr>
        <w:t xml:space="preserve">5.5  Background Work Follows a Uniform Pattern</w:t>
      </w:r>
    </w:p>
    <w:p>
      <w:pPr>
        <w:spacing w:after="120"/>
        <w:jc w:val="left"/>
      </w:pPr>
      <w:r>
        <w:rPr>
          <w:rFonts w:ascii="Calibri" w:cs="Calibri" w:eastAsia="Calibri" w:hAnsi="Calibri"/>
          <w:b w:val="false"/>
          <w:bCs w:val="false"/>
          <w:i w:val="false"/>
          <w:iCs w:val="false"/>
          <w:color w:val="111827"/>
          <w:sz w:val="22"/>
          <w:szCs w:val="22"/>
        </w:rPr>
        <w:t xml:space="preserve">Every Worker job (ImportQueue, DataQualityScan, RiskScoring, DeltaImport, soon AuditLog flush if implemented async) follows the same skeleton: open an IServiceScope, IJobRuntimeService.StartAsync, try/catch the work, finally CompleteAsync with status and result summary. Repetition is intentional and consistent. Adding a fifth job is a 50-line copy of the template. The audit log will slot in cleanly using the same pattern.</w:t>
      </w:r>
    </w:p>
    <w:p>
      <w:pPr>
        <w:pStyle w:val="Heading2"/>
        <w:spacing w:after="160" w:before="280"/>
      </w:pPr>
      <w:r>
        <w:rPr>
          <w:rFonts w:ascii="Calibri" w:cs="Calibri" w:eastAsia="Calibri" w:hAnsi="Calibri"/>
          <w:b/>
          <w:bCs/>
          <w:color w:val="0F172A"/>
          <w:sz w:val="28"/>
          <w:szCs w:val="28"/>
        </w:rPr>
        <w:t xml:space="preserve">5.6  Frontend Architecture is Test-Enforced</w:t>
      </w:r>
    </w:p>
    <w:p>
      <w:pPr>
        <w:spacing w:after="120"/>
        <w:jc w:val="left"/>
      </w:pPr>
      <w:r>
        <w:rPr>
          <w:rFonts w:ascii="Calibri" w:cs="Calibri" w:eastAsia="Calibri" w:hAnsi="Calibri"/>
          <w:b w:val="false"/>
          <w:bCs w:val="false"/>
          <w:i w:val="false"/>
          <w:iCs w:val="false"/>
          <w:color w:val="111827"/>
          <w:sz w:val="22"/>
          <w:szCs w:val="22"/>
        </w:rPr>
        <w:t xml:space="preserve">Frontend/PlantProcess.Web/src/test/architecture/noLegacyApiGrowth.test.ts prevents the legacy plantProcessApi.ts (1,301 lines) from getting bigger. The file is at 1,301 today; tomorrow it cannot be 1,302. This forces the strangler-fig migration forward by physics, not by discipline.</w:t>
      </w:r>
    </w:p>
    <w:p>
      <w:pPr>
        <w:pStyle w:val="Heading2"/>
        <w:spacing w:after="160" w:before="280"/>
      </w:pPr>
      <w:r>
        <w:rPr>
          <w:rFonts w:ascii="Calibri" w:cs="Calibri" w:eastAsia="Calibri" w:hAnsi="Calibri"/>
          <w:b/>
          <w:bCs/>
          <w:color w:val="0F172A"/>
          <w:sz w:val="28"/>
          <w:szCs w:val="28"/>
        </w:rPr>
        <w:t xml:space="preserve">5.7  ApplicationResult&lt;T&gt; Monad Throughout</w:t>
      </w:r>
    </w:p>
    <w:p>
      <w:pPr>
        <w:spacing w:after="120"/>
        <w:jc w:val="left"/>
      </w:pPr>
      <w:r>
        <w:rPr>
          <w:rFonts w:ascii="Calibri" w:cs="Calibri" w:eastAsia="Calibri" w:hAnsi="Calibri"/>
          <w:b w:val="false"/>
          <w:bCs w:val="false"/>
          <w:i w:val="false"/>
          <w:iCs w:val="false"/>
          <w:color w:val="111827"/>
          <w:sz w:val="22"/>
          <w:szCs w:val="22"/>
        </w:rPr>
        <w:t xml:space="preserve">Every service returns ApplicationResult or ApplicationResult&lt;T&gt;. Business validation never throws — it returns a Failure with a typed ApplicationError (Validation, NotFound, Forbidden, Conflict, Unauthorized). The API layer converts these to HTTP results uniformly through ApplicationResultHttpExtensions. This makes the response shape predictable for the frontend and removes the most common source of inconsistent error handling in .NET codebases.</w:t>
      </w:r>
    </w:p>
    <w:p>
      <w:r>
        <w:br w:type="page"/>
      </w:r>
    </w:p>
    <w:p>
      <w:pPr>
        <w:pStyle w:val="Heading1"/>
        <w:spacing w:after="200" w:before="360"/>
      </w:pPr>
      <w:r>
        <w:rPr>
          <w:rFonts w:ascii="Calibri" w:cs="Calibri" w:eastAsia="Calibri" w:hAnsi="Calibri"/>
          <w:b/>
          <w:bCs/>
          <w:color w:val="0F172A"/>
          <w:sz w:val="36"/>
          <w:szCs w:val="36"/>
        </w:rPr>
        <w:t xml:space="preserve">6.  Closing Assessment</w:t>
      </w:r>
    </w:p>
    <w:p>
      <w:pPr>
        <w:spacing w:after="120"/>
        <w:jc w:val="left"/>
      </w:pPr>
      <w:r>
        <w:rPr>
          <w:rFonts w:ascii="Calibri" w:cs="Calibri" w:eastAsia="Calibri" w:hAnsi="Calibri"/>
          <w:b w:val="false"/>
          <w:bCs w:val="false"/>
          <w:i w:val="false"/>
          <w:iCs w:val="false"/>
          <w:color w:val="111827"/>
          <w:sz w:val="22"/>
          <w:szCs w:val="22"/>
        </w:rPr>
        <w:t xml:space="preserve">The three questions this report set out to answer admit clear answers.</w:t>
      </w:r>
    </w:p>
    <w:p>
      <w:r>
        <w:t xml:space="preserve"/>
      </w:r>
    </w:p>
    <w:p>
      <w:pPr>
        <w:pStyle w:val="Heading3"/>
        <w:spacing w:after="120" w:before="220"/>
      </w:pPr>
      <w:r>
        <w:rPr>
          <w:rFonts w:ascii="Calibri" w:cs="Calibri" w:eastAsia="Calibri" w:hAnsi="Calibri"/>
          <w:b/>
          <w:bCs/>
          <w:color w:val="0891B2"/>
          <w:sz w:val="24"/>
          <w:szCs w:val="24"/>
        </w:rPr>
        <w:t xml:space="preserve">Question 1.  Are hot fixes or bug fixes required?</w:t>
      </w:r>
    </w:p>
    <w:p>
      <w:pPr>
        <w:spacing w:after="120"/>
        <w:jc w:val="left"/>
      </w:pPr>
      <w:r>
        <w:rPr>
          <w:rFonts w:ascii="Calibri" w:cs="Calibri" w:eastAsia="Calibri" w:hAnsi="Calibri"/>
          <w:b w:val="false"/>
          <w:bCs w:val="false"/>
          <w:i w:val="false"/>
          <w:iCs w:val="false"/>
          <w:color w:val="111827"/>
          <w:sz w:val="22"/>
          <w:szCs w:val="22"/>
        </w:rPr>
        <w:t xml:space="preserve">Yes — three HIGH-severity items, five MEDIUM, four LOW. None is large; the total is roughly fifteen hours of focused code work plus design and writing for the non-code items. The plan in Section 4 sequences them across two weeks. There are zero CRITICAL items, which means the product is sellable today for the Data Diagnostic offering and the path to the first Pilot Contract clears two HIGH items along the way.</w:t>
      </w:r>
    </w:p>
    <w:p>
      <w:pPr>
        <w:pStyle w:val="Heading3"/>
        <w:spacing w:after="120" w:before="220"/>
      </w:pPr>
      <w:r>
        <w:rPr>
          <w:rFonts w:ascii="Calibri" w:cs="Calibri" w:eastAsia="Calibri" w:hAnsi="Calibri"/>
          <w:b/>
          <w:bCs/>
          <w:color w:val="0891B2"/>
          <w:sz w:val="24"/>
          <w:szCs w:val="24"/>
        </w:rPr>
        <w:t xml:space="preserve">Question 2.  Has the implementation stayed faithful to the vision?</w:t>
      </w:r>
    </w:p>
    <w:p>
      <w:pPr>
        <w:spacing w:after="120"/>
        <w:jc w:val="left"/>
      </w:pPr>
      <w:r>
        <w:rPr>
          <w:rFonts w:ascii="Calibri" w:cs="Calibri" w:eastAsia="Calibri" w:hAnsi="Calibri"/>
          <w:b w:val="false"/>
          <w:bCs w:val="false"/>
          <w:i w:val="false"/>
          <w:iCs w:val="false"/>
          <w:color w:val="111827"/>
          <w:sz w:val="22"/>
          <w:szCs w:val="22"/>
        </w:rPr>
        <w:t xml:space="preserve">Yes. The architecture is faithful to the vision in every direction it has chosen to build. Two genuine vision-track gaps remain — the Widget Script Layer (Vision §2.2.2) and per-source scheduling (Vision §1.5.2) — and both are inside the next two weeks of work. Everything else is either built, correctly delayed per the GTM (ML at M16, Suggestion &amp; Recommendation page at ProPlus / future), or a known polish item. Focus has not been lost. Track has not been lost.</w:t>
      </w:r>
    </w:p>
    <w:p>
      <w:pPr>
        <w:pStyle w:val="Heading3"/>
        <w:spacing w:after="120" w:before="220"/>
      </w:pPr>
      <w:r>
        <w:rPr>
          <w:rFonts w:ascii="Calibri" w:cs="Calibri" w:eastAsia="Calibri" w:hAnsi="Calibri"/>
          <w:b/>
          <w:bCs/>
          <w:color w:val="0891B2"/>
          <w:sz w:val="24"/>
          <w:szCs w:val="24"/>
        </w:rPr>
        <w:t xml:space="preserve">Question 3.  What is the current professional status?</w:t>
      </w:r>
    </w:p>
    <w:p>
      <w:pPr>
        <w:spacing w:after="120"/>
        <w:jc w:val="left"/>
      </w:pPr>
      <w:r>
        <w:rPr>
          <w:rFonts w:ascii="Calibri" w:cs="Calibri" w:eastAsia="Calibri" w:hAnsi="Calibri"/>
          <w:b w:val="false"/>
          <w:bCs w:val="false"/>
          <w:i w:val="false"/>
          <w:iCs w:val="false"/>
          <w:color w:val="111827"/>
          <w:sz w:val="22"/>
          <w:szCs w:val="22"/>
        </w:rPr>
        <w:t xml:space="preserve">Substantially stronger than the previously authored Status Audit Report describes. Eleven of fourteen items the prior audit calls critical or missing are now resolved in code. The codebase exhibits unusual architectural discipline (zero SQL injection vectors, Clean Architecture as a test, truth-as-test contracts) and the recent work pattern (five files modified within hours of the audit dump, including three new SQL connectors and the DeltaImportJob) demonstrates exactly the right work being done. The most important single corrective action available right now is not a code change. It is the rewrite of the Status Audit Report so that the description matches the product. Until that rewrite ships, every external review of the older document will form a falsely pessimistic view of what is, in reality, a strong piece of work three to four months in.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FINAL VERDICT</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On track, on vision, and ahead of the previously authored audit.</w:t>
            </w:r>
          </w:p>
          <w:p>
            <w:pPr>
              <w:spacing w:after="80"/>
            </w:pPr>
            <w:r>
              <w:rPr>
                <w:rFonts w:ascii="Calibri" w:cs="Calibri" w:eastAsia="Calibri" w:hAnsi="Calibri"/>
                <w:color w:val="111827"/>
                <w:sz w:val="22"/>
                <w:szCs w:val="22"/>
              </w:rPr>
              <w:t xml:space="preserve">Two weeks of focused work closes every meaningful gap between today and a pilot-ready posture.</w:t>
            </w:r>
          </w:p>
          <w:p>
            <w:pPr>
              <w:spacing w:after="80"/>
            </w:pPr>
            <w:r>
              <w:rPr>
                <w:rFonts w:ascii="Calibri" w:cs="Calibri" w:eastAsia="Calibri" w:hAnsi="Calibri"/>
                <w:color w:val="111827"/>
                <w:sz w:val="22"/>
                <w:szCs w:val="22"/>
              </w:rPr>
              <w:t xml:space="preserve">The biggest risk is not in the code. It is in letting an out-of-date status document define how the product is described externally. That document should be retired and replaced with this one.</w:t>
            </w:r>
          </w:p>
        </w:tc>
      </w:tr>
    </w:tbl>
    <w:p>
      <w:r>
        <w:t xml:space="preserve"/>
      </w:r>
    </w:p>
    <w:p>
      <w:pPr>
        <w:spacing w:after="120"/>
        <w:jc w:val="center"/>
      </w:pPr>
      <w:r>
        <w:rPr>
          <w:rFonts w:ascii="Calibri" w:cs="Calibri" w:eastAsia="Calibri" w:hAnsi="Calibri"/>
          <w:b w:val="false"/>
          <w:bCs w:val="false"/>
          <w:i/>
          <w:iCs/>
          <w:color w:val="475569"/>
          <w:sz w:val="22"/>
          <w:szCs w:val="22"/>
        </w:rPr>
        <w:t xml:space="preserve">End of report — 22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75569"/>
        <w:sz w:val="16"/>
        <w:szCs w:val="16"/>
      </w:rPr>
      <w:t xml:space="preserve">Confidential — SOU Industrial Software  ·  </w:t>
    </w:r>
    <w:r>
      <w:rPr>
        <w:rFonts w:ascii="Calibri" w:cs="Calibri" w:eastAsia="Calibri" w:hAnsi="Calibri"/>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75569"/>
        <w:sz w:val="16"/>
        <w:szCs w:val="16"/>
      </w:rPr>
      <w:t xml:space="preserve">PlantProcess IQ — Strategic Code Validation &amp; Vision-Alignment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Strategic Code Validation &amp; Vision-Alignment Report</dc:title>
  <dc:creator>Independent Code Review</dc:creator>
  <dc:description>Deep audit of the PlantProcess IQ codebase against the Latest Vision and GTM V4.1</dc:description>
  <cp:lastModifiedBy>Un-named</cp:lastModifiedBy>
  <cp:revision>1</cp:revision>
  <dcterms:created xsi:type="dcterms:W3CDTF">2026-05-22T18:03:12.334Z</dcterms:created>
  <dcterms:modified xsi:type="dcterms:W3CDTF">2026-05-22T18:03:12.335Z</dcterms:modified>
</cp:coreProperties>
</file>

<file path=docProps/custom.xml><?xml version="1.0" encoding="utf-8"?>
<Properties xmlns="http://schemas.openxmlformats.org/officeDocument/2006/custom-properties" xmlns:vt="http://schemas.openxmlformats.org/officeDocument/2006/docPropsVTypes"/>
</file>