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b/>
          <w:bCs/>
          <w:color w:val="102A43"/>
          <w:sz w:val="60"/>
          <w:szCs w:val="60"/>
        </w:rPr>
        <w:t xml:space="preserve">PlantProcess IQ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0A84FF"/>
          <w:sz w:val="36"/>
          <w:szCs w:val="36"/>
        </w:rPr>
        <w:t xml:space="preserve">Implementation Validation Audit</w:t>
      </w:r>
    </w:p>
    <w:p>
      <w:pPr>
        <w:spacing w:after="0" w:before="30"/>
      </w:pPr>
      <w:r>
        <w:rPr>
          <w:rFonts w:ascii="Arial" w:cs="Arial" w:eastAsia="Arial" w:hAnsi="Arial"/>
          <w:i/>
          <w:iCs/>
          <w:color w:val="5B6B80"/>
          <w:sz w:val="24"/>
          <w:szCs w:val="24"/>
        </w:rPr>
        <w:t xml:space="preserve">Current build measured against Vision, Design &amp; Architecture Doctrine v4.0</w:t>
      </w:r>
    </w:p>
    <w:p>
      <w:pPr>
        <w:pBdr>
          <w:top w:val="single" w:color="00D4FF" w:sz="14" w:space="6"/>
        </w:pBdr>
        <w:spacing w:after="0" w:before="5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6"/>
          <w:szCs w:val="6"/>
        </w:rPr>
        <w:t xml:space="preserve"> </w:t>
      </w:r>
    </w:p>
    <w:p>
      <w:pPr>
        <w:spacing w:after="0" w:before="240"/>
      </w:pPr>
      <w:r>
        <w:rPr>
          <w:rFonts w:ascii="Arial" w:cs="Arial" w:eastAsia="Arial" w:hAnsi="Arial"/>
          <w:b/>
          <w:bCs/>
          <w:i w:val="false"/>
          <w:iCs w:val="false"/>
          <w:color w:val="102A43"/>
          <w:sz w:val="24"/>
          <w:szCs w:val="24"/>
        </w:rPr>
        <w:t xml:space="preserve">Prepared for: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4"/>
          <w:szCs w:val="24"/>
        </w:rPr>
        <w:t xml:space="preserve">Karim · SOU Industrial Software, Düsseldorf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i w:val="false"/>
          <w:iCs w:val="false"/>
          <w:color w:val="102A43"/>
          <w:sz w:val="24"/>
          <w:szCs w:val="24"/>
        </w:rPr>
        <w:t xml:space="preserve">Snapshot date: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4"/>
          <w:szCs w:val="24"/>
        </w:rPr>
        <w:t xml:space="preserve">2 June 2026 (193124 codebase export)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i w:val="false"/>
          <w:iCs w:val="false"/>
          <w:color w:val="102A43"/>
          <w:sz w:val="24"/>
          <w:szCs w:val="24"/>
        </w:rPr>
        <w:t xml:space="preserve">Scope: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4"/>
          <w:szCs w:val="24"/>
        </w:rPr>
        <w:t xml:space="preserve">1,171 files · ~300,000 lines · .NET 9 backend · React/TS frontend · PostgreSQL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i w:val="false"/>
          <w:iCs w:val="false"/>
          <w:color w:val="102A43"/>
          <w:sz w:val="24"/>
          <w:szCs w:val="24"/>
        </w:rPr>
        <w:t xml:space="preserve">Method: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4"/>
          <w:szCs w:val="24"/>
        </w:rPr>
        <w:t xml:space="preserve">Static source validation against the 10 acceptance gates and the four-track compass</w:t>
      </w:r>
    </w:p>
    <w:p>
      <w:pPr>
        <w:spacing w:after="0" w:before="900"/>
      </w:pPr>
      <w:r>
        <w:rPr>
          <w:rFonts w:ascii="Arial" w:cs="Arial" w:eastAsia="Arial" w:hAnsi="Arial"/>
          <w:color w:val="5B6B80"/>
          <w:sz w:val="18"/>
          <w:szCs w:val="18"/>
        </w:rPr>
        <w:t xml:space="preserve">CONFIDENTIAL — SOU Industrial Software</w:t>
      </w:r>
    </w:p>
    <w:p>
      <w:r>
        <w:br w:type="page"/>
      </w:r>
    </w:p>
    <w:p>
      <w:pPr>
        <w:pStyle w:val="Heading1"/>
        <w:pBdr>
          <w:bottom w:val="single" w:color="0A84FF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02A43"/>
          <w:sz w:val="30"/>
          <w:szCs w:val="30"/>
        </w:rPr>
        <w:t xml:space="preserve">Contents</w:t>
      </w:r>
    </w:p>
    <w:sdt>
      <w:sdtPr>
        <w:alias w:val="Audit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A84FF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02A43"/>
          <w:sz w:val="30"/>
          <w:szCs w:val="30"/>
        </w:rPr>
        <w:t xml:space="preserve">0 · How to read this audit</w:t>
      </w:r>
    </w:p>
    <w:p>
      <w:pPr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This document does one job: it tells you, honestly, </w:t>
      </w:r>
      <w:r>
        <w:rPr>
          <w:rFonts w:ascii="Arial" w:cs="Arial" w:eastAsia="Arial" w:hAnsi="Arial"/>
          <w:b/>
          <w:bCs/>
          <w:i w:val="false"/>
          <w:iCs w:val="false"/>
          <w:color w:val="16202E"/>
          <w:sz w:val="22"/>
          <w:szCs w:val="22"/>
        </w:rPr>
        <w:t xml:space="preserve">where the build stands against the v4 doctrine — not against a wish-list.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Every claim below was traced to actual source files in the 2 June export. The doctrine itself forbids the word "done" without proof, so this audit grades by evidence, not optimism.</w:t>
      </w:r>
    </w:p>
    <w:p>
      <w:pPr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You asked for five buckets. They are all here (§2–§6), preceded by a gate scorecard (§1) and followed by a deep-dive on the single highest-leverage finding (§7), per-gate detail (§8), and a prioritized remediation backlog in your §19 task format (§9).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A84FF"/>
          <w:sz w:val="22"/>
          <w:szCs w:val="22"/>
        </w:rPr>
        <w:t xml:space="preserve">Validation caveat (important for honesty — the product's own principle)</w:t>
      </w:r>
    </w:p>
    <w:p>
      <w:pPr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This is </w:t>
      </w:r>
      <w:r>
        <w:rPr>
          <w:rFonts w:ascii="Arial" w:cs="Arial" w:eastAsia="Arial" w:hAnsi="Arial"/>
          <w:b/>
          <w:bCs/>
          <w:i w:val="false"/>
          <w:iCs w:val="false"/>
          <w:color w:val="16202E"/>
          <w:sz w:val="22"/>
          <w:szCs w:val="22"/>
        </w:rPr>
        <w:t xml:space="preserve">static validation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: files were read, traced, and cross-checked, but the test suite was not executed, the database was not stood up, and no endpoint was called live. So "DONE" here means </w:t>
      </w:r>
      <w:r>
        <w:rPr>
          <w:rFonts w:ascii="Arial" w:cs="Arial" w:eastAsia="Arial" w:hAnsi="Arial"/>
          <w:b w:val="false"/>
          <w:bCs w:val="false"/>
          <w:i/>
          <w:iCs/>
          <w:color w:val="16202E"/>
          <w:sz w:val="22"/>
          <w:szCs w:val="22"/>
        </w:rPr>
        <w:t xml:space="preserve">the contract, code and wiring are present and faithful to the doctrine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 — it is the strongest claim a code read can support, but it is not a substitute for the green E2E + integration run your §13 quality bar ultimately requires. Where I could not confirm a behaviour by reading alone, I say so.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8"/>
          <w:szCs w:val="8"/>
        </w:rPr>
        <w:t xml:space="preserve"> </w:t>
      </w:r>
    </w:p>
    <w:p>
      <w:pPr>
        <w:pStyle w:val="Heading1"/>
        <w:pBdr>
          <w:bottom w:val="single" w:color="0A84FF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02A43"/>
          <w:sz w:val="30"/>
          <w:szCs w:val="30"/>
        </w:rPr>
        <w:t xml:space="preserve">1 · Gate scorecard</w:t>
      </w:r>
    </w:p>
    <w:p>
      <w:pPr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The ten acceptance gates from doctrine §19. The percentage is an evidence-weighted completeness estimate; the bucket follows your thresholds (&gt;90% done, 65–90% partial, &lt;65% gap). </w:t>
      </w:r>
      <w:r>
        <w:rPr>
          <w:rFonts w:ascii="Arial" w:cs="Arial" w:eastAsia="Arial" w:hAnsi="Arial"/>
          <w:b/>
          <w:bCs/>
          <w:i w:val="false"/>
          <w:iCs w:val="false"/>
          <w:color w:val="16202E"/>
          <w:sz w:val="22"/>
          <w:szCs w:val="22"/>
        </w:rPr>
        <w:t xml:space="preserve">Gates marked with a lock are doctrine "no-85%" gates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 — for these, anything below ~100% green is a hole, not partial credit.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1000"/>
        <w:gridCol w:w="1140"/>
        <w:gridCol w:w="3500"/>
      </w:tblGrid>
      <w:tr>
        <w:trPr>
          <w:tblHeader/>
        </w:trPr>
        <w:tc>
          <w:tcPr>
            <w:tcW w:type="dxa" w:w="8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2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14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Bucket</w:t>
            </w:r>
          </w:p>
        </w:tc>
        <w:tc>
          <w:tcPr>
            <w:tcW w:type="dxa" w:w="35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One-line verdict</w:t>
            </w:r>
          </w:p>
        </w:tc>
      </w:tr>
      <w:tr>
        <w:tc>
          <w:tcPr>
            <w:tcW w:type="dxa" w:w="8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G1</w:t>
            </w:r>
          </w:p>
        </w:tc>
        <w:tc>
          <w:tcPr>
            <w:tcW w:type="dxa" w:w="2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Source integration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80%</w:t>
            </w:r>
          </w:p>
        </w:tc>
        <w:tc>
          <w:tcPr>
            <w:tcW w:type="dxa" w:w="114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FFF3D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All 6 connectors are real; only CSV/Excel are demo-certified.</w:t>
            </w:r>
          </w:p>
        </w:tc>
      </w:tr>
      <w:tr>
        <w:tc>
          <w:tcPr>
            <w:tcW w:type="dxa" w:w="8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G2</w:t>
            </w:r>
          </w:p>
        </w:tc>
        <w:tc>
          <w:tcPr>
            <w:tcW w:type="dxa" w:w="2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Mapping &amp; genealogy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82%</w:t>
            </w:r>
          </w:p>
        </w:tc>
        <w:tc>
          <w:tcPr>
            <w:tcW w:type="dxa" w:w="114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FFF3D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SafeSqlValidator excellent; versioning, keys, genealogy present.</w:t>
            </w:r>
          </w:p>
        </w:tc>
      </w:tr>
      <w:tr>
        <w:tc>
          <w:tcPr>
            <w:tcW w:type="dxa" w:w="8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G3</w:t>
            </w:r>
          </w:p>
        </w:tc>
        <w:tc>
          <w:tcPr>
            <w:tcW w:type="dxa" w:w="2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Workflow (HMI-built)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75%</w:t>
            </w:r>
          </w:p>
        </w:tc>
        <w:tc>
          <w:tcPr>
            <w:tcW w:type="dxa" w:w="114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FFF3D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Builders + jobs + delta-import solid; widget script layer thin.</w:t>
            </w:r>
          </w:p>
        </w:tc>
      </w:tr>
      <w:tr>
        <w:tc>
          <w:tcPr>
            <w:tcW w:type="dxa" w:w="8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G4</w:t>
            </w:r>
          </w:p>
        </w:tc>
        <w:tc>
          <w:tcPr>
            <w:tcW w:type="dxa" w:w="2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Intelligence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70%</w:t>
            </w:r>
          </w:p>
        </w:tc>
        <w:tc>
          <w:tcPr>
            <w:tcW w:type="dxa" w:w="114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FFF3D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Simple/value/assistant/suggestions wired; advanced stats dormant.</w:t>
            </w:r>
          </w:p>
        </w:tc>
      </w:tr>
      <w:tr>
        <w:tc>
          <w:tcPr>
            <w:tcW w:type="dxa" w:w="8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G5 🔒</w:t>
            </w:r>
          </w:p>
        </w:tc>
        <w:tc>
          <w:tcPr>
            <w:tcW w:type="dxa" w:w="2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Access &amp; isolation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75%</w:t>
            </w:r>
          </w:p>
        </w:tc>
        <w:tc>
          <w:tcPr>
            <w:tcW w:type="dxa" w:w="114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FFF3D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Auth hardening excellent; multi-tenant isolation single-tenant-live.</w:t>
            </w:r>
          </w:p>
        </w:tc>
      </w:tr>
      <w:tr>
        <w:tc>
          <w:tcPr>
            <w:tcW w:type="dxa" w:w="8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G6</w:t>
            </w:r>
          </w:p>
        </w:tc>
        <w:tc>
          <w:tcPr>
            <w:tcW w:type="dxa" w:w="2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UI/UX &amp; no-dead-button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75%</w:t>
            </w:r>
          </w:p>
        </w:tc>
        <w:tc>
          <w:tcPr>
            <w:tcW w:type="dxa" w:w="114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FFF3D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Design system strong; no global RFC-7807 handler; orphaned pages.</w:t>
            </w:r>
          </w:p>
        </w:tc>
      </w:tr>
      <w:tr>
        <w:tc>
          <w:tcPr>
            <w:tcW w:type="dxa" w:w="8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G7</w:t>
            </w:r>
          </w:p>
        </w:tc>
        <w:tc>
          <w:tcPr>
            <w:tcW w:type="dxa" w:w="2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Demo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75%</w:t>
            </w:r>
          </w:p>
        </w:tc>
        <w:tc>
          <w:tcPr>
            <w:tcW w:type="dxa" w:w="114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FFF3D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Generator + 8 source shapes + lifecycle; full volume unverified.</w:t>
            </w:r>
          </w:p>
        </w:tc>
      </w:tr>
      <w:tr>
        <w:tc>
          <w:tcPr>
            <w:tcW w:type="dxa" w:w="8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G8</w:t>
            </w:r>
          </w:p>
        </w:tc>
        <w:tc>
          <w:tcPr>
            <w:tcW w:type="dxa" w:w="2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Website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65%</w:t>
            </w:r>
          </w:p>
        </w:tc>
        <w:tc>
          <w:tcPr>
            <w:tcW w:type="dxa" w:w="114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FFF3D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Brand + pricing + honesty proof; 5-product ecosystem thin.</w:t>
            </w:r>
          </w:p>
        </w:tc>
      </w:tr>
      <w:tr>
        <w:tc>
          <w:tcPr>
            <w:tcW w:type="dxa" w:w="8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G9</w:t>
            </w:r>
          </w:p>
        </w:tc>
        <w:tc>
          <w:tcPr>
            <w:tcW w:type="dxa" w:w="2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Operations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70%</w:t>
            </w:r>
          </w:p>
        </w:tc>
        <w:tc>
          <w:tcPr>
            <w:tcW w:type="dxa" w:w="114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FFF3D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Health + exposure proof excellent; backup/restore missing.</w:t>
            </w:r>
          </w:p>
        </w:tc>
      </w:tr>
      <w:tr>
        <w:tc>
          <w:tcPr>
            <w:tcW w:type="dxa" w:w="8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G10 🔒</w:t>
            </w:r>
          </w:p>
        </w:tc>
        <w:tc>
          <w:tcPr>
            <w:tcW w:type="dxa" w:w="2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Zero-defect quality bar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70%</w:t>
            </w:r>
          </w:p>
        </w:tc>
        <w:tc>
          <w:tcPr>
            <w:tcW w:type="dxa" w:w="114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FFF3D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PARTIAL</w:t>
            </w:r>
          </w:p>
        </w:tc>
        <w:tc>
          <w:tcPr>
            <w:tcW w:type="dxa" w:w="35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Many proofs real; exception net + isolation + FDR proof open.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8"/>
          <w:szCs w:val="8"/>
        </w:rPr>
        <w:t xml:space="preserve"> </w:t>
      </w:r>
    </w:p>
    <w:p>
      <w:pPr>
        <w:spacing w:after="12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102A43"/>
          <w:sz w:val="22"/>
          <w:szCs w:val="22"/>
        </w:rPr>
        <w:t xml:space="preserve">Headline: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the build is </w:t>
      </w:r>
      <w:r>
        <w:rPr>
          <w:rFonts w:ascii="Arial" w:cs="Arial" w:eastAsia="Arial" w:hAnsi="Arial"/>
          <w:b/>
          <w:bCs/>
          <w:i w:val="false"/>
          <w:iCs w:val="false"/>
          <w:color w:val="16202E"/>
          <w:sz w:val="22"/>
          <w:szCs w:val="22"/>
        </w:rPr>
        <w:t xml:space="preserve">solid and unusually principled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 — the hard, easy-to-fake parts (SQL safety, honesty enforcement, statistical correctness, security hardening) are genuinely well done. The distance to a demo-safe, gate-green state is concentrated in a </w:t>
      </w:r>
      <w:r>
        <w:rPr>
          <w:rFonts w:ascii="Arial" w:cs="Arial" w:eastAsia="Arial" w:hAnsi="Arial"/>
          <w:b/>
          <w:bCs/>
          <w:i w:val="false"/>
          <w:iCs w:val="false"/>
          <w:color w:val="16202E"/>
          <w:sz w:val="22"/>
          <w:szCs w:val="22"/>
        </w:rPr>
        <w:t xml:space="preserve">small number of high-leverage items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, most of which are integration/closure work on top of code that already exists, not green-field building.</w:t>
      </w:r>
    </w:p>
    <w:p>
      <w:r>
        <w:br w:type="page"/>
      </w:r>
    </w:p>
    <w:p>
      <w:pPr>
        <w:pStyle w:val="Heading1"/>
        <w:pBdr>
          <w:bottom w:val="single" w:color="0A84FF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02A43"/>
          <w:sz w:val="30"/>
          <w:szCs w:val="30"/>
        </w:rPr>
        <w:t xml:space="preserve">2 · Bucket 1 — Done well (&gt;90%)</w:t>
      </w:r>
    </w:p>
    <w:p>
      <w:pPr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These are complete and faithful to the doctrine by code reading. Evidence file paths are given so any reviewer can verify.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260"/>
        <w:gridCol w:w="1000"/>
      </w:tblGrid>
      <w:tr>
        <w:trPr>
          <w:tblHeader/>
        </w:trPr>
        <w:tc>
          <w:tcPr>
            <w:tcW w:type="dxa" w:w="3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2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qualifies + evidence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Doctrine</w:t>
            </w:r>
          </w:p>
        </w:tc>
      </w:tr>
      <w:tr>
        <w:tc>
          <w:tcPr>
            <w:tcW w:type="dxa" w:w="3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SafeSqlValidator</w:t>
            </w:r>
          </w:p>
        </w:tc>
        <w:tc>
          <w:tcPr>
            <w:tcW w:type="dxa" w:w="52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Comment-stripping, single-statement rule, comprehensive forbidden-token list (xp_cmdshell, dblink, pg_sleep, openrowset, waitfor, sp_executesql…), all JOIN/comma-join styles, CTE extraction, WITH RECURSIVE LIMIT enforcement, table allow-list (deny-by-default). PlantProcess.Application/Integration/Security/SafeSqlValidator.cs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§4.3, G2/G10</w:t>
            </w:r>
          </w:p>
        </w:tc>
      </w:tr>
      <w:tr>
        <w:tc>
          <w:tcPr>
            <w:tcW w:type="dxa" w:w="3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Production boot security</w:t>
            </w:r>
          </w:p>
        </w:tc>
        <w:tc>
          <w:tcPr>
            <w:tcW w:type="dxa" w:w="52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P01P02StartupGuard requires 64-char key in prod, rejects placeholder/default tokens (admin, password, ChangeMe123!…), forces bootstrap admin disabled outside Development. Closes the prior hardcoded-key/bootstrap finding. Api/Security/P01P02StartupGuard.cs, AuthOptions.cs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§13, G5</w:t>
            </w:r>
          </w:p>
        </w:tc>
      </w:tr>
      <w:tr>
        <w:tc>
          <w:tcPr>
            <w:tcW w:type="dxa" w:w="3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Password hashing &amp; tokens</w:t>
            </w:r>
          </w:p>
        </w:tc>
        <w:tc>
          <w:tcPr>
            <w:tcW w:type="dxa" w:w="52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PBKDF2 (Rfc2898) + per-user salt + iterations; JWT carries tenant_id/tenant_code; __Host- refresh cookie (Secure, SameSite=Strict). Api/Security/AuthStore.cs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G5</w:t>
            </w:r>
          </w:p>
        </w:tc>
      </w:tr>
      <w:tr>
        <w:tc>
          <w:tcPr>
            <w:tcW w:type="dxa" w:w="3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Value / Impact engine</w:t>
            </w:r>
          </w:p>
        </w:tc>
        <w:tc>
          <w:tcPr>
            <w:tcW w:type="dxa" w:w="52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Exact §7.5 EUR formula; production-stop (not raw downtime) weighting; low/mid/high RANGE; ABSTAINS on missing assumptions; provenance handle per term; ValueHonestyLint rejects "guaranteed"/"will save". WIRED. Application/Analytics/Value/*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§7.5</w:t>
            </w:r>
          </w:p>
        </w:tc>
      </w:tr>
      <w:tr>
        <w:tc>
          <w:tcPr>
            <w:tcW w:type="dxa" w:w="3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Assistant grounding</w:t>
            </w:r>
          </w:p>
        </w:tc>
        <w:tc>
          <w:tcPr>
            <w:tcW w:type="dxa" w:w="52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GroundingService blocks any sentence whose numbers aren't authorized by a claim handle; filters synthetic/seed evidence; refuses without approved evidence. ExtractiveAssistantModel composes only from retrieved chunks (no LLM arithmetic). Application/Assistant/*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§2, §7.7</w:t>
            </w:r>
          </w:p>
        </w:tc>
      </w:tr>
      <w:tr>
        <w:tc>
          <w:tcPr>
            <w:tcW w:type="dxa" w:w="3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Suggestion engine</w:t>
            </w:r>
          </w:p>
        </w:tc>
        <w:tc>
          <w:tcPr>
            <w:tcW w:type="dxa" w:w="52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Deterministic (MD5-stable IDs), evidence-required (no card without a resolvable handle), ranged impact, mandatory honesty text, impact-first ordering. Application/Analytics/Suggestions/SuggestionEngine.cs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§7.6</w:t>
            </w:r>
          </w:p>
        </w:tc>
      </w:tr>
      <w:tr>
        <w:tc>
          <w:tcPr>
            <w:tcW w:type="dxa" w:w="3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Simple-analysis contract</w:t>
            </w:r>
          </w:p>
        </w:tc>
        <w:tc>
          <w:tcPr>
            <w:tcW w:type="dxa" w:w="52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/api/analytics/simple exposes count/sum/avg/min/max/median/stddev/trend/distribution over real SQL and returns the formula in metadata (transparent math). Uses Analytics.Core primitives. Endpoints/Analytics/SimpleAnalysisEndpoints.cs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§6.1</w:t>
            </w:r>
          </w:p>
        </w:tc>
      </w:tr>
      <w:tr>
        <w:tc>
          <w:tcPr>
            <w:tcW w:type="dxa" w:w="3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KPI as first-class view</w:t>
            </w:r>
          </w:p>
        </w:tc>
        <w:tc>
          <w:tcPr>
            <w:tcW w:type="dxa" w:w="52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KpiEvaluationService reads value_expression + schema view, resolves a physical relation, evaluates tenant-scoped with typed errors. Api/Analytics/KpiEvaluationService.cs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§4.4</w:t>
            </w:r>
          </w:p>
        </w:tc>
      </w:tr>
      <w:tr>
        <w:tc>
          <w:tcPr>
            <w:tcW w:type="dxa" w:w="3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Design tokens + components</w:t>
            </w:r>
          </w:p>
        </w:tc>
        <w:tc>
          <w:tcPr>
            <w:tcW w:type="dxa" w:w="52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Exact doctrine hex in tokens.ts; Storybook-documented Standard Button/Fields/Surface/Table/Tabs + 744-line CSS. components/standard/*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§15.2, G6</w:t>
            </w:r>
          </w:p>
        </w:tc>
      </w:tr>
      <w:tr>
        <w:tc>
          <w:tcPr>
            <w:tcW w:type="dxa" w:w="3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Health / readiness</w:t>
            </w:r>
          </w:p>
        </w:tc>
        <w:tc>
          <w:tcPr>
            <w:tcW w:type="dxa" w:w="52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/health, /db-health (migration-aware, 503 on pending), /health/ready combined gate. Endpoints/Health/HealthEndpoints.cs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§16, G9</w:t>
            </w:r>
          </w:p>
        </w:tc>
      </w:tr>
      <w:tr>
        <w:tc>
          <w:tcPr>
            <w:tcW w:type="dxa" w:w="3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Connector-truth catalog</w:t>
            </w:r>
          </w:p>
        </w:tc>
        <w:tc>
          <w:tcPr>
            <w:tcW w:type="dxa" w:w="52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ConnectorProviderCatalog marks availability honestly per source type (CSV/Excel live; DB connectors "planned"). Application/Integration/Connectors/ConnectorProviderCatalog.cs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§2, G1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84FF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02A43"/>
          <w:sz w:val="30"/>
          <w:szCs w:val="30"/>
        </w:rPr>
        <w:t xml:space="preserve">3 · Bucket 2 — Partial (65–90%)</w:t>
      </w:r>
    </w:p>
    <w:p>
      <w:pPr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Real foundations exist; specific closure work remains. Each row names exactly what is missing.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4760"/>
        <w:gridCol w:w="2050"/>
      </w:tblGrid>
      <w:tr>
        <w:trPr>
          <w:tblHeader/>
        </w:trPr>
        <w:tc>
          <w:tcPr>
            <w:tcW w:type="dxa" w:w="25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exists vs. what's missing</w:t>
            </w:r>
          </w:p>
        </w:tc>
        <w:tc>
          <w:tcPr>
            <w:tcW w:type="dxa" w:w="20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to close</w:t>
            </w:r>
          </w:p>
        </w:tc>
      </w:tr>
      <w:tr>
        <w:tc>
          <w:tcPr>
            <w:tcW w:type="dxa" w:w="25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Connectors (DB types)</w:t>
            </w:r>
          </w:p>
        </w:tc>
        <w:tc>
          <w:tcPr>
            <w:tcW w:type="dxa" w:w="47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PostgreSQL/MSSQL/MySQL/Oracle are REAL (live connections, schema discovery, test queries) — not stubs. But only CSV/Excel have smoke tests, so the catalog marks the four DB types "not available now," yet the demo needs 6 live DB sources.</w:t>
            </w:r>
          </w:p>
        </w:tc>
        <w:tc>
          <w:tcPr>
            <w:tcW w:type="dxa" w:w="20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Add DB connector smoke tests; flip availability once green.</w:t>
            </w:r>
          </w:p>
        </w:tc>
      </w:tr>
      <w:tr>
        <w:tc>
          <w:tcPr>
            <w:tcW w:type="dxa" w:w="25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Genealogy &amp; mapping</w:t>
            </w:r>
          </w:p>
        </w:tc>
        <w:tc>
          <w:tcPr>
            <w:tcW w:type="dxa" w:w="47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Business-key dictionary + validator, material_aliases, mapping versions + rollback transactions, genealogy edges + cycle/orphan validators, 332-line canonical mapping engine. Bidirectional thread is SQL-based.</w:t>
            </w:r>
          </w:p>
        </w:tc>
        <w:tc>
          <w:tcPr>
            <w:tcW w:type="dxa" w:w="20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Confirm rollback returns typed error end-to-end; prove the §5.1 golden-thread walk both directions on demo data.</w:t>
            </w:r>
          </w:p>
        </w:tc>
      </w:tr>
      <w:tr>
        <w:tc>
          <w:tcPr>
            <w:tcW w:type="dxa" w:w="25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Page / widget builder</w:t>
            </w:r>
          </w:p>
        </w:tc>
        <w:tc>
          <w:tcPr>
            <w:tcW w:type="dxa" w:w="47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PageBuilder page + reducer + 423-line endpoints, widget builder wizard, dashboard grid + drag/drop, layout persistence.</w:t>
            </w:r>
          </w:p>
        </w:tc>
        <w:tc>
          <w:tcPr>
            <w:tcW w:type="dxa" w:w="20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Verify every builder action is non-dead; finish save/clone/version edge states.</w:t>
            </w:r>
          </w:p>
        </w:tc>
      </w:tr>
      <w:tr>
        <w:tc>
          <w:tcPr>
            <w:tcW w:type="dxa" w:w="25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Widget script layer</w:t>
            </w:r>
          </w:p>
        </w:tc>
        <w:tc>
          <w:tcPr>
            <w:tcW w:type="dxa" w:w="47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Real builder step + preview + templates + ProPlus license gate, plus SQL layer scripts (113/117). But a constrained key=value DSL, not the §12.1 aggregate/HAVING grammar.</w:t>
            </w:r>
          </w:p>
        </w:tc>
        <w:tc>
          <w:tcPr>
            <w:tcW w:type="dxa" w:w="20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PPIQ-WF-012/013/014: compile-to-safe-SQL + perf-estimate + richer grammar.</w:t>
            </w:r>
          </w:p>
        </w:tc>
      </w:tr>
      <w:tr>
        <w:tc>
          <w:tcPr>
            <w:tcW w:type="dxa" w:w="25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RBAC matrix</w:t>
            </w:r>
          </w:p>
        </w:tc>
        <w:tc>
          <w:tcPr>
            <w:tcW w:type="dxa" w:w="47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All 11 doctrine roles defined; global FallbackPolicy.RequireAuthenticatedUser() on all 374 endpoints; 28 explicit role checks; compatibility mapping.</w:t>
            </w:r>
          </w:p>
        </w:tc>
        <w:tc>
          <w:tcPr>
            <w:tcW w:type="dxa" w:w="20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Wire the full data-driven §10.1 permission matrix; per-role tests.</w:t>
            </w:r>
          </w:p>
        </w:tc>
      </w:tr>
      <w:tr>
        <w:tc>
          <w:tcPr>
            <w:tcW w:type="dxa" w:w="25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47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Real middleware writes one row per audited prefix via IAuditLogService; 096 audit-log immutability hardening script.</w:t>
            </w:r>
          </w:p>
        </w:tc>
        <w:tc>
          <w:tcPr>
            <w:tcW w:type="dxa" w:w="20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Add before/after state capture + tamper-evident chaining; widen coverage.</w:t>
            </w:r>
          </w:p>
        </w:tc>
      </w:tr>
      <w:tr>
        <w:tc>
          <w:tcPr>
            <w:tcW w:type="dxa" w:w="25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Jobs system</w:t>
            </w:r>
          </w:p>
        </w:tc>
        <w:tc>
          <w:tcPr>
            <w:tcW w:type="dxa" w:w="47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JobDefinition + JobRunHistory entities, status enums, orchestrator + runtime services, 1,889-line delta-import engine, per-source scheduling.</w:t>
            </w:r>
          </w:p>
        </w:tc>
        <w:tc>
          <w:tcPr>
            <w:tcW w:type="dxa" w:w="20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Confirm concurrency control + backoff visible in monitor for ML jobs.</w:t>
            </w:r>
          </w:p>
        </w:tc>
      </w:tr>
      <w:tr>
        <w:tc>
          <w:tcPr>
            <w:tcW w:type="dxa" w:w="25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Demo dataset</w:t>
            </w:r>
          </w:p>
        </w:tc>
        <w:tc>
          <w:tcPr>
            <w:tcW w:type="dxa" w:w="47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generate_phase1_golden_demo_data.py (default 630 heats), 8 source-shape SQL, genealogy spine, mapping views, 414-line demo lifecycle, anti-facade seed filtering.</w:t>
            </w:r>
          </w:p>
        </w:tc>
        <w:tc>
          <w:tcPr>
            <w:tcW w:type="dxa" w:w="20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Verify &gt;100k volume + cross-source genealogy resolution by running it.</w:t>
            </w:r>
          </w:p>
        </w:tc>
      </w:tr>
      <w:tr>
        <w:tc>
          <w:tcPr>
            <w:tcW w:type="dxa" w:w="25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Website</w:t>
            </w:r>
          </w:p>
        </w:tc>
        <w:tc>
          <w:tcPr>
            <w:tcW w:type="dxa" w:w="47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Brand system (exact tokens), connector-honesty + positioning-truth blocks, pricing/license matrix, screenshots, demo-request CTA, no forbidden claims.</w:t>
            </w:r>
          </w:p>
        </w:tc>
        <w:tc>
          <w:tcPr>
            <w:tcW w:type="dxa" w:w="20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Build the 5-product ecosystem pages (MES/QES/Yard/Energy).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84FF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02A43"/>
          <w:sz w:val="30"/>
          <w:szCs w:val="30"/>
        </w:rPr>
        <w:t xml:space="preserve">4 · Bucket 3 — Big gaps (&lt;65%) — focus here</w:t>
      </w:r>
    </w:p>
    <w:p>
      <w:pPr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These are the items where the distance to the doctrine is largest </w:t>
      </w:r>
      <w:r>
        <w:rPr>
          <w:rFonts w:ascii="Arial" w:cs="Arial" w:eastAsia="Arial" w:hAnsi="Arial"/>
          <w:b/>
          <w:bCs/>
          <w:i w:val="false"/>
          <w:iCs w:val="false"/>
          <w:color w:val="16202E"/>
          <w:sz w:val="22"/>
          <w:szCs w:val="22"/>
        </w:rPr>
        <w:t xml:space="preserve">and the risk is highest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. They are ordered by leverage.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700"/>
        <w:gridCol w:w="3650"/>
        <w:gridCol w:w="1450"/>
        <w:gridCol w:w="1000"/>
      </w:tblGrid>
      <w:tr>
        <w:trPr>
          <w:tblHeader/>
        </w:trPr>
        <w:tc>
          <w:tcPr>
            <w:tcW w:type="dxa" w:w="5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36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Reality vs. doctrine</w:t>
            </w:r>
          </w:p>
        </w:tc>
        <w:tc>
          <w:tcPr>
            <w:tcW w:type="dxa" w:w="14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5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Advanced-analysis live wiring</w:t>
            </w:r>
          </w:p>
        </w:tc>
        <w:tc>
          <w:tcPr>
            <w:tcW w:type="dxa" w:w="36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The live correlation endpoint runs a PostgreSQL function that self-describes as a "Pearson baseline facade … Spearman/Cramer/MI belongs to T216." The rigorous statistics (MI, Cramér's V, Lasso, VIF, BH-FDR, bootstrap, stratification) exist and are unit-tested in Analytics.Core but are referenced ONLY from tests — dormant. See §7.</w:t>
            </w:r>
          </w:p>
        </w:tc>
        <w:tc>
          <w:tcPr>
            <w:tcW w:type="dxa" w:w="14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G4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C8324F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5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Multi-tenant isolation</w:t>
            </w:r>
          </w:p>
        </w:tc>
        <w:tc>
          <w:tcPr>
            <w:tcW w:type="dxa" w:w="36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Schema is tenant-aware and JWT carries tenant claims, but only one tenant exists, the default GUID is hardcoded in ~28 places, there is no ITenantAccessor, and no two-tenant 403 proof. Doctrine calls isolation "absolute."</w:t>
            </w:r>
          </w:p>
        </w:tc>
        <w:tc>
          <w:tcPr>
            <w:tcW w:type="dxa" w:w="14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G5 🔒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C8324F"/>
                <w:sz w:val="19"/>
                <w:szCs w:val="19"/>
              </w:rPr>
              <w:t xml:space="preserve">55%</w:t>
            </w:r>
          </w:p>
        </w:tc>
      </w:tr>
      <w:tr>
        <w:tc>
          <w:tcPr>
            <w:tcW w:type="dxa" w:w="5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Global error safety net</w:t>
            </w:r>
          </w:p>
        </w:tc>
        <w:tc>
          <w:tcPr>
            <w:tcW w:type="dxa" w:w="36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No global exception handler and no AddProblemDetails. Errors are ad-hoc (94 BadRequest, 142 NotFound, only 4 Results.Problem). An unhandled exception in any of 374 endpoints can surface a raw 500 (stack trace in dev) — directly against §13 "customer-safe error."</w:t>
            </w:r>
          </w:p>
        </w:tc>
        <w:tc>
          <w:tcPr>
            <w:tcW w:type="dxa" w:w="14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G6/G10 🔒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C8324F"/>
                <w:sz w:val="19"/>
                <w:szCs w:val="19"/>
              </w:rPr>
              <w:t xml:space="preserve">45%</w:t>
            </w:r>
          </w:p>
        </w:tc>
      </w:tr>
      <w:tr>
        <w:tc>
          <w:tcPr>
            <w:tcW w:type="dxa" w:w="5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Backup / restore</w:t>
            </w:r>
          </w:p>
        </w:tc>
        <w:tc>
          <w:tcPr>
            <w:tcW w:type="dxa" w:w="36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Health, exposure proof, password rotation exist, but no backup or tested-restore automation. §16/G9 require daily backup with a tested restore for demo and pilot.</w:t>
            </w:r>
          </w:p>
        </w:tc>
        <w:tc>
          <w:tcPr>
            <w:tcW w:type="dxa" w:w="14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G9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C8324F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5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Website 5-product ecosystem</w:t>
            </w:r>
          </w:p>
        </w:tc>
        <w:tc>
          <w:tcPr>
            <w:tcW w:type="dxa" w:w="36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Strong single proof-site for PlantProcess IQ, but the MES/QES/Yard/Energy product pages the doctrine §15.5 specifies are thin or absent.</w:t>
            </w:r>
          </w:p>
        </w:tc>
        <w:tc>
          <w:tcPr>
            <w:tcW w:type="dxa" w:w="14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G8</w:t>
            </w:r>
          </w:p>
        </w:tc>
        <w:tc>
          <w:tcPr>
            <w:tcW w:type="dxa" w:w="1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C8324F"/>
                <w:sz w:val="19"/>
                <w:szCs w:val="19"/>
              </w:rPr>
              <w:t xml:space="preserve">50%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84FF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02A43"/>
          <w:sz w:val="30"/>
          <w:szCs w:val="30"/>
        </w:rPr>
        <w:t xml:space="preserve">5 · Bucket 4 — Brilliant / over expectation</w:t>
      </w:r>
    </w:p>
    <w:p>
      <w:pPr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Work that exceeds what the doctrine strictly required, or is done to a notably high standard.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Strength</w:t>
            </w:r>
          </w:p>
        </w:tc>
        <w:tc>
          <w:tcPr>
            <w:tcW w:type="dxa" w:w="63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stands out</w:t>
            </w:r>
          </w:p>
        </w:tc>
      </w:tr>
      <w:tr>
        <w:tc>
          <w:tcPr>
            <w:tcW w:type="dxa" w:w="3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The Analytics.Core statistics library</w:t>
            </w:r>
          </w:p>
        </w:tc>
        <w:tc>
          <w:tcPr>
            <w:tcW w:type="dxa" w:w="63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Genuinely textbook-correct and complete: entropy-normalized Mutual Information, chi-square Cramér's V, coordinate-descent Lasso, VarianceInflation (VIF), MethodSelector, and a StatisticalDiscipline module with real Benjamini-Hochberg FDR, stratification-survival, and deterministic-seed bootstrap (percentile CI + sign-consistency). ReadinessGate thresholds match §7.3 to the number (heats 60/30, events 40/15, minority 10%/3%, completeness 95%/85%). Fully unit-tested. This is the strongest single piece of engineering in the codebase — see §7 for the one caveat.</w:t>
            </w:r>
          </w:p>
        </w:tc>
      </w:tr>
      <w:tr>
        <w:tc>
          <w:tcPr>
            <w:tcW w:type="dxa" w:w="3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Honesty enforced in code (not asserted)</w:t>
            </w:r>
          </w:p>
        </w:tc>
        <w:tc>
          <w:tcPr>
            <w:tcW w:type="dxa" w:w="63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The honesty contract is mechanical: the assistant's no-fabrication guard rejects uncited numbers before display; ValueHonestyLint blocks forbidden phrasing; suggestion/value engines refuse evidence-less output; seed rows (origin = seed) are filtered from live computation; the connector catalog refuses to claim availability it can't prove. This is exactly the doctrine's "honesty is the product" principle, realized.</w:t>
            </w:r>
          </w:p>
        </w:tc>
      </w:tr>
      <w:tr>
        <w:tc>
          <w:tcPr>
            <w:tcW w:type="dxa" w:w="3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verify-server-exposure.sh</w:t>
            </w:r>
          </w:p>
        </w:tc>
        <w:tc>
          <w:tcPr>
            <w:tcW w:type="dxa" w:w="63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 real nmap-based proof that scans 22/80/443/9090/5432/6379/3000/3001/5063/5341/16686 and FAILS the run if PostgreSQL, Redis, Grafana, or the direct API are publicly open. Operationalizes §16 security far beyond a checklist.</w:t>
            </w:r>
          </w:p>
        </w:tc>
      </w:tr>
      <w:tr>
        <w:tc>
          <w:tcPr>
            <w:tcW w:type="dxa" w:w="3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Production startup guard</w:t>
            </w:r>
          </w:p>
        </w:tc>
        <w:tc>
          <w:tcPr>
            <w:tcW w:type="dxa" w:w="63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Fail-fast on weak/placeholder secrets with a clear, actionable error, plus forced bootstrap-admin disablement outside Development. The right way to make "production boot safety" real.</w:t>
            </w:r>
          </w:p>
        </w:tc>
      </w:tr>
      <w:tr>
        <w:tc>
          <w:tcPr>
            <w:tcW w:type="dxa" w:w="3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Migration-aware DB health</w:t>
            </w:r>
          </w:p>
        </w:tc>
        <w:tc>
          <w:tcPr>
            <w:tcW w:type="dxa" w:w="63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/db-health reports pending migrations and returns 503 with the exact remediation command — operationally thoughtful.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84FF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02A43"/>
          <w:sz w:val="30"/>
          <w:szCs w:val="30"/>
        </w:rPr>
        <w:t xml:space="preserve">6 · Bucket 5 — Done poorly / needs refactor</w:t>
      </w:r>
    </w:p>
    <w:p>
      <w:pPr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Not necessarily broken, but carrying risk, debt, or wasted value. Fix posture, not just function.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760"/>
        <w:gridCol w:w="1600"/>
      </w:tblGrid>
      <w:tr>
        <w:trPr>
          <w:tblHeader/>
        </w:trPr>
        <w:tc>
          <w:tcPr>
            <w:tcW w:type="dxa" w:w="3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47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+ evidence</w:t>
            </w:r>
          </w:p>
        </w:tc>
        <w:tc>
          <w:tcPr>
            <w:tcW w:type="dxa" w:w="16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No global exception handling</w:t>
            </w:r>
          </w:p>
        </w:tc>
        <w:tc>
          <w:tcPr>
            <w:tcW w:type="dxa" w:w="47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Ad-hoc error returns; no RFC-7807 envelope; no catch-all. Any of 374 endpoints can leak a raw 500. (Program.cs has CORS/rate-limit/HTTPS but no AddProblemDetails/UseExceptionHandler.)</w:t>
            </w:r>
          </w:p>
        </w:tc>
        <w:tc>
          <w:tcPr>
            <w:tcW w:type="dxa" w:w="16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Add AddProblemDetails + UseExceptionHandler / IExceptionHandler.</w:t>
            </w:r>
          </w:p>
        </w:tc>
      </w:tr>
      <w:tr>
        <w:tc>
          <w:tcPr>
            <w:tcW w:type="dxa" w:w="3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Brilliant statistics left dormant</w:t>
            </w:r>
          </w:p>
        </w:tc>
        <w:tc>
          <w:tcPr>
            <w:tcW w:type="dxa" w:w="47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Analytics.Core (MI/Cramér's V/Lasso/VIF/FDR/bootstrap/ReadinessGate) is referenced only from the test project — never from a live endpoint. The hard work delivers no product value until wired. The live path is the SQL Pearson facade.</w:t>
            </w:r>
          </w:p>
        </w:tc>
        <w:tc>
          <w:tcPr>
            <w:tcW w:type="dxa" w:w="16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Wire library into the live compute path (see §7 + §9 item 1).</w:t>
            </w:r>
          </w:p>
        </w:tc>
      </w:tr>
      <w:tr>
        <w:tc>
          <w:tcPr>
            <w:tcW w:type="dxa" w:w="3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Duplicate / orphaned pages</w:t>
            </w:r>
          </w:p>
        </w:tc>
        <w:tc>
          <w:tcPr>
            <w:tcW w:type="dxa" w:w="47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6 page pairs exist in both nested and flat paths (AdminPage, CorrelationPage, DashboardPage, DataQualityPage, MaterialInvestigationPage, RiskDashboardPage). Most flat copies are dead code; DashboardPage is imported from two paths.</w:t>
            </w:r>
          </w:p>
        </w:tc>
        <w:tc>
          <w:tcPr>
            <w:tcW w:type="dxa" w:w="16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Delete orphans; single canonical path per page; lint to prevent recurrence.</w:t>
            </w:r>
          </w:p>
        </w:tc>
      </w:tr>
      <w:tr>
        <w:tc>
          <w:tcPr>
            <w:tcW w:type="dxa" w:w="3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Read-only is a flag, not a guard</w:t>
            </w:r>
          </w:p>
        </w:tc>
        <w:tc>
          <w:tcPr>
            <w:tcW w:type="dxa" w:w="47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Connectors record readOnlyEnforced as metadata but do not set a session-level read-only mode (no default_transaction_read_only / ApplicationIntent=ReadOnly). SafeSqlValidator covers authored SQL, but the connection itself isn't hardened.</w:t>
            </w:r>
          </w:p>
        </w:tc>
        <w:tc>
          <w:tcPr>
            <w:tcW w:type="dxa" w:w="16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Set session read-only on connect for all DB connectors.</w:t>
            </w:r>
          </w:p>
        </w:tc>
      </w:tr>
      <w:tr>
        <w:tc>
          <w:tcPr>
            <w:tcW w:type="dxa" w:w="30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"Facade" naming risk</w:t>
            </w:r>
          </w:p>
        </w:tc>
        <w:tc>
          <w:tcPr>
            <w:tcW w:type="dxa" w:w="47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ppiq_ml_compute_correlations_v6 is labelled "type-aware" but computes Pearson. If a demo surfaces it as Spearman/MI with q-values/stability that aren't truly computed, that violates the anti-facade rule it otherwise honours.</w:t>
            </w:r>
          </w:p>
        </w:tc>
        <w:tc>
          <w:tcPr>
            <w:tcW w:type="dxa" w:w="16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Either wire real methods or label outputs as Pearson until then.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84FF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02A43"/>
          <w:sz w:val="30"/>
          <w:szCs w:val="30"/>
        </w:rPr>
        <w:t xml:space="preserve">7 · The #1 finding — the brilliant engine is not plugged in</w:t>
      </w:r>
    </w:p>
    <w:p>
      <w:pPr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This deserves its own section because it is simultaneously your </w:t>
      </w:r>
      <w:r>
        <w:rPr>
          <w:rFonts w:ascii="Arial" w:cs="Arial" w:eastAsia="Arial" w:hAnsi="Arial"/>
          <w:b/>
          <w:bCs/>
          <w:i w:val="false"/>
          <w:iCs w:val="false"/>
          <w:color w:val="16202E"/>
          <w:sz w:val="22"/>
          <w:szCs w:val="22"/>
        </w:rPr>
        <w:t xml:space="preserve">best work and your biggest single gap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, and resolving it moves G4 and two North-Star sensations at once.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A84FF"/>
          <w:sz w:val="22"/>
          <w:szCs w:val="22"/>
        </w:rPr>
        <w:t xml:space="preserve">What is true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6202E"/>
          <w:sz w:val="22"/>
          <w:szCs w:val="22"/>
        </w:rPr>
        <w:t xml:space="preserve">The statistics are real and correct.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Analytics.Core implements normalized MI, Cramér's V, Lasso, VIF, a MethodSelector, Benjamini-Hochberg FDR, stratification-survival, and deterministic bootstrap stability. The ReadinessGate matches §7.3 thresholds exactly. All are unit-tested (213 backend facts).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6202E"/>
          <w:sz w:val="22"/>
          <w:szCs w:val="22"/>
        </w:rPr>
        <w:t xml:space="preserve">The simple tier IS wired.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SimpleAnalysisEndpoints calls Analytics.Core primitives over real SQL — so the §6.1 transparent-math contract is live.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  <w:i w:val="false"/>
          <w:iCs w:val="false"/>
          <w:color w:val="16202E"/>
          <w:sz w:val="22"/>
          <w:szCs w:val="22"/>
        </w:rPr>
        <w:t xml:space="preserve">The advanced tier is NOT wired.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The correlation endpoint calls the PostgreSQL function ppiq_ml_compute_correlations_v6, which states in its own message: "Pearson baseline now; Spearman/Cramer/MI expansion belongs to T216 rigorous statistics." The rich C# methods are referenced only from tests.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A84FF"/>
          <w:sz w:val="22"/>
          <w:szCs w:val="22"/>
        </w:rPr>
        <w:t xml:space="preserve">Why it matters</w:t>
      </w:r>
    </w:p>
    <w:p>
      <w:pPr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The §7.4 worked example — the demo's signature "it told me something I didn't know, and proved it" moment — shows </w:t>
      </w:r>
      <w:r>
        <w:rPr>
          <w:rFonts w:ascii="Arial" w:cs="Arial" w:eastAsia="Arial" w:hAnsi="Arial"/>
          <w:b w:val="false"/>
          <w:bCs w:val="false"/>
          <w:i/>
          <w:iCs/>
          <w:color w:val="16202E"/>
          <w:sz w:val="22"/>
          <w:szCs w:val="22"/>
        </w:rPr>
        <w:t xml:space="preserve">Spearman r_s = 0.41, q = 0.004, stability 86%; MI = 0.23, q = 0.011; excluded casting speed (VIF 7.8)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. The live engine currently produces none of that: it produces Pearson coefficients with placeholder q-value columns and no bootstrap/VIF/stratification. Surfacing those numbers as if computed would breach the very anti-facade rule the rest of the system upholds.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A84FF"/>
          <w:sz w:val="22"/>
          <w:szCs w:val="22"/>
        </w:rPr>
        <w:t xml:space="preserve">The good news</w:t>
      </w:r>
    </w:p>
    <w:p>
      <w:pPr>
        <w:spacing w:after="12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16202E"/>
          <w:sz w:val="22"/>
          <w:szCs w:val="22"/>
        </w:rPr>
        <w:t xml:space="preserve">The expensive part is finished.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This is wiring, not research. Two viable paths: (a) call the Analytics.Core methods from a .NET compute service that pulls feature/outcome vectors and writes results + q/stability/VIF back, replacing the SQL facade as the live path; or (b) port the same methods into the SQL function. Path (a) reuses the already-tested code directly and is the lower-risk move. Either way, surface method, n, q-value, stability and exclusions in the API and HMI so the advanced result matches §7.4.</w:t>
      </w:r>
    </w:p>
    <w:p>
      <w:r>
        <w:br w:type="page"/>
      </w:r>
    </w:p>
    <w:p>
      <w:pPr>
        <w:pStyle w:val="Heading1"/>
        <w:pBdr>
          <w:bottom w:val="single" w:color="0A84FF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02A43"/>
          <w:sz w:val="30"/>
          <w:szCs w:val="30"/>
        </w:rPr>
        <w:t xml:space="preserve">8 · Per-gate detail &amp; evidence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A84FF"/>
          <w:sz w:val="22"/>
          <w:szCs w:val="22"/>
        </w:rPr>
        <w:t xml:space="preserve">G1 · Source integration — 80% (Partial)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Six connectors implemented for real: PostgreSqlConnector, MsSqlConnector, MySqlDataConnector, OracleConnector, CsvConnector, ExcelConnector — each with TestConnection, schema discovery, and read (Infrastructure/Connectors/*).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ConnectorProviderCatalog gives honest per-type availability; DataSourceConnectorFactory dispatches by provider.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Open: only CSV/Excel are smoke-tested, so DB types are flagged unavailable while the demo needs 6 live DB sources; read-only is metadata not session-level.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A84FF"/>
          <w:sz w:val="22"/>
          <w:szCs w:val="22"/>
        </w:rPr>
        <w:t xml:space="preserve">G2 · Mapping &amp; genealogy — 82% (Partial)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SafeSqlValidator (424 lines) is the standout — see §2. Business-key dictionary (ppiq_business_key_definitions) + validator; material_aliases hold normalized members.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Mapping versioning via ppiq_mapping_versions; rollback through DB transactions; canonical mapping engine 120_phase02 (332 lines).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Genealogy edges + cycle-prevention on create + ppiq_validate_genealogy_graph(). Open: confirm typed-error rollback and the bidirectional golden-thread walk on demo data.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A84FF"/>
          <w:sz w:val="22"/>
          <w:szCs w:val="22"/>
        </w:rPr>
        <w:t xml:space="preserve">G3 · Workflow (HMI-built) — 75% (Partial)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Page builder (reducer + 423-line endpoints), widget builder wizard, dashboard grid + drag/drop + layout persistence.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Jobs backbone: definitions, run history, orchestrator, runtime, status enums; 1,889-line two-stage delta-import engine.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Open: widget script layer is a constrained DSL (not §12.1 grammar); confirm no dead builder actions.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A84FF"/>
          <w:sz w:val="22"/>
          <w:szCs w:val="22"/>
        </w:rPr>
        <w:t xml:space="preserve">G4 · Intelligence — 70% (Partial; bimodal)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WIRED + faithful: simple analysis (§6.1), KPI views (§4.4), Value engine (§7.5), Assistant grounding (§2/§7.7), Suggestion engine (§7.6), risk scoring + calibration.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NOT wired: the advanced statistical discipline (§7.3/§7.4) — Analytics.Core is dormant; live path is the SQL Pearson facade. See §7.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This single wiring item is the difference between 70% and ~90% for G4.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A84FF"/>
          <w:sz w:val="22"/>
          <w:szCs w:val="22"/>
        </w:rPr>
        <w:t xml:space="preserve">G5 · Access &amp; isolation — 75% (Partial; 🔒 gate)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Auth hardening is excellent (PBKDF2, JWT+tenant claims, __Host- cookies, startup guard). 11 roles; global auth fallback on all endpoints; 28 role checks.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Audit middleware + immutability hardening (096).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Open (gate-critical): multi-tenant isolation is single-tenant-live with a hardcoded default GUID and no two-tenant 403 proof; full §10.1 matrix and before/after audit are partial.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A84FF"/>
          <w:sz w:val="22"/>
          <w:szCs w:val="22"/>
        </w:rPr>
        <w:t xml:space="preserve">G6 · UI/UX &amp; no-dead-button — 75% (Partial)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Design tokens (exact hex) + Storybook standard component library; DataFetchBoundary/ErrorBoundary; the banned "could not be loaded" phrase now lives only in tests/scanners (runtime says "Failed to load …").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Playwright matrix present (557 frontend assertions).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Open (gate-critical): no global RFC-7807 exception handler; 6 duplicate/orphaned page files; complete action-matrix enumeration.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A84FF"/>
          <w:sz w:val="22"/>
          <w:szCs w:val="22"/>
        </w:rPr>
        <w:t xml:space="preserve">G7 · Demo — 75% (Partial)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generate_phase1_golden_demo_data.py (default 630 heats) + synthetic generators; 8 source-shape SQL; genealogy spine; mapping views; 414-line demo lifecycle; anti-facade seed filtering.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/health/ready doubles as a one-click readiness check.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Open: confirm &gt;100k volume + cross-source genealogy resolution by executing the generator.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A84FF"/>
          <w:sz w:val="22"/>
          <w:szCs w:val="22"/>
        </w:rPr>
        <w:t xml:space="preserve">G8 · Website — 65% (Partial)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Brand system (exact tokens), ConnectorHonestyBlock, PositioningTruthBlock, PricingLicenseMatrix, ProductScreenshotShowcase, RequestDemoForm; honesty respected (no forbidden claims).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Open: the 5-product ecosystem pages (MES/QES/Yard/Energy) per §15.5 are thin or absent.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A84FF"/>
          <w:sz w:val="22"/>
          <w:szCs w:val="22"/>
        </w:rPr>
        <w:t xml:space="preserve">G9 · Operations — 70% (Partial)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Health/readiness strong; docker-compose binds PostgreSQL to 127.0.0.1 only (the exposed-port concern is closed); verify-server-exposure.sh nmap proof; Caddyfile; .env separation; password rotation; Jenkins CI scaffold.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Open: backup/restore automation is missing; parity check + incident runbook are partial.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A84FF"/>
          <w:sz w:val="22"/>
          <w:szCs w:val="22"/>
        </w:rPr>
        <w:t xml:space="preserve">G10 · Zero-defect quality bar — 70% (Partial; 🔒 gate)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Real proofs exist: SafeSql tests, connector-truth tests, auth-matrix E2E, forbidden-phrase scanner, value honesty lint.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Open (gate-critical): global exception net; cross-tenant leakage proof; FDR recovery on a golden dataset (blocked while the live path is Pearson); full action-matrix enumeration.</w:t>
      </w:r>
    </w:p>
    <w:p>
      <w:r>
        <w:br w:type="page"/>
      </w:r>
    </w:p>
    <w:p>
      <w:pPr>
        <w:pStyle w:val="Heading1"/>
        <w:pBdr>
          <w:bottom w:val="single" w:color="0A84FF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02A43"/>
          <w:sz w:val="30"/>
          <w:szCs w:val="30"/>
        </w:rPr>
        <w:t xml:space="preserve">9 · Prioritized remediation backlog</w:t>
      </w:r>
    </w:p>
    <w:p>
      <w:pPr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Ranked by leverage toward a demo-safe, gate-green state. Hours are rough engineering estimates. </w:t>
      </w:r>
      <w:r>
        <w:rPr>
          <w:rFonts w:ascii="Arial" w:cs="Arial" w:eastAsia="Arial" w:hAnsi="Arial"/>
          <w:b w:val="false"/>
          <w:bCs w:val="false"/>
          <w:i/>
          <w:iCs/>
          <w:color w:val="16202E"/>
          <w:sz w:val="22"/>
          <w:szCs w:val="22"/>
        </w:rPr>
        <w:t xml:space="preserve">Minimum-completion thresholds follow your §19 rule: gate items require ~100%, everything else ~85%.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650"/>
        <w:gridCol w:w="900"/>
        <w:gridCol w:w="1190"/>
        <w:gridCol w:w="1100"/>
        <w:gridCol w:w="1900"/>
      </w:tblGrid>
      <w:tr>
        <w:trPr>
          <w:tblHeader/>
        </w:trPr>
        <w:tc>
          <w:tcPr>
            <w:tcW w:type="dxa" w:w="6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36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119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%</w:t>
            </w:r>
          </w:p>
        </w:tc>
        <w:tc>
          <w:tcPr>
            <w:tcW w:type="dxa" w:w="1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effort</w:t>
            </w:r>
          </w:p>
        </w:tc>
      </w:tr>
      <w:tr>
        <w:tc>
          <w:tcPr>
            <w:tcW w:type="dxa" w:w="6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1</w:t>
            </w:r>
          </w:p>
        </w:tc>
        <w:tc>
          <w:tcPr>
            <w:tcW w:type="dxa" w:w="36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Wire Analytics.Core into the live advanced-analysis path; surface method/n/q/stability/VIF</w:t>
            </w:r>
          </w:p>
        </w:tc>
        <w:tc>
          <w:tcPr>
            <w:tcW w:type="dxa" w:w="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G4</w:t>
            </w:r>
          </w:p>
        </w:tc>
        <w:tc>
          <w:tcPr>
            <w:tcW w:type="dxa" w:w="119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C8324F"/>
                <w:sz w:val="19"/>
                <w:szCs w:val="19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95%</w:t>
            </w:r>
          </w:p>
        </w:tc>
        <w:tc>
          <w:tcPr>
            <w:tcW w:type="dxa" w:w="1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3–5 days</w:t>
            </w:r>
          </w:p>
        </w:tc>
      </w:tr>
      <w:tr>
        <w:tc>
          <w:tcPr>
            <w:tcW w:type="dxa" w:w="6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2</w:t>
            </w:r>
          </w:p>
        </w:tc>
        <w:tc>
          <w:tcPr>
            <w:tcW w:type="dxa" w:w="36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Add global RFC-7807 exception handler (AddProblemDetails + UseExceptionHandler)</w:t>
            </w:r>
          </w:p>
        </w:tc>
        <w:tc>
          <w:tcPr>
            <w:tcW w:type="dxa" w:w="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G6/G10</w:t>
            </w:r>
          </w:p>
        </w:tc>
        <w:tc>
          <w:tcPr>
            <w:tcW w:type="dxa" w:w="119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C8324F"/>
                <w:sz w:val="19"/>
                <w:szCs w:val="19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6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3</w:t>
            </w:r>
          </w:p>
        </w:tc>
        <w:tc>
          <w:tcPr>
            <w:tcW w:type="dxa" w:w="36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Enforce + prove multi-tenant isolation (ITenantAccessor; two-tenant 403 test)</w:t>
            </w:r>
          </w:p>
        </w:tc>
        <w:tc>
          <w:tcPr>
            <w:tcW w:type="dxa" w:w="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G5</w:t>
            </w:r>
          </w:p>
        </w:tc>
        <w:tc>
          <w:tcPr>
            <w:tcW w:type="dxa" w:w="119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C8324F"/>
                <w:sz w:val="19"/>
                <w:szCs w:val="19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3–4 days</w:t>
            </w:r>
          </w:p>
        </w:tc>
      </w:tr>
      <w:tr>
        <w:tc>
          <w:tcPr>
            <w:tcW w:type="dxa" w:w="6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4</w:t>
            </w:r>
          </w:p>
        </w:tc>
        <w:tc>
          <w:tcPr>
            <w:tcW w:type="dxa" w:w="36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Demo-certify DB connectors (smoke tests) and flip availability</w:t>
            </w:r>
          </w:p>
        </w:tc>
        <w:tc>
          <w:tcPr>
            <w:tcW w:type="dxa" w:w="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G1/G7</w:t>
            </w:r>
          </w:p>
        </w:tc>
        <w:tc>
          <w:tcPr>
            <w:tcW w:type="dxa" w:w="119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95%</w:t>
            </w:r>
          </w:p>
        </w:tc>
        <w:tc>
          <w:tcPr>
            <w:tcW w:type="dxa" w:w="1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2–3 days</w:t>
            </w:r>
          </w:p>
        </w:tc>
      </w:tr>
      <w:tr>
        <w:tc>
          <w:tcPr>
            <w:tcW w:type="dxa" w:w="6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5</w:t>
            </w:r>
          </w:p>
        </w:tc>
        <w:tc>
          <w:tcPr>
            <w:tcW w:type="dxa" w:w="36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Remove duplicate/orphaned page files; one canonical path per page + lint</w:t>
            </w:r>
          </w:p>
        </w:tc>
        <w:tc>
          <w:tcPr>
            <w:tcW w:type="dxa" w:w="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G6</w:t>
            </w:r>
          </w:p>
        </w:tc>
        <w:tc>
          <w:tcPr>
            <w:tcW w:type="dxa" w:w="119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85%</w:t>
            </w:r>
          </w:p>
        </w:tc>
        <w:tc>
          <w:tcPr>
            <w:tcW w:type="dxa" w:w="1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0.5 day</w:t>
            </w:r>
          </w:p>
        </w:tc>
      </w:tr>
      <w:tr>
        <w:tc>
          <w:tcPr>
            <w:tcW w:type="dxa" w:w="6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6</w:t>
            </w:r>
          </w:p>
        </w:tc>
        <w:tc>
          <w:tcPr>
            <w:tcW w:type="dxa" w:w="36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Set session read-only on all DB connector connections</w:t>
            </w:r>
          </w:p>
        </w:tc>
        <w:tc>
          <w:tcPr>
            <w:tcW w:type="dxa" w:w="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G1</w:t>
            </w:r>
          </w:p>
        </w:tc>
        <w:tc>
          <w:tcPr>
            <w:tcW w:type="dxa" w:w="119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0.5 day</w:t>
            </w:r>
          </w:p>
        </w:tc>
      </w:tr>
      <w:tr>
        <w:tc>
          <w:tcPr>
            <w:tcW w:type="dxa" w:w="6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7</w:t>
            </w:r>
          </w:p>
        </w:tc>
        <w:tc>
          <w:tcPr>
            <w:tcW w:type="dxa" w:w="36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Backup + tested-restore automation for demo/pilot</w:t>
            </w:r>
          </w:p>
        </w:tc>
        <w:tc>
          <w:tcPr>
            <w:tcW w:type="dxa" w:w="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G9</w:t>
            </w:r>
          </w:p>
        </w:tc>
        <w:tc>
          <w:tcPr>
            <w:tcW w:type="dxa" w:w="119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85%</w:t>
            </w:r>
          </w:p>
        </w:tc>
        <w:tc>
          <w:tcPr>
            <w:tcW w:type="dxa" w:w="1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1–2 days</w:t>
            </w:r>
          </w:p>
        </w:tc>
      </w:tr>
      <w:tr>
        <w:tc>
          <w:tcPr>
            <w:tcW w:type="dxa" w:w="6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8</w:t>
            </w:r>
          </w:p>
        </w:tc>
        <w:tc>
          <w:tcPr>
            <w:tcW w:type="dxa" w:w="36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Finish widget script layer (PPIQ-WF-012/013/014): compile-to-safe-SQL + perf estimate</w:t>
            </w:r>
          </w:p>
        </w:tc>
        <w:tc>
          <w:tcPr>
            <w:tcW w:type="dxa" w:w="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G3</w:t>
            </w:r>
          </w:p>
        </w:tc>
        <w:tc>
          <w:tcPr>
            <w:tcW w:type="dxa" w:w="119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85%</w:t>
            </w:r>
          </w:p>
        </w:tc>
        <w:tc>
          <w:tcPr>
            <w:tcW w:type="dxa" w:w="1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3–4 days</w:t>
            </w:r>
          </w:p>
        </w:tc>
      </w:tr>
      <w:tr>
        <w:tc>
          <w:tcPr>
            <w:tcW w:type="dxa" w:w="6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9</w:t>
            </w:r>
          </w:p>
        </w:tc>
        <w:tc>
          <w:tcPr>
            <w:tcW w:type="dxa" w:w="36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Run generator; verify &gt;100k volume + cross-source genealogy resolution</w:t>
            </w:r>
          </w:p>
        </w:tc>
        <w:tc>
          <w:tcPr>
            <w:tcW w:type="dxa" w:w="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G7</w:t>
            </w:r>
          </w:p>
        </w:tc>
        <w:tc>
          <w:tcPr>
            <w:tcW w:type="dxa" w:w="119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85%</w:t>
            </w:r>
          </w:p>
        </w:tc>
        <w:tc>
          <w:tcPr>
            <w:tcW w:type="dxa" w:w="1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6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10</w:t>
            </w:r>
          </w:p>
        </w:tc>
        <w:tc>
          <w:tcPr>
            <w:tcW w:type="dxa" w:w="36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Complete the no-dead-button action-matrix enumeration across all pages</w:t>
            </w:r>
          </w:p>
        </w:tc>
        <w:tc>
          <w:tcPr>
            <w:tcW w:type="dxa" w:w="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G6/G10</w:t>
            </w:r>
          </w:p>
        </w:tc>
        <w:tc>
          <w:tcPr>
            <w:tcW w:type="dxa" w:w="119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2 days</w:t>
            </w:r>
          </w:p>
        </w:tc>
      </w:tr>
      <w:tr>
        <w:tc>
          <w:tcPr>
            <w:tcW w:type="dxa" w:w="6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11</w:t>
            </w:r>
          </w:p>
        </w:tc>
        <w:tc>
          <w:tcPr>
            <w:tcW w:type="dxa" w:w="36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Build the 5-product website ecosystem pages</w:t>
            </w:r>
          </w:p>
        </w:tc>
        <w:tc>
          <w:tcPr>
            <w:tcW w:type="dxa" w:w="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G8</w:t>
            </w:r>
          </w:p>
        </w:tc>
        <w:tc>
          <w:tcPr>
            <w:tcW w:type="dxa" w:w="119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85%</w:t>
            </w:r>
          </w:p>
        </w:tc>
        <w:tc>
          <w:tcPr>
            <w:tcW w:type="dxa" w:w="1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2–3 days</w:t>
            </w:r>
          </w:p>
        </w:tc>
      </w:tr>
      <w:tr>
        <w:tc>
          <w:tcPr>
            <w:tcW w:type="dxa" w:w="62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12</w:t>
            </w:r>
          </w:p>
        </w:tc>
        <w:tc>
          <w:tcPr>
            <w:tcW w:type="dxa" w:w="365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Add before/after capture + tamper-evident chaining to audit</w:t>
            </w:r>
          </w:p>
        </w:tc>
        <w:tc>
          <w:tcPr>
            <w:tcW w:type="dxa" w:w="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G5</w:t>
            </w:r>
          </w:p>
        </w:tc>
        <w:tc>
          <w:tcPr>
            <w:tcW w:type="dxa" w:w="119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B5781A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90%</w:t>
            </w:r>
          </w:p>
        </w:tc>
        <w:tc>
          <w:tcPr>
            <w:tcW w:type="dxa" w:w="19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1–2 days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8"/>
          <w:szCs w:val="8"/>
        </w:rPr>
        <w:t xml:space="preserve"> 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2A43"/>
          <w:sz w:val="25"/>
          <w:szCs w:val="25"/>
        </w:rPr>
        <w:t xml:space="preserve">9.1 · Top-three detail (§19 task format)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A84FF"/>
          <w:sz w:val="22"/>
          <w:szCs w:val="22"/>
        </w:rPr>
        <w:t xml:space="preserve">Task 1 — Wire the advanced-analysis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Target section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§7.3 / §7.4 (method selection, FDR, stability, value)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Acceptance gate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G4 Intelligence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Existing foundation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Analytics.Core (MI, Cramér's V, Lasso, VIF, MethodSelector, BenjaminiHochberg, Stratification, Bootstrap, ReadinessGate) — complete, unit-tested; SimpleAnalysis already wired the same way.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Add a .NET compute service that loads feature/outcome vectors per request, runs MethodSelector → method → BH-FDR → stratification → bootstrap, persists results + q/stability/VIF, and becomes the live path behind CorrelationEndpoints (replacing the SQL Pearson facade).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Validation command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dotnet test (advanced-analysis suite) + a golden-dataset test asserting true signals recovered under FDR and spurious ones rejected; API response includes method/n/q/stability/excluded.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Evidence artifact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Green golden-dataset test; an Advanced Analysis result on demo data matching the §7.4 shape.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Dependency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Feature store (200_phase02 pgvector) populated by the demo generator.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Owner role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Backend / Data engineer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Min completion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95% (gate-adjacent)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8"/>
          <w:szCs w:val="8"/>
        </w:rPr>
        <w:t xml:space="preserve"> 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A84FF"/>
          <w:sz w:val="22"/>
          <w:szCs w:val="22"/>
        </w:rPr>
        <w:t xml:space="preserve">Task 2 — Global RFC-7807 exception 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Target section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§8.2 / §13 (customer-safe errors, no raw stack traces)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Acceptance gate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G6 / G10 (🔒 no-85%)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Existing foundation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Results.Problem used in 4 places; CORS/rate-limit/HTTPS middleware present; no global handler.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builder.Services.AddProblemDetails(); app.UseExceptionHandler() or an IExceptionHandler that maps unhandled exceptions to RFC-7807 with a correlation ID and no stack trace in non-dev; standardise endpoint errors on Results.Problem.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Validation command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Integration test that forces a handler exception and asserts a 500 returns a ProblemDetails body with no stack trace; e2e asserts no raw error surfaces.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Evidence artifact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Passing exception-mapping test + e2e body assertion.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Dependency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CorrelationIdMiddleware (already present).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Owner role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Min completion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100% (gate)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8"/>
          <w:szCs w:val="8"/>
        </w:rPr>
        <w:t xml:space="preserve"> </w:t>
      </w: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0A84FF"/>
          <w:sz w:val="22"/>
          <w:szCs w:val="22"/>
        </w:rPr>
        <w:t xml:space="preserve">Task 3 — Multi-tenant isolation +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shd w:fill="102A4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Target section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§10 tenant-isolation rule (absolute)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Acceptance gate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G5 (🔒 no-85%)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Existing foundation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tenant_id columns throughout; JWT tenant claims; TryTenant readers; tenants table; no_tenant guard. Missing: ITenantAccessor + uniform enforcement; default GUID hardcoded ~28×.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Introduce ITenantAccessor resolved from the authenticated context; apply tenant scoping uniformly (query filter / repository guard); remove hardcoded default-tenant fallbacks from runtime paths.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Validation command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Authorization-matrix test seeding two tenants; assert every cross-tenant read returns 403/empty across routes, jobs, retrieval and export.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Evidence artifact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Green two-tenant leakage test.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Dependency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Auth context (present).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Owner role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Backend / Security</w:t>
            </w:r>
          </w:p>
        </w:tc>
      </w:tr>
      <w:tr>
        <w:tc>
          <w:tcPr>
            <w:tcW w:type="dxa" w:w="230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Min completion</w:t>
            </w:r>
          </w:p>
        </w:tc>
        <w:tc>
          <w:tcPr>
            <w:tcW w:type="dxa" w:w="7060"/>
            <w:tcBorders>
              <w:top w:val="single" w:color="C9D4E2" w:sz="2"/>
              <w:left w:val="single" w:color="C9D4E2" w:sz="2"/>
              <w:bottom w:val="single" w:color="C9D4E2" w:sz="2"/>
              <w:right w:val="single" w:color="C9D4E2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6202E"/>
                <w:sz w:val="19"/>
                <w:szCs w:val="19"/>
              </w:rPr>
              <w:t xml:space="preserve">100% (gate)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8"/>
          <w:szCs w:val="8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8"/>
          <w:szCs w:val="8"/>
        </w:rPr>
        <w:t xml:space="preserve"> 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02A43"/>
          <w:sz w:val="25"/>
          <w:szCs w:val="25"/>
        </w:rPr>
        <w:t xml:space="preserve">9.2 · Suggested sequencing</w:t>
      </w:r>
    </w:p>
    <w:p>
      <w:pPr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If the next milestone is a customer demo: do </w:t>
      </w:r>
      <w:r>
        <w:rPr>
          <w:rFonts w:ascii="Arial" w:cs="Arial" w:eastAsia="Arial" w:hAnsi="Arial"/>
          <w:b/>
          <w:bCs/>
          <w:i w:val="false"/>
          <w:iCs w:val="false"/>
          <w:color w:val="16202E"/>
          <w:sz w:val="22"/>
          <w:szCs w:val="22"/>
        </w:rPr>
        <w:t xml:space="preserve">2, 3, 5, 6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 first (small, gate-critical safety + hygiene), then </w:t>
      </w:r>
      <w:r>
        <w:rPr>
          <w:rFonts w:ascii="Arial" w:cs="Arial" w:eastAsia="Arial" w:hAnsi="Arial"/>
          <w:b/>
          <w:bCs/>
          <w:i w:val="false"/>
          <w:iCs w:val="false"/>
          <w:color w:val="16202E"/>
          <w:sz w:val="22"/>
          <w:szCs w:val="22"/>
        </w:rPr>
        <w:t xml:space="preserve">1 and 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 (the credibility of the advanced story and the live-source story), then the remainder. Items 2/5/6 are well under a day each and remove the highest embarrassment risk for the least effort.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8"/>
          <w:szCs w:val="8"/>
        </w:rPr>
        <w:t xml:space="preserve"> </w:t>
      </w:r>
    </w:p>
    <w:p>
      <w:pPr>
        <w:pBdr>
          <w:top w:val="single" w:color="00D4FF" w:sz="8" w:space="6"/>
        </w:pBdr>
        <w:spacing w:before="200"/>
      </w:pPr>
      <w:r>
        <w:rPr>
          <w:rFonts w:ascii="Arial" w:cs="Arial" w:eastAsia="Arial" w:hAnsi="Arial"/>
          <w:b/>
          <w:bCs/>
          <w:i w:val="false"/>
          <w:iCs w:val="false"/>
          <w:color w:val="102A43"/>
          <w:sz w:val="22"/>
          <w:szCs w:val="22"/>
        </w:rPr>
        <w:t xml:space="preserve">Bottom 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6202E"/>
          <w:sz w:val="22"/>
          <w:szCs w:val="22"/>
        </w:rPr>
        <w:t xml:space="preserve">a principled, well-built platform whose remaining distance to demo-safe is concentrated in a handful of mostly-integration items. The single highest-value move is to plug the statistics engine you already wrote into the live path.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4E2" w:sz="6" w:space="4"/>
      </w:pBdr>
      <w:tabs>
        <w:tab w:val="right" w:pos="9360"/>
      </w:tabs>
    </w:pPr>
    <w:r>
      <w:rPr>
        <w:rFonts w:ascii="Arial" w:cs="Arial" w:eastAsia="Arial" w:hAnsi="Arial"/>
        <w:color w:val="5B6B80"/>
        <w:sz w:val="16"/>
        <w:szCs w:val="16"/>
      </w:rPr>
      <w:t xml:space="preserve">Measured against Doctrine v4.0 · 2 June 2026</w:t>
    </w:r>
    <w:r>
      <w:rPr>
        <w:rFonts w:ascii="Arial" w:cs="Arial" w:eastAsia="Arial" w:hAnsi="Arial"/>
        <w:color w:val="5B6B80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2" w:sz="6" w:space="4"/>
      </w:pBdr>
      <w:tabs>
        <w:tab w:val="right" w:pos="9360"/>
      </w:tabs>
    </w:pPr>
    <w:r>
      <w:rPr>
        <w:rFonts w:ascii="Arial" w:cs="Arial" w:eastAsia="Arial" w:hAnsi="Arial"/>
        <w:color w:val="5B6B80"/>
        <w:sz w:val="16"/>
        <w:szCs w:val="16"/>
      </w:rPr>
      <w:t xml:space="preserve">PlantProcess IQ — Implementation Validation Audit</w:t>
    </w:r>
    <w:r>
      <w:rPr>
        <w:rFonts w:ascii="Arial" w:cs="Arial" w:eastAsia="Arial" w:hAnsi="Arial"/>
        <w:color w:val="5B6B80"/>
        <w:sz w:val="16"/>
        <w:szCs w:val="16"/>
      </w:rPr>
      <w:t xml:space="preserve">	SOU Industrial Software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A84F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0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02A4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02A4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Arial" w:cs="Arial" w:eastAsia="Arial" w:hAnsi="Arial"/>
      <w:b/>
      <w:bCs/>
      <w:color w:val="0A84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PlantProcess IQ — Implementation Validation Audit</dc:title>
  <dc:creator>SOU Industrial Software</dc:creator>
  <cp:lastModifiedBy>Un-named</cp:lastModifiedBy>
  <cp:revision>1</cp:revision>
  <dcterms:created xsi:type="dcterms:W3CDTF">2026-06-02T20:27:38.597Z</dcterms:created>
  <dcterms:modified xsi:type="dcterms:W3CDTF">2026-06-02T20:27:38.598Z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