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olor w:val="0B1730"/>
          <w:sz w:val="64"/>
          <w:szCs w:val="64"/>
        </w:rPr>
        <w:t xml:space="preserve">PlantProcess </w:t>
      </w:r>
      <w:r>
        <w:rPr>
          <w:b/>
          <w:bCs/>
          <w:color w:val="0E6F86"/>
          <w:sz w:val="64"/>
          <w:szCs w:val="64"/>
        </w:rPr>
        <w:t xml:space="preserve">IQ</w:t>
      </w:r>
    </w:p>
    <w:p>
      <w:pPr>
        <w:spacing w:after="40"/>
      </w:pPr>
      <w:r>
        <w:rPr>
          <w:b/>
          <w:bCs/>
          <w:color w:val="0A4FA0"/>
          <w:sz w:val="32"/>
          <w:szCs w:val="32"/>
        </w:rPr>
        <w:t xml:space="preserve">Product Vision &amp; Engineering Doctrine</w:t>
      </w:r>
    </w:p>
    <w:p>
      <w:pPr>
        <w:spacing w:after="300"/>
      </w:pPr>
      <w:r>
        <w:rPr>
          <w:i/>
          <w:iCs/>
          <w:color w:val="33485F"/>
          <w:sz w:val="24"/>
          <w:szCs w:val="24"/>
        </w:rPr>
        <w:t xml:space="preserve">Version 2.0 — Deep Specification, Quality Bar &amp; Go-to-Demo Doctrine</w:t>
      </w:r>
    </w:p>
    <w:p>
      <w:pPr>
        <w:pBdr>
          <w:bottom w:val="single" w:color="0E6F86" w:sz="8" w:space="1"/>
        </w:pBdr>
        <w:spacing w:after="120" w:before="60"/>
      </w:pPr>
      <w:r>
        <w:t xml:space="preserve"/>
      </w:r>
    </w:p>
    <w:p>
      <w:pPr>
        <w:spacing w:after="120" w:line="276"/>
      </w:pPr>
      <w:r>
        <w:rPr>
          <w:b/>
          <w:bCs/>
          <w:color w:val="0B1730"/>
          <w:sz w:val="24"/>
          <w:szCs w:val="24"/>
        </w:rPr>
        <w:t xml:space="preserve">Connect Your Plant Data. Understand Your Process.</w:t>
      </w:r>
    </w:p>
    <w:p>
      <w:pPr>
        <w:spacing w:after="120" w:line="276"/>
      </w:pPr>
      <w:r>
        <w:rPr>
          <w:color w:val="33485F"/>
        </w:rPr>
        <w:t xml:space="preserve">Process-to-quality intelligence for manufacturing plants. Connect fragmented MES, L2, inspection, lab and ERP data into one generic intelligence layer — so process engineers investigate quality issues faster, detect suspected process contributors, score risk earlier, and act on evidence, without replacing the systems already on the floor.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Field</w:t>
            </w:r>
          </w:p>
        </w:tc>
        <w:tc>
          <w:tcPr>
            <w:tcW w:type="dxa" w:w="67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Value</w:t>
            </w:r>
          </w:p>
        </w:tc>
      </w:tr>
      <w:tr>
        <w:tc>
          <w:tcPr>
            <w:tcW w:type="dxa" w:w="26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Product</w:t>
            </w:r>
          </w:p>
        </w:tc>
        <w:tc>
          <w:tcPr>
            <w:tcW w:type="dxa" w:w="67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PlantProcess IQ (PPIQ)</w:t>
            </w:r>
          </w:p>
        </w:tc>
      </w:tr>
      <w:tr>
        <w:tc>
          <w:tcPr>
            <w:tcW w:type="dxa" w:w="26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Company</w:t>
            </w:r>
          </w:p>
        </w:tc>
        <w:tc>
          <w:tcPr>
            <w:tcW w:type="dxa" w:w="67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SOU Industrial Software — Düsseldorf, Germany</w:t>
            </w:r>
          </w:p>
        </w:tc>
      </w:tr>
      <w:tr>
        <w:tc>
          <w:tcPr>
            <w:tcW w:type="dxa" w:w="26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Document</w:t>
            </w:r>
          </w:p>
        </w:tc>
        <w:tc>
          <w:tcPr>
            <w:tcW w:type="dxa" w:w="67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Master product vision, feature specification, quality bar, ML/AI engine &amp; assistant architecture, and demo doctrine</w:t>
            </w:r>
          </w:p>
        </w:tc>
      </w:tr>
      <w:tr>
        <w:tc>
          <w:tcPr>
            <w:tcW w:type="dxa" w:w="26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Audience</w:t>
            </w:r>
          </w:p>
        </w:tc>
        <w:tc>
          <w:tcPr>
            <w:tcW w:type="dxa" w:w="67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Founder/lead engineer and future contributors; the single source of truth for what “finished” and “dazzling” mean</w:t>
            </w:r>
          </w:p>
        </w:tc>
      </w:tr>
      <w:tr>
        <w:tc>
          <w:tcPr>
            <w:tcW w:type="dxa" w:w="26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Markets</w:t>
            </w:r>
          </w:p>
        </w:tc>
        <w:tc>
          <w:tcPr>
            <w:tcW w:type="dxa" w:w="67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MENA and European process manufacturing (flat-steel lead vertical; architecture vertical-agnostic)</w:t>
            </w:r>
          </w:p>
        </w:tc>
      </w:tr>
      <w:tr>
        <w:tc>
          <w:tcPr>
            <w:tcW w:type="dxa" w:w="26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Status</w:t>
            </w:r>
          </w:p>
        </w:tc>
        <w:tc>
          <w:tcPr>
            <w:tcW w:type="dxa" w:w="67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Living document — supersedes the original 4-Track Vision while preserving all of its concrete commitments</w:t>
            </w:r>
          </w:p>
        </w:tc>
      </w:tr>
    </w:tbl>
    <w:p>
      <w:r>
        <w:br w:type="page"/>
      </w:r>
    </w:p>
    <w:p>
      <w:pPr>
        <w:pStyle w:val="Heading1"/>
      </w:pPr>
      <w:r>
        <w:rPr>
          <w:color w:val="0B17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color w:val="0B1730"/>
        </w:rPr>
        <w:t xml:space="preserve">0 · How to Read This Document</w:t>
      </w:r>
    </w:p>
    <w:p>
      <w:pPr>
        <w:spacing w:after="120" w:line="276"/>
      </w:pPr>
      <w:r>
        <w:rPr>
          <w:color w:val="33485F"/>
        </w:rPr>
        <w:t xml:space="preserve">This is not a brochure. It is the engineering contract behind a product whose entire promise is </w:t>
      </w:r>
      <w:r>
        <w:rPr>
          <w:b/>
          <w:bCs/>
        </w:rPr>
        <w:t xml:space="preserve">trust</w:t>
      </w:r>
      <w:r>
        <w:rPr>
          <w:color w:val="33485F"/>
        </w:rPr>
        <w:t xml:space="preserve"> — trust that the data is faithful, that the analytics are honest, that every control does exactly what it says, and that nothing fails in front of a customer. The original 4-Track Vision defined the destination. This version deepens it into a buildable, testable, defensible specification.</w:t>
      </w:r>
    </w:p>
    <w:p>
      <w:pPr>
        <w:pStyle w:val="Heading3"/>
      </w:pPr>
      <w:r>
        <w:rPr>
          <w:color w:val="0B1730"/>
        </w:rPr>
        <w:t xml:space="preserve">What is preserved from v1 (non-negotiable commitments)</w:t>
      </w:r>
    </w:p>
    <w:p>
      <w:pPr>
        <w:pStyle w:val="ListParagraph"/>
        <w:numPr>
          <w:ilvl w:val="0"/>
          <w:numId w:val="2"/>
        </w:numPr>
        <w:spacing w:after="60" w:line="270"/>
      </w:pPr>
      <w:r>
        <w:rPr>
          <w:b/>
          <w:bCs/>
        </w:rPr>
        <w:t xml:space="preserve">Generic by design — </w:t>
      </w:r>
      <w:r>
        <w:t xml:space="preserve">install into any plant, against any database mix, any table structures, any inspection devices, any line topology, any process, any KPI focus. Nothing hardcoded to one customer.</w:t>
      </w:r>
    </w:p>
    <w:p>
      <w:pPr>
        <w:pStyle w:val="ListParagraph"/>
        <w:numPr>
          <w:ilvl w:val="0"/>
          <w:numId w:val="2"/>
        </w:numPr>
        <w:spacing w:after="60" w:line="270"/>
      </w:pPr>
      <w:r>
        <w:rPr>
          <w:b/>
          <w:bCs/>
        </w:rPr>
        <w:t xml:space="preserve">Configure-from-the-HMI — </w:t>
      </w:r>
      <w:r>
        <w:t xml:space="preserve">DB links, jobs, pages, widgets, mappings and KPIs are created and saved from the front end, never baked into code.</w:t>
      </w:r>
    </w:p>
    <w:p>
      <w:pPr>
        <w:pStyle w:val="ListParagraph"/>
        <w:numPr>
          <w:ilvl w:val="0"/>
          <w:numId w:val="2"/>
        </w:numPr>
        <w:spacing w:after="60" w:line="270"/>
      </w:pPr>
      <w:r>
        <w:rPr>
          <w:b/>
          <w:bCs/>
        </w:rPr>
        <w:t xml:space="preserve">Honest intelligence — </w:t>
      </w:r>
      <w:r>
        <w:t xml:space="preserve">the analytical core is deterministic and statistical; the AI is the voice, never the brain. Approved language: suspected contributor, statistical correlation, rule-based risk scoring. Forbidden: guaranteed root cause, AI-powered prediction, production-ready AI, “we predict”.</w:t>
      </w:r>
    </w:p>
    <w:p>
      <w:pPr>
        <w:pStyle w:val="ListParagraph"/>
        <w:numPr>
          <w:ilvl w:val="0"/>
          <w:numId w:val="2"/>
        </w:numPr>
        <w:spacing w:after="60" w:line="270"/>
      </w:pPr>
      <w:r>
        <w:rPr>
          <w:b/>
          <w:bCs/>
        </w:rPr>
        <w:t xml:space="preserve">The dark-industrial brand — </w:t>
      </w:r>
      <w:r>
        <w:t xml:space="preserve">Deep Navy Black, Electric Blue, Electric Cyan; Inter and JetBrains Mono; the exact palette and typographic scale from v1.</w:t>
      </w:r>
    </w:p>
    <w:p>
      <w:pPr>
        <w:pStyle w:val="ListParagraph"/>
        <w:numPr>
          <w:ilvl w:val="0"/>
          <w:numId w:val="2"/>
        </w:numPr>
        <w:spacing w:after="60" w:line="270"/>
      </w:pPr>
      <w:r>
        <w:rPr>
          <w:b/>
          <w:bCs/>
        </w:rPr>
        <w:t xml:space="preserve">The demo doctrine — </w:t>
      </w:r>
      <w:r>
        <w:t xml:space="preserve">the demo is the first release configured live on prepared data, not a separate faked layer.</w:t>
      </w:r>
    </w:p>
    <w:p>
      <w:pPr>
        <w:pStyle w:val="Heading3"/>
      </w:pPr>
      <w:r>
        <w:rPr>
          <w:color w:val="0B1730"/>
        </w:rPr>
        <w:t xml:space="preserve">What this version adds</w:t>
      </w:r>
    </w:p>
    <w:p>
      <w:pPr>
        <w:pStyle w:val="ListParagraph"/>
        <w:numPr>
          <w:ilvl w:val="0"/>
          <w:numId w:val="2"/>
        </w:numPr>
        <w:spacing w:after="60" w:line="270"/>
      </w:pPr>
      <w:r>
        <w:rPr>
          <w:b/>
          <w:bCs/>
        </w:rPr>
        <w:t xml:space="preserve">Five pillars instead of four — </w:t>
      </w:r>
      <w:r>
        <w:t xml:space="preserve">the original four tracks (Workflow, Hardening, Demo, Website) plus an explicit fifth: the Intelligence Engine &amp; AI Assistant, the part that turns PPIQ from a dashboard tool into a new generation of plant intelligence.</w:t>
      </w:r>
    </w:p>
    <w:p>
      <w:pPr>
        <w:pStyle w:val="ListParagraph"/>
        <w:numPr>
          <w:ilvl w:val="0"/>
          <w:numId w:val="2"/>
        </w:numPr>
        <w:spacing w:after="60" w:line="270"/>
      </w:pPr>
      <w:r>
        <w:rPr>
          <w:b/>
          <w:bCs/>
        </w:rPr>
        <w:t xml:space="preserve">A zero-defect quality bar — </w:t>
      </w:r>
      <w:r>
        <w:t xml:space="preserve">written as measurable, testable acceptance criteria, not aspirations (Section 7).</w:t>
      </w:r>
    </w:p>
    <w:p>
      <w:pPr>
        <w:pStyle w:val="ListParagraph"/>
        <w:numPr>
          <w:ilvl w:val="0"/>
          <w:numId w:val="2"/>
        </w:numPr>
        <w:spacing w:after="60" w:line="270"/>
      </w:pPr>
      <w:r>
        <w:rPr>
          <w:b/>
          <w:bCs/>
        </w:rPr>
        <w:t xml:space="preserve">Gap closure — </w:t>
      </w:r>
      <w:r>
        <w:t xml:space="preserve">every place the original said “I don’t yet have a full vision for how…” is now specified (Section 8).</w:t>
      </w:r>
    </w:p>
    <w:p>
      <w:pPr>
        <w:pStyle w:val="ListParagraph"/>
        <w:numPr>
          <w:ilvl w:val="0"/>
          <w:numId w:val="2"/>
        </w:numPr>
        <w:spacing w:after="60" w:line="270"/>
      </w:pPr>
      <w:r>
        <w:rPr>
          <w:b/>
          <w:bCs/>
        </w:rPr>
        <w:t xml:space="preserve">Operational reality — </w:t>
      </w:r>
      <w:r>
        <w:t xml:space="preserve">authentication, configuration, ports, deployment and local-vs-server parity hardened into rules, because that is where a polished product quietly breaks (Section 9).</w:t>
      </w:r>
    </w:p>
    <w:p>
      <w:r>
        <w:br w:type="page"/>
      </w:r>
    </w:p>
    <w:p>
      <w:pPr>
        <w:pStyle w:val="Heading1"/>
      </w:pPr>
      <w:r>
        <w:rPr>
          <w:color w:val="0B1730"/>
        </w:rPr>
        <w:t xml:space="preserve">1 · The North Star — What “Dazzling” Means</w:t>
      </w:r>
    </w:p>
    <w:p>
      <w:pPr>
        <w:spacing w:after="120" w:line="276"/>
      </w:pPr>
      <w:r>
        <w:rPr>
          <w:color w:val="33485F"/>
        </w:rPr>
        <w:t xml:space="preserve">A prospective customer’s decision is emotional before it is technical. They must leave the demo feeling that PPIQ is </w:t>
      </w:r>
      <w:r>
        <w:rPr>
          <w:b/>
          <w:bCs/>
        </w:rPr>
        <w:t xml:space="preserve">inevitable</w:t>
      </w:r>
      <w:r>
        <w:rPr>
          <w:color w:val="33485F"/>
        </w:rPr>
        <w:t xml:space="preserve"> — that it already understands their plant better than the tools they own. Three sensations produce that reaction, and every requirement in this document serves one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7FB" w:sz="1"/>
              <w:left w:val="single" w:color="0E6F86" w:sz="24"/>
              <w:bottom w:val="single" w:color="E6F7FB" w:sz="1"/>
              <w:right w:val="single" w:color="E6F7FB" w:sz="1"/>
            </w:tcBorders>
            <w:shd w:fill="E6F7FB" w:val="clear"/>
            <w:tcMar>
              <w:top w:type="dxa" w:w="120"/>
              <w:left w:type="dxa" w:w="200"/>
              <w:bottom w:type="dxa" w:w="120"/>
              <w:right w:type="dxa" w:w="160"/>
            </w:tcMar>
          </w:tcPr>
          <w:p>
            <w:pPr>
              <w:spacing w:after="60"/>
            </w:pPr>
            <w:r>
              <w:rPr>
                <w:b/>
                <w:bCs/>
                <w:color w:val="0E6F86"/>
              </w:rPr>
              <w:t xml:space="preserve">The three sensations we engineer for</w:t>
            </w:r>
          </w:p>
          <w:p>
            <w:pPr>
              <w:spacing w:after="40" w:line="264"/>
            </w:pPr>
            <w:r>
              <w:rPr>
                <w:b/>
                <w:bCs/>
              </w:rPr>
              <w:t xml:space="preserve">1 · “It already speaks my plant.”  </w:t>
            </w:r>
            <w:r>
              <w:t xml:space="preserve">Within minutes, their own EAF heats, their own caster sequences, their own surface defects appear — connected, walkable from coil back to melt, with their KPIs and their vocabulary, configured live in front of them.</w:t>
            </w:r>
          </w:p>
          <w:p>
            <w:pPr>
              <w:spacing w:after="40" w:line="264"/>
            </w:pPr>
            <w:r>
              <w:rPr>
                <w:b/>
                <w:bCs/>
              </w:rPr>
              <w:t xml:space="preserve">2 · “It tells me something I didn’t know — and proves it.”  </w:t>
            </w:r>
            <w:r>
              <w:t xml:space="preserve">The engine surfaces a suspected contributor to a defect or a downtime cascade, ranked by effect size, with the evidence and the sample behind it. Not a black box; a transparent argument they can interrogate.</w:t>
            </w:r>
          </w:p>
          <w:p>
            <w:pPr>
              <w:spacing w:after="40" w:line="264"/>
            </w:pPr>
            <w:r>
              <w:rPr>
                <w:b/>
                <w:bCs/>
              </w:rPr>
              <w:t xml:space="preserve">3 · “Nothing here is going to embarrass me.”  </w:t>
            </w:r>
            <w:r>
              <w:t xml:space="preserve">Every button works, every chart loads, the heat map renders, the styling is flawless on their screen and their browser, and no panel ever says “could not be loaded.” The product feels expensive because it is faultless.</w:t>
            </w:r>
          </w:p>
        </w:tc>
      </w:tr>
    </w:tbl>
    <w:p>
      <w:pPr>
        <w:spacing w:after="120" w:line="276"/>
      </w:pPr>
      <w:r>
        <w:rPr>
          <w:b/>
          <w:bCs/>
        </w:rPr>
        <w:t xml:space="preserve">The commercial thesis: </w:t>
      </w:r>
      <w:r>
        <w:rPr>
          <w:color w:val="33485F"/>
        </w:rPr>
        <w:t xml:space="preserve">PPIQ is a read-only intelligence layer that sits beside MES/L2/SCADA/BI and makes the plant’s own data legible. It is sold by license tier (Lite / Pro / Pro Plus / Enterprise) on a SaaS-plus-consulting model, and it is bought because the buyer saw — not was told — that it works.</w:t>
      </w:r>
    </w:p>
    <w:p>
      <w:r>
        <w:br w:type="page"/>
      </w:r>
    </w:p>
    <w:p>
      <w:pPr>
        <w:pStyle w:val="Heading1"/>
      </w:pPr>
      <w:r>
        <w:rPr>
          <w:color w:val="0B1730"/>
        </w:rPr>
        <w:t xml:space="preserve">2 · Pillar I — The Generic Data Lifecycle (Workflow)</w:t>
      </w:r>
    </w:p>
    <w:p>
      <w:pPr>
        <w:spacing w:after="120" w:line="276"/>
      </w:pPr>
      <w:r>
        <w:rPr>
          <w:color w:val="33485F"/>
        </w:rPr>
        <w:t xml:space="preserve">The complete product lifecycle runs live: from linking a customer’s databases, through scheduled ingestion into private copies, through mapping heterogeneous schemas into one canonical model, to building custom pages and widgets — all configured and saved from the HMI. This pillar is the substrate everything else stands on.</w:t>
      </w:r>
    </w:p>
    <w:p>
      <w:pPr>
        <w:pStyle w:val="Heading2"/>
      </w:pPr>
      <w:r>
        <w:rPr>
          <w:color w:val="0A4FA0"/>
        </w:rPr>
        <w:t xml:space="preserve">2.1 Generic at every layer</w:t>
      </w:r>
    </w:p>
    <w:p>
      <w:pPr>
        <w:spacing w:after="120" w:line="276"/>
      </w:pPr>
      <w:r>
        <w:rPr>
          <w:color w:val="33485F"/>
        </w:rPr>
        <w:t xml:space="preserve">Every plant differs in database engines, table structures, inspection devices and their defect taxonomies, line topologies, processes, and the parameters and KPIs each CEO and process engineer cares about. PPIQ therefore treats none of these as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Dimension</w:t>
            </w:r>
          </w:p>
        </w:tc>
        <w:tc>
          <w:tcPr>
            <w:tcW w:type="dxa" w:w="35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What varies per plant</w:t>
            </w:r>
          </w:p>
        </w:tc>
        <w:tc>
          <w:tcPr>
            <w:tcW w:type="dxa" w:w="39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How PPIQ stays generic</w:t>
            </w:r>
          </w:p>
        </w:tc>
      </w:tr>
      <w:tr>
        <w:tc>
          <w:tcPr>
            <w:tcW w:type="dxa" w:w="1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Database engines</w:t>
            </w:r>
          </w:p>
        </w:tc>
        <w:tc>
          <w:tcPr>
            <w:tcW w:type="dxa" w:w="35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MSSQL, PostgreSQL, MySQL, Oracle, Excel, CSV</w:t>
            </w:r>
          </w:p>
        </w:tc>
        <w:tc>
          <w:tcPr>
            <w:tcW w:type="dxa" w:w="39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Six first-class connectors behind one connector interface + factory; new engines add without touching callers</w:t>
            </w:r>
          </w:p>
        </w:tc>
      </w:tr>
      <w:tr>
        <w:tc>
          <w:tcPr>
            <w:tcW w:type="dxa" w:w="1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Schemas &amp; tables</w:t>
            </w:r>
          </w:p>
        </w:tc>
        <w:tc>
          <w:tcPr>
            <w:tcW w:type="dxa" w:w="35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Different table shapes, names, keys</w:t>
            </w:r>
          </w:p>
        </w:tc>
        <w:tc>
          <w:tcPr>
            <w:tcW w:type="dxa" w:w="39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Imported tables are copied verbatim into private “dump” stores; a mapping engine projects them into the canonical model</w:t>
            </w:r>
          </w:p>
        </w:tc>
      </w:tr>
      <w:tr>
        <w:tc>
          <w:tcPr>
            <w:tcW w:type="dxa" w:w="1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Inspection devices</w:t>
            </w:r>
          </w:p>
        </w:tc>
        <w:tc>
          <w:tcPr>
            <w:tcW w:type="dxa" w:w="35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Different defect types &amp; record structures</w:t>
            </w:r>
          </w:p>
        </w:tc>
        <w:tc>
          <w:tcPr>
            <w:tcW w:type="dxa" w:w="39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Defect taxonomy is data, not code; the mapping layer normalizes device output into canonical defect entities</w:t>
            </w:r>
          </w:p>
        </w:tc>
      </w:tr>
      <w:tr>
        <w:tc>
          <w:tcPr>
            <w:tcW w:type="dxa" w:w="1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Line topology</w:t>
            </w:r>
          </w:p>
        </w:tc>
        <w:tc>
          <w:tcPr>
            <w:tcW w:type="dxa" w:w="35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Different equipment, routing, buffers</w:t>
            </w:r>
          </w:p>
        </w:tc>
        <w:tc>
          <w:tcPr>
            <w:tcW w:type="dxa" w:w="39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Plant layout is configured, not assumed; genealogy is derived from mapped keys</w:t>
            </w:r>
          </w:p>
        </w:tc>
      </w:tr>
      <w:tr>
        <w:tc>
          <w:tcPr>
            <w:tcW w:type="dxa" w:w="1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Process &amp; KPIs</w:t>
            </w:r>
          </w:p>
        </w:tc>
        <w:tc>
          <w:tcPr>
            <w:tcW w:type="dxa" w:w="35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Unique workflows, parameters, KPIs</w:t>
            </w:r>
          </w:p>
        </w:tc>
        <w:tc>
          <w:tcPr>
            <w:tcW w:type="dxa" w:w="39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KPIs are user-authored SQL views; process parameters are mapped; nothing is plant-specific in the binary</w:t>
            </w:r>
          </w:p>
        </w:tc>
      </w:tr>
    </w:tbl>
    <w:p>
      <w:pPr>
        <w:pStyle w:val="Heading2"/>
      </w:pPr>
      <w:r>
        <w:rPr>
          <w:color w:val="0A4FA0"/>
        </w:rPr>
        <w:t xml:space="preserve">2.2 Backend — the canonical, configurable core</w:t>
      </w:r>
    </w:p>
    <w:p>
      <w:pPr>
        <w:pStyle w:val="Heading3"/>
      </w:pPr>
      <w:r>
        <w:rPr>
          <w:color w:val="0B1730"/>
        </w:rPr>
        <w:t xml:space="preserve">2.2.1 Connect to any source</w:t>
      </w:r>
    </w:p>
    <w:p>
      <w:pPr>
        <w:spacing w:after="120" w:line="276"/>
      </w:pPr>
      <w:r>
        <w:rPr>
          <w:color w:val="33485F"/>
        </w:rPr>
        <w:t xml:space="preserve">All six source types are reachable and configured entirely from the HMI: MSSQL, PostgreSQL, MySQL, Oracle, Excel and CSV. Each connection is tested before it is saved, credentials are encrypted at rest and masked in every read-back, and connection failures surface a typed, bounded error — never a hang.</w:t>
      </w:r>
    </w:p>
    <w:p>
      <w:pPr>
        <w:pStyle w:val="Heading3"/>
      </w:pPr>
      <w:r>
        <w:rPr>
          <w:color w:val="0B1730"/>
        </w:rPr>
        <w:t xml:space="preserve">2.2.2 DB Link Configuration (Administration › DB Configuration)</w:t>
      </w:r>
    </w:p>
    <w:p>
      <w:pPr>
        <w:pStyle w:val="ListParagraph"/>
        <w:numPr>
          <w:ilvl w:val="0"/>
          <w:numId w:val="2"/>
        </w:numPr>
        <w:spacing w:after="60" w:line="270"/>
      </w:pPr>
      <w:r>
        <w:t xml:space="preserve">Define and configure each database link, and select which tables to import per link.</w:t>
      </w:r>
    </w:p>
    <w:p>
      <w:pPr>
        <w:pStyle w:val="ListParagraph"/>
        <w:numPr>
          <w:ilvl w:val="0"/>
          <w:numId w:val="2"/>
        </w:numPr>
        <w:spacing w:after="60" w:line="270"/>
      </w:pPr>
      <w:r>
        <w:t xml:space="preserve">Configure the read/refresh cadence per source — from every two minutes to several days — and the engine maintains a private, latest-state copy (a “dump”) of each selected table on PPIQ’s side.</w:t>
      </w:r>
    </w:p>
    <w:p>
      <w:pPr>
        <w:pStyle w:val="ListParagraph"/>
        <w:numPr>
          <w:ilvl w:val="0"/>
          <w:numId w:val="2"/>
        </w:numPr>
        <w:spacing w:after="60" w:line="270"/>
      </w:pPr>
      <w:r>
        <w:t xml:space="preserve">Each import is a named Job with a cycle and a status; on the next scan cycle the engine compares the last index in the dump against the source’s latest index and imports only the new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8F0" w:sz="1"/>
              <w:left w:val="single" w:color="1E7F4F" w:sz="24"/>
              <w:bottom w:val="single" w:color="E8F8F0" w:sz="1"/>
              <w:right w:val="single" w:color="E8F8F0" w:sz="1"/>
            </w:tcBorders>
            <w:shd w:fill="E8F8F0" w:val="clear"/>
            <w:tcMar>
              <w:top w:type="dxa" w:w="120"/>
              <w:left w:type="dxa" w:w="200"/>
              <w:bottom w:type="dxa" w:w="120"/>
              <w:right w:type="dxa" w:w="160"/>
            </w:tcMar>
          </w:tcPr>
          <w:p>
            <w:pPr>
              <w:spacing w:after="60"/>
            </w:pPr>
            <w:r>
              <w:rPr>
                <w:b/>
                <w:bCs/>
                <w:color w:val="1E7F4F"/>
              </w:rPr>
              <w:t xml:space="preserve">Gap closed — the dump store is faithful, not opinionated</w:t>
            </w:r>
          </w:p>
          <w:p>
            <w:pPr>
              <w:spacing w:after="40" w:line="264"/>
            </w:pPr>
            <w:r>
              <w:t xml:space="preserve">The private copies mirror the customer’s several source databases in their own shapes — PPIQ never imposes its structure on ingestion. Canonicalization happens only in the mapping layer (2.2.4), keeping the import path simple, auditable, and trivially resumable.</w:t>
            </w:r>
          </w:p>
        </w:tc>
      </w:tr>
    </w:tbl>
    <w:p>
      <w:pPr>
        <w:pStyle w:val="Heading3"/>
      </w:pPr>
      <w:r>
        <w:rPr>
          <w:color w:val="0B1730"/>
        </w:rPr>
        <w:t xml:space="preserve">2.2.3 Two-stage ingestion with resumable delta import</w:t>
      </w:r>
    </w:p>
    <w:p>
      <w:pPr>
        <w:pStyle w:val="ListParagraph"/>
        <w:numPr>
          <w:ilvl w:val="0"/>
          <w:numId w:val="2"/>
        </w:numPr>
        <w:spacing w:after="60" w:line="270"/>
      </w:pPr>
      <w:r>
        <w:rPr>
          <w:b/>
          <w:bCs/>
        </w:rPr>
        <w:t xml:space="preserve">Stage 1 — Source → Dump: </w:t>
      </w:r>
      <w:r>
        <w:t xml:space="preserve">incremental, cursor-based reads pull only rows beyond the last imported index.</w:t>
      </w:r>
    </w:p>
    <w:p>
      <w:pPr>
        <w:pStyle w:val="ListParagraph"/>
        <w:numPr>
          <w:ilvl w:val="0"/>
          <w:numId w:val="2"/>
        </w:numPr>
        <w:spacing w:after="60" w:line="270"/>
      </w:pPr>
      <w:r>
        <w:rPr>
          <w:b/>
          <w:bCs/>
        </w:rPr>
        <w:t xml:space="preserve">Stage 2 — Dump → Canonical: </w:t>
      </w:r>
      <w:r>
        <w:t xml:space="preserve">a separately scheduled job projects mapped data into the canonical model at the HMI-refresh cadence the customer chooses.</w:t>
      </w:r>
    </w:p>
    <w:p>
      <w:pPr>
        <w:pStyle w:val="ListParagraph"/>
        <w:numPr>
          <w:ilvl w:val="0"/>
          <w:numId w:val="2"/>
        </w:numPr>
        <w:spacing w:after="60" w:line="270"/>
      </w:pPr>
      <w:r>
        <w:rPr>
          <w:b/>
          <w:bCs/>
        </w:rPr>
        <w:t xml:space="preserve">Resumability is a guarantee, not a hope: </w:t>
      </w:r>
      <w:r>
        <w:t xml:space="preserve">a crash mid-batch resumes from the last committed cursor with zero duplicates; source schema drift is detected and surfaced rather than silently corrupting the copy.</w:t>
      </w:r>
    </w:p>
    <w:p>
      <w:pPr>
        <w:pStyle w:val="Heading3"/>
      </w:pPr>
      <w:r>
        <w:rPr>
          <w:color w:val="0B1730"/>
        </w:rPr>
        <w:t xml:space="preserve">2.2.4 Schema Configuration &amp; Mapping (Administration › Schema Configuration)</w:t>
      </w:r>
    </w:p>
    <w:p>
      <w:pPr>
        <w:spacing w:after="120" w:line="276"/>
      </w:pPr>
      <w:r>
        <w:rPr>
          <w:color w:val="33485F"/>
        </w:rPr>
        <w:t xml:space="preserve">This is where heterogeneous sources become one legible model. The original vision asked for help designing this; it is now specified as an advanced, professional, generic mapping engine.</w:t>
      </w:r>
    </w:p>
    <w:p>
      <w:pPr>
        <w:pStyle w:val="ListParagraph"/>
        <w:numPr>
          <w:ilvl w:val="0"/>
          <w:numId w:val="2"/>
        </w:numPr>
        <w:spacing w:after="60" w:line="270"/>
      </w:pPr>
      <w:r>
        <w:rPr>
          <w:b/>
          <w:bCs/>
        </w:rPr>
        <w:t xml:space="preserve">View &amp; query authoring: </w:t>
      </w:r>
      <w:r>
        <w:t xml:space="preserve">write SQL views and queries against the dump stores to shape data into the canonical schema, with a JetBrains-Mono editor, contextual autocomplete of available views/columns, and a second-pass safe-SQL validator that blocks DDL and cross-tenant injection at preview and at materialize.</w:t>
      </w:r>
    </w:p>
    <w:p>
      <w:pPr>
        <w:pStyle w:val="ListParagraph"/>
        <w:numPr>
          <w:ilvl w:val="0"/>
          <w:numId w:val="2"/>
        </w:numPr>
        <w:spacing w:after="60" w:line="270"/>
      </w:pPr>
      <w:r>
        <w:rPr>
          <w:b/>
          <w:bCs/>
        </w:rPr>
        <w:t xml:space="preserve">Cross-source joins: </w:t>
      </w:r>
      <w:r>
        <w:t xml:space="preserve">join on business keys across engines — e.g. piece/heat identity between a HotStripMill Oracle dump and a Parsytec surface-inspection MySQL dump — with type-mismatch on a join key pair rejected with a clear message.</w:t>
      </w:r>
    </w:p>
    <w:p>
      <w:pPr>
        <w:pStyle w:val="ListParagraph"/>
        <w:numPr>
          <w:ilvl w:val="0"/>
          <w:numId w:val="2"/>
        </w:numPr>
        <w:spacing w:after="60" w:line="270"/>
      </w:pPr>
      <w:r>
        <w:rPr>
          <w:b/>
          <w:bCs/>
        </w:rPr>
        <w:t xml:space="preserve">KPIs as first-class views: </w:t>
      </w:r>
      <w:r>
        <w:t xml:space="preserve">a user creates a KPI as a SQL view and attaches it to a piece of equipment or an area; it then participates in widgets, the engine, and the assistant like any other measure.</w:t>
      </w:r>
    </w:p>
    <w:p>
      <w:pPr>
        <w:pStyle w:val="ListParagraph"/>
        <w:numPr>
          <w:ilvl w:val="0"/>
          <w:numId w:val="2"/>
        </w:numPr>
        <w:spacing w:after="60" w:line="270"/>
      </w:pPr>
      <w:r>
        <w:rPr>
          <w:b/>
          <w:bCs/>
        </w:rPr>
        <w:t xml:space="preserve">Typed, testable resolution: </w:t>
      </w:r>
      <w:r>
        <w:t xml:space="preserve">the resolver returns distinct, named errors — NoSuchView, NoSuchColumn, InvalidAggregateForType — never a generic failure, so misconfiguration is diagnosable in seconds.</w:t>
      </w:r>
    </w:p>
    <w:p>
      <w:pPr>
        <w:pStyle w:val="Heading3"/>
      </w:pPr>
      <w:r>
        <w:rPr>
          <w:color w:val="0B1730"/>
        </w:rPr>
        <w:t xml:space="preserve">2.2.5 The genealogy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8F0" w:sz="1"/>
              <w:left w:val="single" w:color="1E7F4F" w:sz="24"/>
              <w:bottom w:val="single" w:color="E8F8F0" w:sz="1"/>
              <w:right w:val="single" w:color="E8F8F0" w:sz="1"/>
            </w:tcBorders>
            <w:shd w:fill="E8F8F0" w:val="clear"/>
            <w:tcMar>
              <w:top w:type="dxa" w:w="120"/>
              <w:left w:type="dxa" w:w="200"/>
              <w:bottom w:type="dxa" w:w="120"/>
              <w:right w:type="dxa" w:w="160"/>
            </w:tcMar>
          </w:tcPr>
          <w:p>
            <w:pPr>
              <w:spacing w:after="60"/>
            </w:pPr>
            <w:r>
              <w:rPr>
                <w:b/>
                <w:bCs/>
                <w:color w:val="1E7F4F"/>
              </w:rPr>
              <w:t xml:space="preserve">Gap closed — genealogy is the backbone, specified end-to-end</w:t>
            </w:r>
          </w:p>
          <w:p>
            <w:pPr>
              <w:spacing w:after="40" w:line="264"/>
            </w:pPr>
            <w:r>
              <w:rPr>
                <w:b/>
                <w:bCs/>
              </w:rPr>
              <w:t xml:space="preserve">The identity chain: </w:t>
            </w:r>
            <w:r>
              <w:t xml:space="preserve">HeatID (MeltShop, PostgreSQL) → Ladle / Tundish / Mould / Sequence / Strand / Slab (Caster, Oracle) → coil (HotStripMill, Oracle) → surface defects (Parsytec, MySQL) → QA samples (lab, Excel).</w:t>
            </w:r>
          </w:p>
          <w:p>
            <w:pPr>
              <w:spacing w:after="40" w:line="264"/>
            </w:pPr>
            <w:r>
              <w:t xml:space="preserve">PPIQ derives a canonical genealogy view via the mapping engine (never hardcoded SQL) so any coil can be walked backward to its casting and melt conditions and forward to its defects and QA. This spine is what the feature store, the inspection jobs, the risk scorer and the assistant all consume to answer “why is this coil bad?”</w:t>
            </w:r>
          </w:p>
        </w:tc>
      </w:tr>
    </w:tbl>
    <w:p>
      <w:pPr>
        <w:pStyle w:val="Heading3"/>
      </w:pPr>
      <w:r>
        <w:rPr>
          <w:color w:val="0B1730"/>
        </w:rPr>
        <w:t xml:space="preserve">2.2.6 Importing Data &amp; Jobs Monitor</w:t>
      </w:r>
    </w:p>
    <w:p>
      <w:pPr>
        <w:pStyle w:val="ListParagraph"/>
        <w:numPr>
          <w:ilvl w:val="0"/>
          <w:numId w:val="2"/>
        </w:numPr>
        <w:spacing w:after="60" w:line="270"/>
      </w:pPr>
      <w:r>
        <w:t xml:space="preserve">After mapping, the customer sets the Stage-2 cadence (the rate at which fresh canonical data — and therefore the HMI — refreshes); this too is a named Job with a cycle and crash status.</w:t>
      </w:r>
    </w:p>
    <w:p>
      <w:pPr>
        <w:pStyle w:val="ListParagraph"/>
        <w:numPr>
          <w:ilvl w:val="0"/>
          <w:numId w:val="2"/>
        </w:numPr>
        <w:spacing w:after="60" w:line="270"/>
      </w:pPr>
      <w:r>
        <w:t xml:space="preserve">The Jobs Monitor shows every job — standard and ML alike — with last run time, last outcome (success / crash / timeout), and duration, as a real operational monitor driven by run history, not a static table.</w:t>
      </w:r>
    </w:p>
    <w:p>
      <w:pPr>
        <w:pStyle w:val="Heading2"/>
      </w:pPr>
      <w:r>
        <w:rPr>
          <w:color w:val="0A4FA0"/>
        </w:rPr>
        <w:t xml:space="preserve">2.3 Front end — pages and widgets, authored live</w:t>
      </w:r>
    </w:p>
    <w:p>
      <w:pPr>
        <w:pStyle w:val="Heading3"/>
      </w:pPr>
      <w:r>
        <w:rPr>
          <w:color w:val="0B1730"/>
        </w:rPr>
        <w:t xml:space="preserve">2.3.1 Page builder</w:t>
      </w:r>
    </w:p>
    <w:p>
      <w:pPr>
        <w:pStyle w:val="ListParagraph"/>
        <w:numPr>
          <w:ilvl w:val="0"/>
          <w:numId w:val="2"/>
        </w:numPr>
        <w:spacing w:after="60" w:line="270"/>
      </w:pPr>
      <w:r>
        <w:t xml:space="preserve">Users create, modify and delete pages from the HMI. Pages are persisted as data (a Page Definition: slug, title, owner, layout, sharing) and rendered generically at /pages/{slug} — never as compiled React.</w:t>
      </w:r>
    </w:p>
    <w:p>
      <w:pPr>
        <w:pStyle w:val="ListParagraph"/>
        <w:numPr>
          <w:ilvl w:val="0"/>
          <w:numId w:val="2"/>
        </w:numPr>
        <w:spacing w:after="60" w:line="270"/>
      </w:pPr>
      <w:r>
        <w:t xml:space="preserve">A widget library + drag-drop canvas composes a page: drop widgets, arrange and resize them, then save; existing pages can be edited and re-saved.</w:t>
      </w:r>
    </w:p>
    <w:p>
      <w:pPr>
        <w:pStyle w:val="Heading3"/>
      </w:pPr>
      <w:r>
        <w:rPr>
          <w:color w:val="0B1730"/>
        </w:rPr>
        <w:t xml:space="preserve">2.3.2 Widgets and the script layer</w:t>
      </w:r>
    </w:p>
    <w:p>
      <w:pPr>
        <w:pStyle w:val="ListParagraph"/>
        <w:numPr>
          <w:ilvl w:val="0"/>
          <w:numId w:val="2"/>
        </w:numPr>
        <w:spacing w:after="60" w:line="270"/>
      </w:pPr>
      <w:r>
        <w:t xml:space="preserve">Each widget has an edit affordance that binds it to a list of values from the canonical model.</w:t>
      </w:r>
    </w:p>
    <w:p>
      <w:pPr>
        <w:pStyle w:val="ListParagraph"/>
        <w:numPr>
          <w:ilvl w:val="0"/>
          <w:numId w:val="2"/>
        </w:numPr>
        <w:spacing w:after="60" w:line="270"/>
      </w:pPr>
      <w:r>
        <w:rPr>
          <w:b/>
          <w:bCs/>
        </w:rPr>
        <w:t xml:space="preserve">The script layer is the generic engine’s pressure-release valve: </w:t>
      </w:r>
      <w:r>
        <w:t xml:space="preserve">a per-widget expression (e.g. “bar chart grouped by shift”) shapes the query without a bespoke endpoint. This is deliberate — a generic product cannot ship a hundred thousand endpoints; the widget carries the logic, validated and safe-SQL-checked before it runs.</w:t>
      </w:r>
    </w:p>
    <w:p>
      <w:r>
        <w:br w:type="page"/>
      </w:r>
    </w:p>
    <w:p>
      <w:pPr>
        <w:pStyle w:val="Heading1"/>
      </w:pPr>
      <w:r>
        <w:rPr>
          <w:color w:val="0B1730"/>
        </w:rPr>
        <w:t xml:space="preserve">3 · Pillar II — The Intelligence Engine &amp; AI Assistant</w:t>
      </w:r>
    </w:p>
    <w:p>
      <w:pPr>
        <w:spacing w:after="120" w:line="276"/>
      </w:pPr>
      <w:r>
        <w:rPr>
          <w:color w:val="33485F"/>
        </w:rPr>
        <w:t xml:space="preserve">This is what makes PPIQ a new generation of plant intelligence rather than another dashboard. SOU takes AI and machine learning into manufacturing and gives the plant answers it could not see before — </w:t>
      </w:r>
      <w:r>
        <w:rPr>
          <w:b/>
          <w:bCs/>
        </w:rPr>
        <w:t xml:space="preserve">while staying scrupulously honest about what those answers are.</w:t>
      </w:r>
      <w:r>
        <w:rPr>
          <w:color w:val="33485F"/>
        </w:rPr>
        <w:t xml:space="preserve"> The discipline below is the product’s integrity, and its strongest sales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1"/>
              <w:left w:val="single" w:color="8A5A00" w:sz="24"/>
              <w:bottom w:val="single" w:color="FFF4E0" w:sz="1"/>
              <w:right w:val="single" w:color="FFF4E0" w:sz="1"/>
            </w:tcBorders>
            <w:shd w:fill="FFF4E0" w:val="clear"/>
            <w:tcMar>
              <w:top w:type="dxa" w:w="120"/>
              <w:left w:type="dxa" w:w="200"/>
              <w:bottom w:type="dxa" w:w="120"/>
              <w:right w:type="dxa" w:w="160"/>
            </w:tcMar>
          </w:tcPr>
          <w:p>
            <w:pPr>
              <w:spacing w:after="60"/>
            </w:pPr>
            <w:r>
              <w:rPr>
                <w:b/>
                <w:bCs/>
                <w:color w:val="8A5A00"/>
              </w:rPr>
              <w:t xml:space="preserve">The honesty contract — the spine of the whole pillar</w:t>
            </w:r>
          </w:p>
          <w:p>
            <w:pPr>
              <w:spacing w:after="40" w:line="264"/>
            </w:pPr>
            <w:r>
              <w:rPr>
                <w:b/>
                <w:bCs/>
              </w:rPr>
              <w:t xml:space="preserve">The brain is deterministic and in-house. </w:t>
            </w:r>
            <w:r>
              <w:t xml:space="preserve">All correlation and math are computed by transparent statistical methods PPIQ owns — never by a language model.</w:t>
            </w:r>
          </w:p>
          <w:p>
            <w:pPr>
              <w:spacing w:after="40" w:line="264"/>
            </w:pPr>
            <w:r>
              <w:rPr>
                <w:b/>
                <w:bCs/>
              </w:rPr>
              <w:t xml:space="preserve">The LLM is the voice, never the brain. </w:t>
            </w:r>
            <w:r>
              <w:t xml:space="preserve">It phrases findings that were already computed and evidence-backed. It never computes, never invents a number, never states a figure absent from a tool result or retrieved evidence.</w:t>
            </w:r>
          </w:p>
          <w:p>
            <w:pPr>
              <w:spacing w:after="40" w:line="264"/>
            </w:pPr>
            <w:r>
              <w:rPr>
                <w:b/>
                <w:bCs/>
              </w:rPr>
              <w:t xml:space="preserve">“Experience” lives in the knowledge base, not in model weights. </w:t>
            </w:r>
            <w:r>
              <w:t xml:space="preserve">Accumulated findings and cases make the assistant wiser over time; the model itself is stateless narration.</w:t>
            </w:r>
          </w:p>
          <w:p>
            <w:pPr>
              <w:spacing w:after="40" w:line="264"/>
            </w:pPr>
            <w:r>
              <w:rPr>
                <w:b/>
                <w:bCs/>
              </w:rPr>
              <w:t xml:space="preserve">Every finding is qualified. </w:t>
            </w:r>
            <w:r>
              <w:t xml:space="preserve">It carries effective sample size (by independent heat), a false-discovery-controlled q-value, an effect size, a stability flag, and a link to its evidence.</w:t>
            </w:r>
          </w:p>
          <w:p>
            <w:pPr>
              <w:spacing w:after="40" w:line="264"/>
            </w:pPr>
            <w:r>
              <w:rPr>
                <w:b/>
                <w:bCs/>
              </w:rPr>
              <w:t xml:space="preserve">Vocabulary is enforced in code. </w:t>
            </w:r>
            <w:r>
              <w:t xml:space="preserve">Forbidden at the API boundary and the UI: prediction, predicts, guaranteed root cause, AI-powered prediction, production-ready AI. Approved: suspected contributor, statistical correlation, rule-based risk scoring, evidence-based investigation.</w:t>
            </w:r>
          </w:p>
          <w:p>
            <w:pPr>
              <w:spacing w:after="40" w:line="264"/>
            </w:pPr>
            <w:r>
              <w:rPr>
                <w:b/>
                <w:bCs/>
              </w:rPr>
              <w:t xml:space="preserve">Works fully air-gapped. </w:t>
            </w:r>
            <w:r>
              <w:t xml:space="preserve">The statistical engine needs no external service; narration sits behind a provider abstraction so it can be self-hosted, and only abstracted findings ever cross an external boundary. “Runs offline; AI narration optional” is a selling point, not a limitation.</w:t>
            </w:r>
          </w:p>
        </w:tc>
      </w:tr>
    </w:tbl>
    <w:p>
      <w:pPr>
        <w:pStyle w:val="Heading2"/>
      </w:pPr>
      <w:r>
        <w:rPr>
          <w:color w:val="0A4FA0"/>
        </w:rPr>
        <w:t xml:space="preserve">3.1 The data foundation (feature store &amp; outcomes)</w:t>
      </w:r>
    </w:p>
    <w:p>
      <w:pPr>
        <w:pStyle w:val="ListParagraph"/>
        <w:numPr>
          <w:ilvl w:val="0"/>
          <w:numId w:val="2"/>
        </w:numPr>
        <w:spacing w:after="60" w:line="270"/>
      </w:pPr>
      <w:r>
        <w:rPr>
          <w:b/>
          <w:bCs/>
        </w:rPr>
        <w:t xml:space="preserve">Multi-grain feature store: </w:t>
      </w:r>
      <w:r>
        <w:t xml:space="preserve">features computed and stored at heat, strand, coil and location grain over the mapped, genealogy-joined data.</w:t>
      </w:r>
    </w:p>
    <w:p>
      <w:pPr>
        <w:pStyle w:val="ListParagraph"/>
        <w:numPr>
          <w:ilvl w:val="0"/>
          <w:numId w:val="2"/>
        </w:numPr>
        <w:spacing w:after="60" w:line="270"/>
      </w:pPr>
      <w:r>
        <w:rPr>
          <w:b/>
          <w:bCs/>
        </w:rPr>
        <w:t xml:space="preserve">Metallurgical derived features: </w:t>
      </w:r>
      <w:r>
        <w:t xml:space="preserve">e.g. carbon-equivalent, true superheat, casting-speed mean and delta, residency minutes, shift bucketing — each computed deterministically and stored with provenance.</w:t>
      </w:r>
    </w:p>
    <w:p>
      <w:pPr>
        <w:pStyle w:val="ListParagraph"/>
        <w:numPr>
          <w:ilvl w:val="0"/>
          <w:numId w:val="2"/>
        </w:numPr>
        <w:spacing w:after="60" w:line="270"/>
      </w:pPr>
      <w:r>
        <w:rPr>
          <w:b/>
          <w:bCs/>
        </w:rPr>
        <w:t xml:space="preserve">Outcome catalog: </w:t>
      </w:r>
      <w:r>
        <w:t xml:space="preserve">defect rate / class / severity / position; KPI-as-view outcomes (prime yield, energy per ton, throughput); and a cascade-downtime outcome that distinguishes equipment-stoppage from production-stoppage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8F0" w:sz="1"/>
              <w:left w:val="single" w:color="1E7F4F" w:sz="24"/>
              <w:bottom w:val="single" w:color="E8F8F0" w:sz="1"/>
              <w:right w:val="single" w:color="E8F8F0" w:sz="1"/>
            </w:tcBorders>
            <w:shd w:fill="E8F8F0" w:val="clear"/>
            <w:tcMar>
              <w:top w:type="dxa" w:w="120"/>
              <w:left w:type="dxa" w:w="200"/>
              <w:bottom w:type="dxa" w:w="120"/>
              <w:right w:type="dxa" w:w="160"/>
            </w:tcMar>
          </w:tcPr>
          <w:p>
            <w:pPr>
              <w:spacing w:after="60"/>
            </w:pPr>
            <w:r>
              <w:rPr>
                <w:b/>
                <w:bCs/>
                <w:color w:val="1E7F4F"/>
              </w:rPr>
              <w:t xml:space="preserve">Gap closed — downtime is modeled the way the plant actually behaves</w:t>
            </w:r>
          </w:p>
          <w:p>
            <w:pPr>
              <w:spacing w:after="40" w:line="264"/>
            </w:pPr>
            <w:r>
              <w:t xml:space="preserve">A twenty-minute HotStripMill stop can be absorbed by tunnel-furnace buffer and caster slow-down with zero production loss; a three-minute caster water-pump stop can force a sequence rebuild and 4–6 hours of production stoppage. The cascade-downtime outcome therefore separates equipment-stoppage minutes from production-stoppage minutes, with buffer/propagation context — otherwise every correlation about downtime would mislead.</w:t>
            </w:r>
          </w:p>
        </w:tc>
      </w:tr>
    </w:tbl>
    <w:p>
      <w:pPr>
        <w:pStyle w:val="Heading2"/>
      </w:pPr>
      <w:r>
        <w:rPr>
          <w:color w:val="0A4FA0"/>
        </w:rPr>
        <w:t xml:space="preserve">3.2 Scheduled correlation learning — the four jobs</w:t>
      </w:r>
    </w:p>
    <w:p>
      <w:pPr>
        <w:spacing w:after="120" w:line="276"/>
      </w:pPr>
      <w:r>
        <w:rPr>
          <w:color w:val="33485F"/>
        </w:rPr>
        <w:t xml:space="preserve">The engine runs scheduled learning jobs, off-hours, on a cadence the customer controls. Each sweeps every available process parameter against an outcome family and persists ranked, statistically-qualified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Job</w:t>
            </w:r>
          </w:p>
        </w:tc>
        <w:tc>
          <w:tcPr>
            <w:tcW w:type="dxa" w:w="47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Sweeps</w:t>
            </w:r>
          </w:p>
        </w:tc>
        <w:tc>
          <w:tcPr>
            <w:tcW w:type="dxa" w:w="20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Default cadence</w:t>
            </w:r>
          </w:p>
        </w:tc>
      </w:tr>
      <w:tr>
        <w:tc>
          <w:tcPr>
            <w:tcW w:type="dxa" w:w="26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Process × Defects</w:t>
            </w:r>
          </w:p>
        </w:tc>
        <w:tc>
          <w:tcPr>
            <w:tcW w:type="dxa" w:w="47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All process parameters vs every defect outcome</w:t>
            </w:r>
          </w:p>
        </w:tc>
        <w:tc>
          <w:tcPr>
            <w:tcW w:type="dxa" w:w="20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Daily, off-hours</w:t>
            </w:r>
          </w:p>
        </w:tc>
      </w:tr>
      <w:tr>
        <w:tc>
          <w:tcPr>
            <w:tcW w:type="dxa" w:w="26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Process × Downtime</w:t>
            </w:r>
          </w:p>
        </w:tc>
        <w:tc>
          <w:tcPr>
            <w:tcW w:type="dxa" w:w="47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All process parameters vs downtime (production-stoppage aware)</w:t>
            </w:r>
          </w:p>
        </w:tc>
        <w:tc>
          <w:tcPr>
            <w:tcW w:type="dxa" w:w="20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Daily, off-hours</w:t>
            </w:r>
          </w:p>
        </w:tc>
      </w:tr>
      <w:tr>
        <w:tc>
          <w:tcPr>
            <w:tcW w:type="dxa" w:w="26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Process × KPIs</w:t>
            </w:r>
          </w:p>
        </w:tc>
        <w:tc>
          <w:tcPr>
            <w:tcW w:type="dxa" w:w="47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All process parameters vs every defined KPI</w:t>
            </w:r>
          </w:p>
        </w:tc>
        <w:tc>
          <w:tcPr>
            <w:tcW w:type="dxa" w:w="20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Daily, off-hours</w:t>
            </w:r>
          </w:p>
        </w:tc>
      </w:tr>
      <w:tr>
        <w:tc>
          <w:tcPr>
            <w:tcW w:type="dxa" w:w="26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Weekly full sweep</w:t>
            </w:r>
          </w:p>
        </w:tc>
        <w:tc>
          <w:tcPr>
            <w:tcW w:type="dxa" w:w="47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The entire corpus, all families</w:t>
            </w:r>
          </w:p>
        </w:tc>
        <w:tc>
          <w:tcPr>
            <w:tcW w:type="dxa" w:w="20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Weekly</w:t>
            </w:r>
          </w:p>
        </w:tc>
      </w:tr>
    </w:tbl>
    <w:p>
      <w:pPr>
        <w:pStyle w:val="Heading3"/>
      </w:pPr>
      <w:r>
        <w:rPr>
          <w:color w:val="0B1730"/>
        </w:rPr>
        <w:t xml:space="preserve">3.2.1 Type-aware statistical methods</w:t>
      </w:r>
    </w:p>
    <w:p>
      <w:pPr>
        <w:pStyle w:val="ListParagraph"/>
        <w:numPr>
          <w:ilvl w:val="0"/>
          <w:numId w:val="2"/>
        </w:numPr>
        <w:spacing w:after="60" w:line="270"/>
      </w:pPr>
      <w:r>
        <w:t xml:space="preserve">The engine selects the correct measure by variable-pair type: Pearson (continuous–continuous, linearity-checked), Spearman (monotonic/ordinal), point-biserial (continuous–binary), chi-square with Cramér’s V (categorical–categorical), mutual information (non-linear), and Lasso for multivariate screening.</w:t>
      </w:r>
    </w:p>
    <w:p>
      <w:pPr>
        <w:pStyle w:val="Heading3"/>
      </w:pPr>
      <w:r>
        <w:rPr>
          <w:color w:val="0B1730"/>
        </w:rPr>
        <w:t xml:space="preserve">3.2.2 Statistical validity — what makes it honest</w:t>
      </w:r>
    </w:p>
    <w:p>
      <w:pPr>
        <w:pStyle w:val="ListParagraph"/>
        <w:numPr>
          <w:ilvl w:val="0"/>
          <w:numId w:val="2"/>
        </w:numPr>
        <w:spacing w:after="60" w:line="270"/>
      </w:pPr>
      <w:r>
        <w:t xml:space="preserve">Benjamini-Hochberg q-values for false-discovery control; effect-size-first ranking (not p-value theatre); statistical power; bootstrap stability; confounding and stratification checks; and variance-inflation screening for collinearity.</w:t>
      </w:r>
    </w:p>
    <w:p>
      <w:pPr>
        <w:pStyle w:val="ListParagraph"/>
        <w:numPr>
          <w:ilvl w:val="0"/>
          <w:numId w:val="2"/>
        </w:numPr>
        <w:spacing w:after="60" w:line="270"/>
      </w:pPr>
      <w:r>
        <w:t xml:space="preserve">Effective sample size is counted by independent heat unit, so a thousand correlated rows from one heat cannot masquerade as a thousand independent observations.</w:t>
      </w:r>
    </w:p>
    <w:p>
      <w:pPr>
        <w:pStyle w:val="ListParagraph"/>
        <w:numPr>
          <w:ilvl w:val="0"/>
          <w:numId w:val="2"/>
        </w:numPr>
        <w:spacing w:after="60" w:line="270"/>
      </w:pPr>
      <w:r>
        <w:rPr>
          <w:b/>
          <w:bCs/>
        </w:rPr>
        <w:t xml:space="preserve">Governance gate: </w:t>
      </w:r>
      <w:r>
        <w:t xml:space="preserve">a job refuses to run on insufficient or not-ready data and reschedules with backoff; readiness is evaluated before every run.</w:t>
      </w:r>
    </w:p>
    <w:p>
      <w:pPr>
        <w:pStyle w:val="Heading2"/>
      </w:pPr>
      <w:r>
        <w:rPr>
          <w:color w:val="0A4FA0"/>
        </w:rPr>
        <w:t xml:space="preserve">3.3 Inspection jobs → generated analysis pages</w:t>
      </w:r>
    </w:p>
    <w:p>
      <w:pPr>
        <w:spacing w:after="120" w:line="276"/>
      </w:pPr>
      <w:r>
        <w:rPr>
          <w:color w:val="33485F"/>
        </w:rPr>
        <w:t xml:space="preserve">On top of the learning engine, an operator runs an on-demand investigation and the system builds the page for them — no hardcoding.</w:t>
      </w:r>
    </w:p>
    <w:p>
      <w:pPr>
        <w:pStyle w:val="ListParagraph"/>
        <w:numPr>
          <w:ilvl w:val="0"/>
          <w:numId w:val="2"/>
        </w:numPr>
        <w:spacing w:after="60" w:line="270"/>
      </w:pPr>
      <w:r>
        <w:t xml:space="preserve">Select a defect, downtime or KPI target and a window (last week / month / year), name the inspection job, and run it.</w:t>
      </w:r>
    </w:p>
    <w:p>
      <w:pPr>
        <w:pStyle w:val="ListParagraph"/>
        <w:numPr>
          <w:ilvl w:val="0"/>
          <w:numId w:val="2"/>
        </w:numPr>
        <w:spacing w:after="60" w:line="270"/>
      </w:pPr>
      <w:r>
        <w:t xml:space="preserve">The runner executes the analysis with progress feedback and then auto-generates an analysis page of widgets and charts chosen from the result — demonstrating which parameters most influence the chosen outcome.</w:t>
      </w:r>
    </w:p>
    <w:p>
      <w:pPr>
        <w:pStyle w:val="ListParagraph"/>
        <w:numPr>
          <w:ilvl w:val="0"/>
          <w:numId w:val="2"/>
        </w:numPr>
        <w:spacing w:after="60" w:line="270"/>
      </w:pPr>
      <w:r>
        <w:t xml:space="preserve">The operator can save the page and schedule the job to re-run periodically, or run it on demand; each saved job becomes its own tab in the Correlation area.</w:t>
      </w:r>
    </w:p>
    <w:p>
      <w:pPr>
        <w:pStyle w:val="Heading2"/>
      </w:pPr>
      <w:r>
        <w:rPr>
          <w:color w:val="0A4FA0"/>
        </w:rPr>
        <w:t xml:space="preserve">3.4 The risk scorer — transparent by construction</w:t>
      </w:r>
    </w:p>
    <w:p>
      <w:pPr>
        <w:pStyle w:val="ListParagraph"/>
        <w:numPr>
          <w:ilvl w:val="0"/>
          <w:numId w:val="2"/>
        </w:numPr>
        <w:spacing w:after="60" w:line="270"/>
      </w:pPr>
      <w:r>
        <w:t xml:space="preserve">An additive risk score whose contributions decompose exactly into named, signed terms — the score is always explainable down to the contribution of each factor.</w:t>
      </w:r>
    </w:p>
    <w:p>
      <w:pPr>
        <w:pStyle w:val="ListParagraph"/>
        <w:numPr>
          <w:ilvl w:val="0"/>
          <w:numId w:val="2"/>
        </w:numPr>
        <w:spacing w:after="60" w:line="270"/>
      </w:pPr>
      <w:r>
        <w:t xml:space="preserve">Calibration and reliability are checked on data; a model registry records provenance and reproducibility so every persisted score links to the inputs and version that produced it; drift is monitored with champion/challenger promotion.</w:t>
      </w:r>
    </w:p>
    <w:p>
      <w:pPr>
        <w:pStyle w:val="Heading2"/>
      </w:pPr>
      <w:r>
        <w:rPr>
          <w:color w:val="0A4FA0"/>
        </w:rPr>
        <w:t xml:space="preserve">3.5 The AI Assistant — proactive feed + conversational agent</w:t>
      </w:r>
    </w:p>
    <w:p>
      <w:pPr>
        <w:spacing w:after="120" w:line="276"/>
      </w:pPr>
      <w:r>
        <w:rPr>
          <w:color w:val="33485F"/>
        </w:rPr>
        <w:t xml:space="preserve">This is the layer the customer experiences as “intelligence.” It has two halves, both bound by the honesty contract.</w:t>
      </w:r>
    </w:p>
    <w:p>
      <w:pPr>
        <w:pStyle w:val="Heading3"/>
      </w:pPr>
      <w:r>
        <w:rPr>
          <w:color w:val="0B1730"/>
        </w:rPr>
        <w:t xml:space="preserve">3.5.1 Proactive — Suggestions &amp; Recommendations</w:t>
      </w:r>
    </w:p>
    <w:p>
      <w:pPr>
        <w:pStyle w:val="ListParagraph"/>
        <w:numPr>
          <w:ilvl w:val="0"/>
          <w:numId w:val="2"/>
        </w:numPr>
        <w:spacing w:after="60" w:line="270"/>
      </w:pPr>
      <w:r>
        <w:t xml:space="preserve">A rule-based, evidence-linked, impact-ranked engine turns accumulated, validated findings into recommendations a plant can act on — surfaced as a proactive feed with drill-through to the evidence behind each one, and gated by license tier.</w:t>
      </w:r>
    </w:p>
    <w:p>
      <w:pPr>
        <w:pStyle w:val="Heading3"/>
      </w:pPr>
      <w:r>
        <w:rPr>
          <w:color w:val="0B1730"/>
        </w:rPr>
        <w:t xml:space="preserve">3.5.2 Conversational — the grounded RAG agent</w:t>
      </w:r>
    </w:p>
    <w:p>
      <w:pPr>
        <w:pStyle w:val="ListParagraph"/>
        <w:numPr>
          <w:ilvl w:val="0"/>
          <w:numId w:val="2"/>
        </w:numPr>
        <w:spacing w:after="60" w:line="270"/>
      </w:pPr>
      <w:r>
        <w:rPr>
          <w:b/>
          <w:bCs/>
        </w:rPr>
        <w:t xml:space="preserve">Knowledge base: </w:t>
      </w:r>
      <w:r>
        <w:t xml:space="preserve">findings, saved cases and domain documents are ingested with embeddings (behind a self-hostable embedding provider) into a vector + structured store.</w:t>
      </w:r>
    </w:p>
    <w:p>
      <w:pPr>
        <w:pStyle w:val="ListParagraph"/>
        <w:numPr>
          <w:ilvl w:val="0"/>
          <w:numId w:val="2"/>
        </w:numPr>
        <w:spacing w:after="60" w:line="270"/>
      </w:pPr>
      <w:r>
        <w:rPr>
          <w:b/>
          <w:bCs/>
        </w:rPr>
        <w:t xml:space="preserve">Hybrid retrieval: </w:t>
      </w:r>
      <w:r>
        <w:t xml:space="preserve">semantic search combined with structured filters (area, defect class, time window) selects the right evidence.</w:t>
      </w:r>
    </w:p>
    <w:p>
      <w:pPr>
        <w:pStyle w:val="ListParagraph"/>
        <w:numPr>
          <w:ilvl w:val="0"/>
          <w:numId w:val="2"/>
        </w:numPr>
        <w:spacing w:after="60" w:line="270"/>
      </w:pPr>
      <w:r>
        <w:rPr>
          <w:b/>
          <w:bCs/>
        </w:rPr>
        <w:t xml:space="preserve">Agent + tools: </w:t>
      </w:r>
      <w:r>
        <w:t xml:space="preserve">the agent may call typed tools — query findings, run an inspection, fetch a KPI, walk genealogy, compare entities — and then phrases the structured results. Every figure in an answer traces to a tool result or retrieved evidence; grounding tests enforce that it never invents one.</w:t>
      </w:r>
    </w:p>
    <w:p>
      <w:pPr>
        <w:pStyle w:val="ListParagraph"/>
        <w:numPr>
          <w:ilvl w:val="0"/>
          <w:numId w:val="2"/>
        </w:numPr>
        <w:spacing w:after="60" w:line="270"/>
      </w:pPr>
      <w:r>
        <w:rPr>
          <w:b/>
          <w:bCs/>
        </w:rPr>
        <w:t xml:space="preserve">Conversational UI: </w:t>
      </w:r>
      <w:r>
        <w:t xml:space="preserve">answers carry inline evidence citations and drill-through; an operator-feedback loop (useful / acted / dismissed, with outcomes) lets the knowledge base — the “experience” — improve.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0" w:sz="1"/>
              <w:left w:val="single" w:color="8A5A00" w:sz="24"/>
              <w:bottom w:val="single" w:color="FFF4E0" w:sz="1"/>
              <w:right w:val="single" w:color="FFF4E0" w:sz="1"/>
            </w:tcBorders>
            <w:shd w:fill="FFF4E0" w:val="clear"/>
            <w:tcMar>
              <w:top w:type="dxa" w:w="120"/>
              <w:left w:type="dxa" w:w="200"/>
              <w:bottom w:type="dxa" w:w="120"/>
              <w:right w:type="dxa" w:w="160"/>
            </w:tcMar>
          </w:tcPr>
          <w:p>
            <w:pPr>
              <w:spacing w:after="60"/>
            </w:pPr>
            <w:r>
              <w:rPr>
                <w:b/>
                <w:bCs/>
                <w:color w:val="8A5A00"/>
              </w:rPr>
              <w:t xml:space="preserve">Gap closed — what the original left undefined for the assistant</w:t>
            </w:r>
          </w:p>
          <w:p>
            <w:pPr>
              <w:spacing w:after="40" w:line="264"/>
            </w:pPr>
            <w:r>
              <w:t xml:space="preserve">The original vision said the suggestion/recommendation layer was “not yet defined.” It is now: a deterministic engine produces evidence-linked, impact-ranked suggestions, and a grounded conversational agent narrates them. The agent is explicitly the voice over the statistical brain — it orchestrates and explains the math; it does not perform it. This is the single most important remaining build, and it is specified here end-to-end.</w:t>
            </w:r>
          </w:p>
        </w:tc>
      </w:tr>
    </w:tbl>
    <w:p>
      <w:r>
        <w:br w:type="page"/>
      </w:r>
    </w:p>
    <w:p>
      <w:pPr>
        <w:pStyle w:val="Heading1"/>
      </w:pPr>
      <w:r>
        <w:rPr>
          <w:color w:val="0B1730"/>
        </w:rPr>
        <w:t xml:space="preserve">4 · Licensing &amp; Feature Tiers</w:t>
      </w:r>
    </w:p>
    <w:p>
      <w:pPr>
        <w:spacing w:after="120" w:line="276"/>
      </w:pPr>
      <w:r>
        <w:rPr>
          <w:color w:val="33485F"/>
        </w:rPr>
        <w:t xml:space="preserve">Four tiers gate functionality and scale of use. The demo must prove this live: toggling tier visibly adds or removes capability — switching Enterprise → Pro makes specific features disappear in front of the customer, an app-wide banner reflects the active tier, and a tier badge sits in the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Tier</w:t>
            </w:r>
          </w:p>
        </w:tc>
        <w:tc>
          <w:tcPr>
            <w:tcW w:type="dxa" w:w="24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Badge color (brand)</w:t>
            </w:r>
          </w:p>
        </w:tc>
        <w:tc>
          <w:tcPr>
            <w:tcW w:type="dxa" w:w="52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Intended envelope</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Lite</w:t>
            </w:r>
          </w:p>
        </w:tc>
        <w:tc>
          <w:tcPr>
            <w:tcW w:type="dxa" w:w="24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Muted Steel</w:t>
            </w:r>
          </w:p>
        </w:tc>
        <w:tc>
          <w:tcPr>
            <w:tcW w:type="dxa" w:w="52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Core data lifecycle: connect, import, basic pages &amp; widgets, Jobs Monitor</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Pro</w:t>
            </w:r>
          </w:p>
        </w:tc>
        <w:tc>
          <w:tcPr>
            <w:tcW w:type="dxa" w:w="24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Amber</w:t>
            </w:r>
          </w:p>
        </w:tc>
        <w:tc>
          <w:tcPr>
            <w:tcW w:type="dxa" w:w="52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Adds schema mapping depth, KPI authoring, the risk scorer, broader widget library</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 Plus</w:t>
            </w:r>
          </w:p>
        </w:tc>
        <w:tc>
          <w:tcPr>
            <w:tcW w:type="dxa" w:w="24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Electric Blue</w:t>
            </w:r>
          </w:p>
        </w:tc>
        <w:tc>
          <w:tcPr>
            <w:tcW w:type="dxa" w:w="52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Adds the scheduled learning engine, inspection→generated pages, proactive suggestions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Enterprise</w:t>
            </w:r>
          </w:p>
        </w:tc>
        <w:tc>
          <w:tcPr>
            <w:tcW w:type="dxa" w:w="24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Cyan Green</w:t>
            </w:r>
          </w:p>
        </w:tc>
        <w:tc>
          <w:tcPr>
            <w:tcW w:type="dxa" w:w="52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Adds the conversational assistant, multi-tenant governance, full scale, self-hostable AI</w:t>
            </w:r>
          </w:p>
        </w:tc>
      </w:tr>
    </w:tbl>
    <w:p>
      <w:pPr>
        <w:spacing w:after="120" w:line="276"/>
      </w:pPr>
      <w:r>
        <w:rPr>
          <w:b/>
          <w:bCs/>
        </w:rPr>
        <w:t xml:space="preserve">Engineering rule: </w:t>
      </w:r>
      <w:r>
        <w:rPr>
          <w:color w:val="33485F"/>
        </w:rPr>
        <w:t xml:space="preserve">tier→feature resolution is centralized and tested at its corner cases; the live toggle and override banner are real, not mocked. The exact feature-to-tier matrix is maintained alongside the License service and is the authority the UI and the API both read.</w:t>
      </w:r>
    </w:p>
    <w:p>
      <w:r>
        <w:br w:type="page"/>
      </w:r>
    </w:p>
    <w:p>
      <w:pPr>
        <w:pStyle w:val="Heading1"/>
      </w:pPr>
      <w:r>
        <w:rPr>
          <w:color w:val="0B1730"/>
        </w:rPr>
        <w:t xml:space="preserve">5 · Pillar III — Hardening &amp; Resilience</w:t>
      </w:r>
    </w:p>
    <w:p>
      <w:pPr>
        <w:spacing w:after="120" w:line="276"/>
      </w:pPr>
      <w:r>
        <w:rPr>
          <w:color w:val="33485F"/>
        </w:rPr>
        <w:t xml:space="preserve">The customer is curious and will click everything. The product must be ready for the worst case at all times. This pillar is the difference between “impressive” and “embarrassing,” and it is held to the measurable bar in Section 7.</w:t>
      </w:r>
    </w:p>
    <w:p>
      <w:pPr>
        <w:pStyle w:val="Heading2"/>
      </w:pPr>
      <w:r>
        <w:rPr>
          <w:color w:val="0A4FA0"/>
        </w:rPr>
        <w:t xml:space="preserve">5.1 Styling &amp; layout — flawless and standard</w:t>
      </w:r>
    </w:p>
    <w:p>
      <w:pPr>
        <w:pStyle w:val="ListParagraph"/>
        <w:numPr>
          <w:ilvl w:val="0"/>
          <w:numId w:val="2"/>
        </w:numPr>
        <w:spacing w:after="60" w:line="270"/>
      </w:pPr>
      <w:r>
        <w:t xml:space="preserve">Every button, table, tab and label across all current and future pages uses the standard component set and the brand styling — one canonical look, enforced by lint and contract tests, never page-by-page drift.</w:t>
      </w:r>
    </w:p>
    <w:p>
      <w:pPr>
        <w:pStyle w:val="ListParagraph"/>
        <w:numPr>
          <w:ilvl w:val="0"/>
          <w:numId w:val="2"/>
        </w:numPr>
        <w:spacing w:after="60" w:line="270"/>
      </w:pPr>
      <w:r>
        <w:t xml:space="preserve">Layout, alignment, orientation and spacing are correct, professional and consistent; drag, drop, minimize and maximize of widgets behave correctly.</w:t>
      </w:r>
    </w:p>
    <w:p>
      <w:pPr>
        <w:pStyle w:val="ListParagraph"/>
        <w:numPr>
          <w:ilvl w:val="0"/>
          <w:numId w:val="2"/>
        </w:numPr>
        <w:spacing w:after="60" w:line="270"/>
      </w:pPr>
      <w:r>
        <w:t xml:space="preserve">Every page renders correctly at every viewport, on every supported browser, over http and https, and re-flows properly — verified, not assumed.</w:t>
      </w:r>
    </w:p>
    <w:p>
      <w:pPr>
        <w:pStyle w:val="Heading2"/>
      </w:pPr>
      <w:r>
        <w:rPr>
          <w:color w:val="0A4FA0"/>
        </w:rPr>
        <w:t xml:space="preserve">5.2 Endpoints &amp; calls — never hang, never surprise</w:t>
      </w:r>
    </w:p>
    <w:p>
      <w:pPr>
        <w:pStyle w:val="ListParagraph"/>
        <w:numPr>
          <w:ilvl w:val="0"/>
          <w:numId w:val="2"/>
        </w:numPr>
        <w:spacing w:after="60" w:line="270"/>
      </w:pPr>
      <w:r>
        <w:t xml:space="preserve">No endpoint hangs or lags; anything that can exceed ~2 seconds exposes a progress percentage, and a global timeout makes an indefinite hang impossible.</w:t>
      </w:r>
    </w:p>
    <w:p>
      <w:pPr>
        <w:pStyle w:val="ListParagraph"/>
        <w:numPr>
          <w:ilvl w:val="0"/>
          <w:numId w:val="2"/>
        </w:numPr>
        <w:spacing w:after="60" w:line="270"/>
      </w:pPr>
      <w:r>
        <w:t xml:space="preserve">Every API, its SQL, its tables and joins are reviewed for failure on primary/foreign keys, nulls and timeouts — no expected failure path is left to chance.</w:t>
      </w:r>
    </w:p>
    <w:p>
      <w:pPr>
        <w:pStyle w:val="ListParagraph"/>
        <w:numPr>
          <w:ilvl w:val="0"/>
          <w:numId w:val="2"/>
        </w:numPr>
        <w:spacing w:after="60" w:line="270"/>
      </w:pPr>
      <w:r>
        <w:rPr>
          <w:b/>
          <w:bCs/>
        </w:rPr>
        <w:t xml:space="preserve">The cardinal UI rule: </w:t>
      </w:r>
      <w:r>
        <w:t xml:space="preserve">a widget or page never shows “could not be loaded.” Loading shows a skeleton or a “Refreshing…” state; failure shows a real, specific, recoverable message with retry; and the distinction between 401, 403, 500 and a network outage is surfaced honestly, never collapsed into one fake banner.</w:t>
      </w:r>
    </w:p>
    <w:p>
      <w:pPr>
        <w:pStyle w:val="Heading2"/>
      </w:pPr>
      <w:r>
        <w:rPr>
          <w:color w:val="0A4FA0"/>
        </w:rPr>
        <w:t xml:space="preserve">5.3 Functionality — every control does its job</w:t>
      </w:r>
    </w:p>
    <w:p>
      <w:pPr>
        <w:pStyle w:val="ListParagraph"/>
        <w:numPr>
          <w:ilvl w:val="0"/>
          <w:numId w:val="2"/>
        </w:numPr>
        <w:spacing w:after="60" w:line="270"/>
      </w:pPr>
      <w:r>
        <w:t xml:space="preserve">Every button, component, hook and refresh performs its exact function — min, max, calculate, load — correctly, 100% of the time. Every action on every page and sub-page, and every navigation, is exercised by the action-matrix tests.</w:t>
      </w:r>
    </w:p>
    <w:p>
      <w:pPr>
        <w:pStyle w:val="ListParagraph"/>
        <w:numPr>
          <w:ilvl w:val="0"/>
          <w:numId w:val="2"/>
        </w:numPr>
        <w:spacing w:after="60" w:line="270"/>
      </w:pPr>
      <w:r>
        <w:t xml:space="preserve">ML, correlation, suggestions and the assistant are ready and behave under the honesty contract — no misleading result, no miscalculation, no invented figure.</w:t>
      </w:r>
    </w:p>
    <w:p>
      <w:pPr>
        <w:pStyle w:val="Heading2"/>
      </w:pPr>
      <w:r>
        <w:rPr>
          <w:color w:val="0A4FA0"/>
        </w:rPr>
        <w:t xml:space="preserve">5.4 Widgets &amp; charts — including the heat map</w:t>
      </w:r>
    </w:p>
    <w:p>
      <w:pPr>
        <w:pStyle w:val="ListParagraph"/>
        <w:numPr>
          <w:ilvl w:val="0"/>
          <w:numId w:val="2"/>
        </w:numPr>
        <w:spacing w:after="60" w:line="270"/>
      </w:pPr>
      <w:r>
        <w:t xml:space="preserve">All widgets and charts are dynamic and interactive and work with filtering and sorting.</w:t>
      </w:r>
    </w:p>
    <w:p>
      <w:pPr>
        <w:pStyle w:val="ListParagraph"/>
        <w:numPr>
          <w:ilvl w:val="0"/>
          <w:numId w:val="2"/>
        </w:numPr>
        <w:spacing w:after="60" w:line="270"/>
      </w:pPr>
      <w:r>
        <w:rPr>
          <w:b/>
          <w:bCs/>
        </w:rPr>
        <w:t xml:space="preserve">The Risk-Intelligence heat map (line × shift × day) renders correctly</w:t>
      </w:r>
      <w:r>
        <w:t xml:space="preserve"> — called out explicitly because it is a signature visual and a frequent failure point; it is a first-class, tested widget.</w:t>
      </w:r>
    </w:p>
    <w:p>
      <w:r>
        <w:br w:type="page"/>
      </w:r>
    </w:p>
    <w:p>
      <w:pPr>
        <w:pStyle w:val="Heading1"/>
      </w:pPr>
      <w:r>
        <w:rPr>
          <w:color w:val="0B1730"/>
        </w:rPr>
        <w:t xml:space="preserve">6 · Pillar IV — The Demo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7FB" w:sz="1"/>
              <w:left w:val="single" w:color="0E6F86" w:sz="24"/>
              <w:bottom w:val="single" w:color="E6F7FB" w:sz="1"/>
              <w:right w:val="single" w:color="E6F7FB" w:sz="1"/>
            </w:tcBorders>
            <w:shd w:fill="E6F7FB" w:val="clear"/>
            <w:tcMar>
              <w:top w:type="dxa" w:w="120"/>
              <w:left w:type="dxa" w:w="200"/>
              <w:bottom w:type="dxa" w:w="120"/>
              <w:right w:type="dxa" w:w="160"/>
            </w:tcMar>
          </w:tcPr>
          <w:p>
            <w:pPr>
              <w:spacing w:after="60"/>
            </w:pPr>
            <w:r>
              <w:rPr>
                <w:b/>
                <w:bCs/>
                <w:color w:val="0E6F86"/>
              </w:rPr>
              <w:t xml:space="preserve">The golden rule</w:t>
            </w:r>
          </w:p>
          <w:p>
            <w:pPr>
              <w:spacing w:after="40" w:line="264"/>
            </w:pPr>
            <w:r>
              <w:rPr>
                <w:b/>
                <w:bCs/>
              </w:rPr>
              <w:t xml:space="preserve">The demo is not a separate app or an extra layer. </w:t>
            </w:r>
            <w:r>
              <w:t xml:space="preserve">It is the first release — the trial version — running on prepared data. We hardcode nothing. We prepare the source databases and the dataset, then do every DB link, every job, every page, every widget, every mapping and every KPI live from the HMI, exactly as a real customer would. If we fake a page, we fool only ourselves and we hide the bugs a real user would hit.</w:t>
            </w:r>
          </w:p>
        </w:tc>
      </w:tr>
    </w:tbl>
    <w:p>
      <w:pPr>
        <w:spacing w:after="120" w:line="276"/>
      </w:pPr>
      <w:r>
        <w:rPr>
          <w:b/>
          <w:bCs/>
        </w:rPr>
        <w:t xml:space="preserve">Reframing your phrase precisely: </w:t>
      </w:r>
      <w:r>
        <w:rPr>
          <w:color w:val="33485F"/>
        </w:rPr>
        <w:t xml:space="preserve">“a prototype to show functionality to a separate layer” means the demo dataset and the prepared source systems are a self-contained staging substrate — separate from any customer’s live systems — but the application exercising them is the real product, not a mock. The separation is in the data, never in the code path.</w:t>
      </w:r>
    </w:p>
    <w:p>
      <w:pPr>
        <w:pStyle w:val="Heading2"/>
      </w:pPr>
      <w:r>
        <w:rPr>
          <w:color w:val="0A4FA0"/>
        </w:rPr>
        <w:t xml:space="preserve">6.1 The demo dataset — realistic at scale</w:t>
      </w:r>
    </w:p>
    <w:p>
      <w:pPr>
        <w:spacing w:after="120" w:line="276"/>
      </w:pPr>
      <w:r>
        <w:rPr>
          <w:color w:val="33485F"/>
        </w:rPr>
        <w:t xml:space="preserve">A deep, realistic, professional dataset representing roughly one month of a flat-steel plant: about 21 heats/day → ~630 heats/month, ~160 t/heat, ~18 t/coil → on the order of 5,600 slabs/coils, with the full chemistry, thermal, casting, rolling, inspection and lab detail a real backup would contain.</w:t>
      </w:r>
    </w:p>
    <w:p>
      <w:pPr>
        <w:pStyle w:val="Heading2"/>
      </w:pPr>
      <w:r>
        <w:rPr>
          <w:color w:val="0A4FA0"/>
        </w:rPr>
        <w:t xml:space="preserve">6.2 The plant — the canonical flat-steel topology</w:t>
      </w:r>
    </w:p>
    <w:p>
      <w:pPr>
        <w:pStyle w:val="ListParagraph"/>
        <w:numPr>
          <w:ilvl w:val="0"/>
          <w:numId w:val="2"/>
        </w:numPr>
        <w:spacing w:after="60" w:line="270"/>
      </w:pPr>
      <w:r>
        <w:rPr>
          <w:b/>
          <w:bCs/>
        </w:rPr>
        <w:t xml:space="preserve">Line: </w:t>
      </w:r>
      <w:r>
        <w:t xml:space="preserve">EAF (1, ~160 t heat, 35–55 min) → 4× Ladle Furnace (11 rotating ladles) → thin-slab Caster (2 strands, ~5 m/min, ~56 mm × 1100–1650 mm, 8–22 t slabs) → Tunnel Furnace → HotStripMill → Skin-Pass → cut-to-length (light/heavy) &amp; slitting → Pickling → Galvanizing; 11 yards; roll shop.</w:t>
      </w:r>
    </w:p>
    <w:p>
      <w:pPr>
        <w:pStyle w:val="Heading2"/>
      </w:pPr>
      <w:r>
        <w:rPr>
          <w:color w:val="0A4FA0"/>
        </w:rPr>
        <w:t xml:space="preserve">6.3 The source systems — eight, heterogeneous, loopback-bound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Source</w:t>
            </w:r>
          </w:p>
        </w:tc>
        <w:tc>
          <w:tcPr>
            <w:tcW w:type="dxa" w:w="15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Engine</w:t>
            </w:r>
          </w:p>
        </w:tc>
        <w:tc>
          <w:tcPr>
            <w:tcW w:type="dxa" w:w="55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Carries</w:t>
            </w:r>
          </w:p>
        </w:tc>
      </w:tr>
      <w:tr>
        <w:tc>
          <w:tcPr>
            <w:tcW w:type="dxa" w:w="2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MeltShop (EAF, LF)</w:t>
            </w:r>
          </w:p>
        </w:tc>
        <w:tc>
          <w:tcPr>
            <w:tcW w:type="dxa" w:w="15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PostgreSQL</w:t>
            </w:r>
          </w:p>
        </w:tc>
        <w:tc>
          <w:tcPr>
            <w:tcW w:type="dxa" w:w="55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Equipment &amp; counters; heats summary; samples/results/components; additives; EAF steps &amp; parameters</w:t>
            </w:r>
          </w:p>
        </w:tc>
      </w:tr>
      <w:tr>
        <w:tc>
          <w:tcPr>
            <w:tcW w:type="dxa" w:w="2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Caster</w:t>
            </w:r>
          </w:p>
        </w:tc>
        <w:tc>
          <w:tcPr>
            <w:tcW w:type="dxa" w:w="15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Oracle</w:t>
            </w:r>
          </w:p>
        </w:tc>
        <w:tc>
          <w:tcPr>
            <w:tcW w:type="dxa" w:w="55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Heat/ladle/tundish/mould/sequence/strand/slab linkage; slab table; sequences; samples</w:t>
            </w:r>
          </w:p>
        </w:tc>
      </w:tr>
      <w:tr>
        <w:tc>
          <w:tcPr>
            <w:tcW w:type="dxa" w:w="2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HotStripMill</w:t>
            </w:r>
          </w:p>
        </w:tc>
        <w:tc>
          <w:tcPr>
            <w:tcW w:type="dxa" w:w="15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Oracle</w:t>
            </w:r>
          </w:p>
        </w:tc>
        <w:tc>
          <w:tcPr>
            <w:tcW w:type="dxa" w:w="55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Rolling continuation at the same depth</w:t>
            </w:r>
          </w:p>
        </w:tc>
      </w:tr>
      <w:tr>
        <w:tc>
          <w:tcPr>
            <w:tcW w:type="dxa" w:w="2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Pickling (PKL)</w:t>
            </w:r>
          </w:p>
        </w:tc>
        <w:tc>
          <w:tcPr>
            <w:tcW w:type="dxa" w:w="15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MSSQL</w:t>
            </w:r>
          </w:p>
        </w:tc>
        <w:tc>
          <w:tcPr>
            <w:tcW w:type="dxa" w:w="55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Pickling line records</w:t>
            </w:r>
          </w:p>
        </w:tc>
      </w:tr>
      <w:tr>
        <w:tc>
          <w:tcPr>
            <w:tcW w:type="dxa" w:w="2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Yard Management</w:t>
            </w:r>
          </w:p>
        </w:tc>
        <w:tc>
          <w:tcPr>
            <w:tcW w:type="dxa" w:w="15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Excel</w:t>
            </w:r>
          </w:p>
        </w:tc>
        <w:tc>
          <w:tcPr>
            <w:tcW w:type="dxa" w:w="55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Yard movements &amp; stock</w:t>
            </w:r>
          </w:p>
        </w:tc>
      </w:tr>
      <w:tr>
        <w:tc>
          <w:tcPr>
            <w:tcW w:type="dxa" w:w="2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Downtime</w:t>
            </w:r>
          </w:p>
        </w:tc>
        <w:tc>
          <w:tcPr>
            <w:tcW w:type="dxa" w:w="15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MySQL</w:t>
            </w:r>
          </w:p>
        </w:tc>
        <w:tc>
          <w:tcPr>
            <w:tcW w:type="dxa" w:w="55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Area, durations, equipment vs production stoppage, reason class &amp; description</w:t>
            </w:r>
          </w:p>
        </w:tc>
      </w:tr>
      <w:tr>
        <w:tc>
          <w:tcPr>
            <w:tcW w:type="dxa" w:w="23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Surface inspection (Parsytec)</w:t>
            </w:r>
          </w:p>
        </w:tc>
        <w:tc>
          <w:tcPr>
            <w:tcW w:type="dxa" w:w="15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MySQL</w:t>
            </w:r>
          </w:p>
        </w:tc>
        <w:tc>
          <w:tcPr>
            <w:tcW w:type="dxa" w:w="55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End-of-HSM surface defects</w:t>
            </w:r>
          </w:p>
        </w:tc>
      </w:tr>
      <w:tr>
        <w:tc>
          <w:tcPr>
            <w:tcW w:type="dxa" w:w="23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QA / Lab</w:t>
            </w:r>
          </w:p>
        </w:tc>
        <w:tc>
          <w:tcPr>
            <w:tcW w:type="dxa" w:w="15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Excel</w:t>
            </w:r>
          </w:p>
        </w:tc>
        <w:tc>
          <w:tcPr>
            <w:tcW w:type="dxa" w:w="55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Sampling (≈ every 3rd coil; up to 2/coil for critical grades)</w:t>
            </w:r>
          </w:p>
        </w:tc>
      </w:tr>
    </w:tbl>
    <w:p>
      <w:pPr>
        <w:spacing w:after="120" w:line="276"/>
      </w:pPr>
      <w:r>
        <w:rPr>
          <w:b/>
          <w:bCs/>
        </w:rPr>
        <w:t xml:space="preserve">Every demo source is bound to loopback / the internal network only</w:t>
      </w:r>
      <w:r>
        <w:rPr>
          <w:color w:val="33485F"/>
        </w:rPr>
        <w:t xml:space="preserve"> — never exposed publicly — and stood up by a dedicated compose definition with per-source seed schemas, so connecting to genuinely heterogeneous engines is part of the demonstration.</w:t>
      </w:r>
    </w:p>
    <w:p>
      <w:pPr>
        <w:pStyle w:val="Heading2"/>
      </w:pPr>
      <w:r>
        <w:rPr>
          <w:color w:val="0A4FA0"/>
        </w:rPr>
        <w:t xml:space="preserve">6.4 Storytelling, personas &amp; recovery</w:t>
      </w:r>
    </w:p>
    <w:p>
      <w:pPr>
        <w:pStyle w:val="ListParagraph"/>
        <w:numPr>
          <w:ilvl w:val="0"/>
          <w:numId w:val="2"/>
        </w:numPr>
        <w:spacing w:after="60" w:line="270"/>
      </w:pPr>
      <w:r>
        <w:t xml:space="preserve">Persona accounts (Operator, QA Lead, Plant Manager, Admin) with scoped views; a 25-step technical script with verification points; a 5-minute executive script with a talk track; and pre-written recovery lines for known fail-points so a hiccup is handled with composure.</w:t>
      </w:r>
    </w:p>
    <w:p>
      <w:pPr>
        <w:pStyle w:val="ListParagraph"/>
        <w:numPr>
          <w:ilvl w:val="0"/>
          <w:numId w:val="2"/>
        </w:numPr>
        <w:spacing w:after="60" w:line="270"/>
      </w:pPr>
      <w:r>
        <w:t xml:space="preserve">A recorded dry-run and captured screenshots feed the website (Pillar V) and de-risk the live session.</w:t>
      </w:r>
    </w:p>
    <w:p>
      <w:r>
        <w:br w:type="page"/>
      </w:r>
    </w:p>
    <w:p>
      <w:pPr>
        <w:pStyle w:val="Heading1"/>
      </w:pPr>
      <w:r>
        <w:rPr>
          <w:color w:val="0B1730"/>
        </w:rPr>
        <w:t xml:space="preserve">7 · Pillar V — The Website (First &amp; Best Salesperson)</w:t>
      </w:r>
    </w:p>
    <w:p>
      <w:pPr>
        <w:spacing w:after="120" w:line="276"/>
      </w:pPr>
      <w:r>
        <w:rPr>
          <w:color w:val="33485F"/>
        </w:rPr>
        <w:t xml:space="preserve">Before any deep look at the app, the customer meets the website. It must be shiny, on-brand, advanced and professional, with amazing UX — the first and best salesperson, engineered to make a visitor want to buy and request an inquiry.</w:t>
      </w:r>
    </w:p>
    <w:p>
      <w:pPr>
        <w:pStyle w:val="Heading2"/>
      </w:pPr>
      <w:r>
        <w:rPr>
          <w:color w:val="0A4FA0"/>
        </w:rPr>
        <w:t xml:space="preserve">7.1 Brand identity (shared across website, app and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Token</w:t>
            </w:r>
          </w:p>
        </w:tc>
        <w:tc>
          <w:tcPr>
            <w:tcW w:type="dxa" w:w="74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Value</w:t>
            </w:r>
          </w:p>
        </w:tc>
      </w:tr>
      <w:tr>
        <w:tc>
          <w:tcPr>
            <w:tcW w:type="dxa" w:w="1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Name / short</w:t>
            </w:r>
          </w:p>
        </w:tc>
        <w:tc>
          <w:tcPr>
            <w:tcW w:type="dxa" w:w="7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PlantProcess IQ · PPIQ — by SOU</w:t>
            </w:r>
          </w:p>
        </w:tc>
      </w:tr>
      <w:tr>
        <w:tc>
          <w:tcPr>
            <w:tcW w:type="dxa" w:w="1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Primary tagline</w:t>
            </w:r>
          </w:p>
        </w:tc>
        <w:tc>
          <w:tcPr>
            <w:tcW w:type="dxa" w:w="7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Connect Your Plant Data. Understand Your Process.</w:t>
            </w:r>
          </w:p>
        </w:tc>
      </w:tr>
      <w:tr>
        <w:tc>
          <w:tcPr>
            <w:tcW w:type="dxa" w:w="1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Secondary</w:t>
            </w:r>
          </w:p>
        </w:tc>
        <w:tc>
          <w:tcPr>
            <w:tcW w:type="dxa" w:w="7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Process-to-quality intelligence for manufacturing plants.</w:t>
            </w:r>
          </w:p>
        </w:tc>
      </w:tr>
      <w:tr>
        <w:tc>
          <w:tcPr>
            <w:tcW w:type="dxa" w:w="1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Personality</w:t>
            </w:r>
          </w:p>
        </w:tc>
        <w:tc>
          <w:tcPr>
            <w:tcW w:type="dxa" w:w="7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Industrial, intelligent, trusted, technical, calm, evidence-based — plant operations + data science, not flashy consumer AI</w:t>
            </w:r>
          </w:p>
        </w:tc>
      </w:tr>
      <w:tr>
        <w:tc>
          <w:tcPr>
            <w:tcW w:type="dxa" w:w="1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Palette</w:t>
            </w:r>
          </w:p>
        </w:tc>
        <w:tc>
          <w:tcPr>
            <w:tcW w:type="dxa" w:w="7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Deep Navy Black #050B18 · Panel Navy #0B1730 · Industrial Blue #102A43 · Electric Blue #0A84FF · Electric Cyan #00D4FF · Cyan Green #2CE6A2 · Amber #FFB020 · Hot Red #FF4D6D · Near-White #EAF6FF · Muted Steel #8EA7C1</w:t>
            </w:r>
          </w:p>
        </w:tc>
      </w:tr>
      <w:tr>
        <w:tc>
          <w:tcPr>
            <w:tcW w:type="dxa" w:w="19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Type</w:t>
            </w:r>
          </w:p>
        </w:tc>
        <w:tc>
          <w:tcPr>
            <w:tcW w:type="dxa" w:w="7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Inter (UI) · JetBrains Mono (SQL/code); H1–H5 48/36/28/20/16 web, 24/18/14/12 app; min 14px web, 12pt PDF</w:t>
            </w:r>
          </w:p>
        </w:tc>
      </w:tr>
      <w:tr>
        <w:tc>
          <w:tcPr>
            <w:tcW w:type="dxa" w:w="19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Logo</w:t>
            </w:r>
          </w:p>
        </w:tc>
        <w:tc>
          <w:tcPr>
            <w:tcW w:type="dxa" w:w="7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Connected-node / circuit genealogy mark — 4–6 nodes, one dominant central node; Electric Cyan on Deep Navy; never steel-only imagery; works for aluminum, pharma, paper, automotive too</w:t>
            </w:r>
          </w:p>
        </w:tc>
      </w:tr>
    </w:tbl>
    <w:p>
      <w:pPr>
        <w:pStyle w:val="Heading2"/>
      </w:pPr>
      <w:r>
        <w:rPr>
          <w:color w:val="0A4FA0"/>
        </w:rPr>
        <w:t xml:space="preserve">7.2 The five products</w:t>
      </w:r>
    </w:p>
    <w:p>
      <w:pPr>
        <w:spacing w:after="120" w:line="276"/>
      </w:pPr>
      <w:r>
        <w:rPr>
          <w:color w:val="33485F"/>
        </w:rPr>
        <w:t xml:space="preserve">Each product gets a full page — description, benefit, interactive graphics and imagery, license detail — and each obeys the golden rule of making the visitor want to buy.</w:t>
      </w:r>
    </w:p>
    <w:p>
      <w:pPr>
        <w:pStyle w:val="ListParagraph"/>
        <w:numPr>
          <w:ilvl w:val="0"/>
          <w:numId w:val="3"/>
        </w:numPr>
        <w:spacing w:after="60" w:line="270"/>
      </w:pPr>
      <w:r>
        <w:rPr>
          <w:b/>
          <w:bCs/>
        </w:rPr>
        <w:t xml:space="preserve">PlantProcess IQ — </w:t>
      </w:r>
      <w:r>
        <w:t xml:space="preserve">the flagship; feature the AI assistant and the honest intelligence story.</w:t>
      </w:r>
    </w:p>
    <w:p>
      <w:pPr>
        <w:pStyle w:val="ListParagraph"/>
        <w:numPr>
          <w:ilvl w:val="0"/>
          <w:numId w:val="3"/>
        </w:numPr>
        <w:spacing w:after="60" w:line="270"/>
      </w:pPr>
      <w:r>
        <w:rPr>
          <w:b/>
          <w:bCs/>
        </w:rPr>
        <w:t xml:space="preserve">MES — </w:t>
      </w:r>
      <w:r>
        <w:t xml:space="preserve">manufacturing execution system.</w:t>
      </w:r>
    </w:p>
    <w:p>
      <w:pPr>
        <w:pStyle w:val="ListParagraph"/>
        <w:numPr>
          <w:ilvl w:val="0"/>
          <w:numId w:val="3"/>
        </w:numPr>
        <w:spacing w:after="60" w:line="270"/>
      </w:pPr>
      <w:r>
        <w:rPr>
          <w:b/>
          <w:bCs/>
        </w:rPr>
        <w:t xml:space="preserve">QES — </w:t>
      </w:r>
      <w:r>
        <w:t xml:space="preserve">quality execution system.</w:t>
      </w:r>
    </w:p>
    <w:p>
      <w:pPr>
        <w:pStyle w:val="ListParagraph"/>
        <w:numPr>
          <w:ilvl w:val="0"/>
          <w:numId w:val="3"/>
        </w:numPr>
        <w:spacing w:after="60" w:line="270"/>
      </w:pPr>
      <w:r>
        <w:rPr>
          <w:b/>
          <w:bCs/>
        </w:rPr>
        <w:t xml:space="preserve">Yard &amp; Warehouse Management.</w:t>
      </w:r>
    </w:p>
    <w:p>
      <w:pPr>
        <w:pStyle w:val="ListParagraph"/>
        <w:numPr>
          <w:ilvl w:val="0"/>
          <w:numId w:val="3"/>
        </w:numPr>
        <w:spacing w:after="60" w:line="270"/>
      </w:pPr>
      <w:r>
        <w:rPr>
          <w:b/>
          <w:bCs/>
        </w:rPr>
        <w:t xml:space="preserve">Energy Management.</w:t>
      </w:r>
    </w:p>
    <w:p>
      <w:pPr>
        <w:pStyle w:val="Heading2"/>
      </w:pPr>
      <w:r>
        <w:rPr>
          <w:color w:val="0A4FA0"/>
        </w:rPr>
        <w:t xml:space="preserve">7.3 Conversion &amp; language discipline</w:t>
      </w:r>
    </w:p>
    <w:p>
      <w:pPr>
        <w:pStyle w:val="ListParagraph"/>
        <w:numPr>
          <w:ilvl w:val="0"/>
          <w:numId w:val="2"/>
        </w:numPr>
        <w:spacing w:after="60" w:line="270"/>
      </w:pPr>
      <w:r>
        <w:t xml:space="preserve">Pricing and CTA wired to lead capture and the demo lifecycle; evidence-grade screenshots and case-study snippets; a brand-consistency audit across app, website and reports.</w:t>
      </w:r>
    </w:p>
    <w:p>
      <w:pPr>
        <w:pStyle w:val="ListParagraph"/>
        <w:numPr>
          <w:ilvl w:val="0"/>
          <w:numId w:val="2"/>
        </w:numPr>
        <w:spacing w:after="60" w:line="270"/>
      </w:pPr>
      <w:r>
        <w:rPr>
          <w:b/>
          <w:bCs/>
        </w:rPr>
        <w:t xml:space="preserve">The same honesty language governs the website: </w:t>
      </w:r>
      <w:r>
        <w:t xml:space="preserve">rule-based risk scoring, correlation analysis, suspected contributor, read-only intelligence layer — never guaranteed root cause or production-ready AI, and never “we replace MES/L2/SCADA/BI.”</w:t>
      </w:r>
    </w:p>
    <w:p>
      <w:r>
        <w:br w:type="page"/>
      </w:r>
    </w:p>
    <w:p>
      <w:pPr>
        <w:pStyle w:val="Heading1"/>
      </w:pPr>
      <w:r>
        <w:rPr>
          <w:color w:val="0B1730"/>
        </w:rPr>
        <w:t xml:space="preserve">8 · The Zero-Defect Quality Bar</w:t>
      </w:r>
    </w:p>
    <w:p>
      <w:pPr>
        <w:spacing w:after="120" w:line="276"/>
      </w:pPr>
      <w:r>
        <w:rPr>
          <w:color w:val="33485F"/>
        </w:rPr>
        <w:t xml:space="preserve">Your requirement — not a single error, bug, port problem, broken tab or button, dead heat map, bad styling, bad data, wrong result, miscalculation, or misleading AISC/correlation output — is restated here as measurable acceptance criteria. “Done” means every row below is demonstrably true; coverage is proven by enumeration, not by a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Class</w:t>
            </w:r>
          </w:p>
        </w:tc>
        <w:tc>
          <w:tcPr>
            <w:tcW w:type="dxa" w:w="42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The bar</w:t>
            </w:r>
          </w:p>
        </w:tc>
        <w:tc>
          <w:tcPr>
            <w:tcW w:type="dxa" w:w="34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How it is proven</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Build &amp; start</w:t>
            </w:r>
          </w:p>
        </w:tc>
        <w:tc>
          <w:tcPr>
            <w:tcW w:type="dxa" w:w="4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CI is green end-to-end; a fresh machine reaches a working login with no manual fix-ups</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Gating CI; reproducible bootstrap; startup config validation</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Authentication</w:t>
            </w:r>
          </w:p>
        </w:tc>
        <w:tc>
          <w:tcPr>
            <w:tcW w:type="dxa" w:w="42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Login is deterministic for every persona; 401/403/500/network are distinguished; no retry storm</w:t>
            </w:r>
          </w:p>
        </w:tc>
        <w:tc>
          <w:tcPr>
            <w:tcW w:type="dxa" w:w="3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API gate-matrix tests; bounded-retry unit tests</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Ports &amp; process</w:t>
            </w:r>
          </w:p>
        </w:tc>
        <w:tc>
          <w:tcPr>
            <w:tcW w:type="dxa" w:w="4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 “port in use” / stale-process failure; the listener is provably replaced on restart</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Kill-by-port tooling that prints the fresh PID/StartTime</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Endpoints</w:t>
            </w:r>
          </w:p>
        </w:tc>
        <w:tc>
          <w:tcPr>
            <w:tcW w:type="dxa" w:w="42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No hang; &gt;2s shows progress; every endpoint authorized correctly; errors are RFC-7807</w:t>
            </w:r>
          </w:p>
        </w:tc>
        <w:tc>
          <w:tcPr>
            <w:tcW w:type="dxa" w:w="3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Perf thresholds; 3-identity authz matrix; contract tests</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HMI / styling</w:t>
            </w:r>
          </w:p>
        </w:tc>
        <w:tc>
          <w:tcPr>
            <w:tcW w:type="dxa" w:w="4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Standard components everywhere; correct on every viewport/browser/http(s); no drift</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Lint + Standard* contract tests; responsive/cross-browser e2e</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Controls</w:t>
            </w:r>
          </w:p>
        </w:tc>
        <w:tc>
          <w:tcPr>
            <w:tcW w:type="dxa" w:w="42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Every button/tab/hook does its exact job; every action on every page tested</w:t>
            </w:r>
          </w:p>
        </w:tc>
        <w:tc>
          <w:tcPr>
            <w:tcW w:type="dxa" w:w="3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Action-matrix e2e across all pages incl. ML &amp; page builder</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Widgets / heat map</w:t>
            </w:r>
          </w:p>
        </w:tc>
        <w:tc>
          <w:tcPr>
            <w:tcW w:type="dxa" w:w="4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All charts interactive with filter/sort; the heat map renders</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Widget e2e; a dedicated heat-map test</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Data fidelity</w:t>
            </w:r>
          </w:p>
        </w:tc>
        <w:tc>
          <w:tcPr>
            <w:tcW w:type="dxa" w:w="42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Imports faithful; delta resumes with zero duplicates; schema drift surfaced</w:t>
            </w:r>
          </w:p>
        </w:tc>
        <w:tc>
          <w:tcPr>
            <w:tcW w:type="dxa" w:w="3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Connector + delta-import integration tests on real Postgres</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Results &amp; math</w:t>
            </w:r>
          </w:p>
        </w:tc>
        <w:tc>
          <w:tcPr>
            <w:tcW w:type="dxa" w:w="4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Risk score decomposes exactly; features match hand-computed values</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Unit tests on known vectors; golden-dataset checks</w:t>
            </w:r>
          </w:p>
        </w:tc>
      </w:tr>
      <w:tr>
        <w:tc>
          <w:tcPr>
            <w:tcW w:type="dxa" w:w="1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AI / correlation honesty</w:t>
            </w:r>
          </w:p>
        </w:tc>
        <w:tc>
          <w:tcPr>
            <w:tcW w:type="dxa" w:w="42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Findings recovered correctly; spurious rejected under FDR; no forbidden claim; no invented number</w:t>
            </w:r>
          </w:p>
        </w:tc>
        <w:tc>
          <w:tcPr>
            <w:tcW w:type="dxa" w:w="34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ML integration tests; honesty-contract tests; grounding tests</w:t>
            </w:r>
          </w:p>
        </w:tc>
      </w:tr>
      <w:tr>
        <w:tc>
          <w:tcPr>
            <w:tcW w:type="dxa" w:w="1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No fake failure</w:t>
            </w:r>
          </w:p>
        </w:tc>
        <w:tc>
          <w:tcPr>
            <w:tcW w:type="dxa" w:w="42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“Could not be loaded” never appears; loading/error states are real &amp; recoverable</w:t>
            </w:r>
          </w:p>
        </w:tc>
        <w:tc>
          <w:tcPr>
            <w:tcW w:type="dxa" w:w="34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Forbidden-phrase guard (lint + e2e); DataFetchBoundary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1"/>
              <w:left w:val="single" w:color="0A4FA0" w:sz="24"/>
              <w:bottom w:val="single" w:color="EAF1F8" w:sz="1"/>
              <w:right w:val="single" w:color="EAF1F8" w:sz="1"/>
            </w:tcBorders>
            <w:shd w:fill="EAF1F8" w:val="clear"/>
            <w:tcMar>
              <w:top w:type="dxa" w:w="120"/>
              <w:left w:type="dxa" w:w="200"/>
              <w:bottom w:type="dxa" w:w="120"/>
              <w:right w:type="dxa" w:w="160"/>
            </w:tcMar>
          </w:tcPr>
          <w:p>
            <w:pPr>
              <w:spacing w:after="60"/>
            </w:pPr>
            <w:r>
              <w:rPr>
                <w:b/>
                <w:bCs/>
                <w:color w:val="0A4FA0"/>
              </w:rPr>
              <w:t xml:space="preserve">Trust is the product</w:t>
            </w:r>
          </w:p>
          <w:p>
            <w:pPr>
              <w:spacing w:after="40" w:line="264"/>
            </w:pPr>
            <w:r>
              <w:t xml:space="preserve">Everything above ladders up to one promise: a customer can lean on PPIQ’s data, its math, its AI, and its UI without being surprised. The test foundation (a trustworthy, behaviour-true suite that gates regressions, with an enumerated test matrix and first-class performance and honesty groups) is what makes this bar real rather than rhetorical — it is the prerequisite for every other claim in this document.</w:t>
            </w:r>
          </w:p>
        </w:tc>
      </w:tr>
    </w:tbl>
    <w:p>
      <w:r>
        <w:br w:type="page"/>
      </w:r>
    </w:p>
    <w:p>
      <w:pPr>
        <w:pStyle w:val="Heading1"/>
      </w:pPr>
      <w:r>
        <w:rPr>
          <w:color w:val="0B1730"/>
        </w:rPr>
        <w:t xml:space="preserve">9 · Gap Closure — Every Open Question, Answered</w:t>
      </w:r>
    </w:p>
    <w:p>
      <w:pPr>
        <w:spacing w:after="120" w:line="276"/>
      </w:pPr>
      <w:r>
        <w:rPr>
          <w:color w:val="33485F"/>
        </w:rPr>
        <w:t xml:space="preserve">Where the original vision was tentative, this version is definite. Each row names the original gap and the decision that closes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Original open point</w:t>
            </w:r>
          </w:p>
        </w:tc>
        <w:tc>
          <w:tcPr>
            <w:tcW w:type="dxa" w:w="5660"/>
            <w:tcBorders>
              <w:top w:val="single" w:color="C9D6E3" w:sz="1"/>
              <w:left w:val="single" w:color="C9D6E3" w:sz="1"/>
              <w:bottom w:val="single" w:color="C9D6E3" w:sz="1"/>
              <w:right w:val="single" w:color="C9D6E3" w:sz="1"/>
            </w:tcBorders>
            <w:shd w:fill="102A43" w:val="clear"/>
            <w:tcMar>
              <w:top w:type="dxa" w:w="70"/>
              <w:left w:type="dxa" w:w="110"/>
              <w:bottom w:type="dxa" w:w="70"/>
              <w:right w:type="dxa" w:w="110"/>
            </w:tcMar>
          </w:tcPr>
          <w:p>
            <w:r>
              <w:rPr>
                <w:b/>
                <w:bCs/>
                <w:color w:val="FFFFFF"/>
                <w:sz w:val="19"/>
                <w:szCs w:val="19"/>
              </w:rPr>
              <w:t xml:space="preserve">Decision in v2</w:t>
            </w:r>
          </w:p>
        </w:tc>
      </w:tr>
      <w:tr>
        <w:tc>
          <w:tcPr>
            <w:tcW w:type="dxa" w:w="3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“I don’t yet have a full vision how mapping/configuration could be done”</w:t>
            </w:r>
          </w:p>
        </w:tc>
        <w:tc>
          <w:tcPr>
            <w:tcW w:type="dxa" w:w="5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Specified as an advanced generic mapping engine: HMI-authored views/queries, cross-engine joins on business keys, KPIs-as-views, typed resolver errors, second-pass safe-SQL validation (§2.2.4) and a derived genealogy spine (§2.2.5).</w:t>
            </w:r>
          </w:p>
        </w:tc>
      </w:tr>
      <w:tr>
        <w:tc>
          <w:tcPr>
            <w:tcW w:type="dxa" w:w="3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Suggestion/recommendation layer “not yet defined”</w:t>
            </w:r>
          </w:p>
        </w:tc>
        <w:tc>
          <w:tcPr>
            <w:tcW w:type="dxa" w:w="5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A deterministic, evidence-linked, impact-ranked suggestion engine plus a grounded conversational agent that narrates findings under the honesty contract (§3.5).</w:t>
            </w:r>
          </w:p>
        </w:tc>
      </w:tr>
      <w:tr>
        <w:tc>
          <w:tcPr>
            <w:tcW w:type="dxa" w:w="3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How the assistant relates to the math</w:t>
            </w:r>
          </w:p>
        </w:tc>
        <w:tc>
          <w:tcPr>
            <w:tcW w:type="dxa" w:w="5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The assistant is the voice over a deterministic statistical brain: it calls typed tools and phrases their results; it never computes or invents (§3.5.2).</w:t>
            </w:r>
          </w:p>
        </w:tc>
      </w:tr>
      <w:tr>
        <w:tc>
          <w:tcPr>
            <w:tcW w:type="dxa" w:w="3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Downtime semantics</w:t>
            </w:r>
          </w:p>
        </w:tc>
        <w:tc>
          <w:tcPr>
            <w:tcW w:type="dxa" w:w="5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Equipment-stoppage vs production-stoppage minutes are modeled separately with buffer/cascade context (§3.1).</w:t>
            </w:r>
          </w:p>
        </w:tc>
      </w:tr>
      <w:tr>
        <w:tc>
          <w:tcPr>
            <w:tcW w:type="dxa" w:w="3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Demo vs product boundary</w:t>
            </w:r>
          </w:p>
        </w:tc>
        <w:tc>
          <w:tcPr>
            <w:tcW w:type="dxa" w:w="5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The demo is the real product on a separate data/source substrate; nothing in the code path is faked (§6).</w:t>
            </w:r>
          </w:p>
        </w:tc>
      </w:tr>
      <w:tr>
        <w:tc>
          <w:tcPr>
            <w:tcW w:type="dxa" w:w="3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Scheduling of learning</w:t>
            </w:r>
          </w:p>
        </w:tc>
        <w:tc>
          <w:tcPr>
            <w:tcW w:type="dxa" w:w="5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Four named jobs on customer-controlled off-hours cadence, governed by readiness gates and backoff (§3.2).</w:t>
            </w:r>
          </w:p>
        </w:tc>
      </w:tr>
      <w:tr>
        <w:tc>
          <w:tcPr>
            <w:tcW w:type="dxa" w:w="370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Pages as code vs data</w:t>
            </w:r>
          </w:p>
        </w:tc>
        <w:tc>
          <w:tcPr>
            <w:tcW w:type="dxa" w:w="5660"/>
            <w:tcBorders>
              <w:top w:val="single" w:color="C9D6E3" w:sz="1"/>
              <w:left w:val="single" w:color="C9D6E3" w:sz="1"/>
              <w:bottom w:val="single" w:color="C9D6E3" w:sz="1"/>
              <w:right w:val="single" w:color="C9D6E3" w:sz="1"/>
            </w:tcBorders>
            <w:shd w:fill="FFFFFF" w:val="clear"/>
            <w:tcMar>
              <w:top w:type="dxa" w:w="60"/>
              <w:left w:type="dxa" w:w="110"/>
              <w:bottom w:type="dxa" w:w="60"/>
              <w:right w:type="dxa" w:w="110"/>
            </w:tcMar>
          </w:tcPr>
          <w:p>
            <w:pPr>
              <w:spacing w:line="256"/>
            </w:pPr>
            <w:r>
              <w:rPr>
                <w:sz w:val="19"/>
                <w:szCs w:val="19"/>
              </w:rPr>
              <w:t xml:space="preserve">Pages are persisted Page Definitions rendered generically; the demo proves they are user-created (§2.3.1).</w:t>
            </w:r>
          </w:p>
        </w:tc>
      </w:tr>
      <w:tr>
        <w:tc>
          <w:tcPr>
            <w:tcW w:type="dxa" w:w="370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Operational fragility (login/ports/deploy)</w:t>
            </w:r>
          </w:p>
        </w:tc>
        <w:tc>
          <w:tcPr>
            <w:tcW w:type="dxa" w:w="5660"/>
            <w:tcBorders>
              <w:top w:val="single" w:color="C9D6E3" w:sz="1"/>
              <w:left w:val="single" w:color="C9D6E3" w:sz="1"/>
              <w:bottom w:val="single" w:color="C9D6E3" w:sz="1"/>
              <w:right w:val="single" w:color="C9D6E3" w:sz="1"/>
            </w:tcBorders>
            <w:shd w:fill="F2F6FA" w:val="clear"/>
            <w:tcMar>
              <w:top w:type="dxa" w:w="60"/>
              <w:left w:type="dxa" w:w="110"/>
              <w:bottom w:type="dxa" w:w="60"/>
              <w:right w:type="dxa" w:w="110"/>
            </w:tcMar>
          </w:tcPr>
          <w:p>
            <w:pPr>
              <w:spacing w:line="256"/>
            </w:pPr>
            <w:r>
              <w:rPr>
                <w:sz w:val="19"/>
                <w:szCs w:val="19"/>
              </w:rPr>
              <w:t xml:space="preserve">Hardened into explicit rules and tests (§10), because that is where polished products quietly fail.</w:t>
            </w:r>
          </w:p>
        </w:tc>
      </w:tr>
    </w:tbl>
    <w:p>
      <w:r>
        <w:br w:type="page"/>
      </w:r>
    </w:p>
    <w:p>
      <w:pPr>
        <w:pStyle w:val="Heading1"/>
      </w:pPr>
      <w:r>
        <w:rPr>
          <w:color w:val="0B1730"/>
        </w:rPr>
        <w:t xml:space="preserve">10 · Operational Doctrine — Local, Server &amp; Deploy Parity</w:t>
      </w:r>
    </w:p>
    <w:p>
      <w:pPr>
        <w:spacing w:after="120" w:line="276"/>
      </w:pPr>
      <w:r>
        <w:rPr>
          <w:color w:val="33485F"/>
        </w:rPr>
        <w:t xml:space="preserve">A faultless demo dies on a credential mismatch or a stale process. These rules exist because each one has already bitten, and each is now closed by configuration and test rather than memory.</w:t>
      </w:r>
    </w:p>
    <w:p>
      <w:pPr>
        <w:pStyle w:val="Heading2"/>
      </w:pPr>
      <w:r>
        <w:rPr>
          <w:color w:val="0A4FA0"/>
        </w:rPr>
        <w:t xml:space="preserve">10.1 Authentication &amp; configuration</w:t>
      </w:r>
    </w:p>
    <w:p>
      <w:pPr>
        <w:pStyle w:val="ListParagraph"/>
        <w:numPr>
          <w:ilvl w:val="0"/>
          <w:numId w:val="2"/>
        </w:numPr>
        <w:spacing w:after="60" w:line="270"/>
      </w:pPr>
      <w:r>
        <w:t xml:space="preserve">Auth binds from the canonical configuration section only; legacy/plain keys are rejected at startup with a helpful message — there is no silent fallback.</w:t>
      </w:r>
    </w:p>
    <w:p>
      <w:pPr>
        <w:pStyle w:val="ListParagraph"/>
        <w:numPr>
          <w:ilvl w:val="0"/>
          <w:numId w:val="2"/>
        </w:numPr>
        <w:spacing w:after="60" w:line="270"/>
      </w:pPr>
      <w:r>
        <w:t xml:space="preserve">A startup validator logs, once, which section it bound from, the resolved user count, whether the signing key is present and long enough, and whether any real-admin password collides with the bootstrap password — turning two former silent failures into a loud signal.</w:t>
      </w:r>
    </w:p>
    <w:p>
      <w:pPr>
        <w:pStyle w:val="ListParagraph"/>
        <w:numPr>
          <w:ilvl w:val="0"/>
          <w:numId w:val="2"/>
        </w:numPr>
        <w:spacing w:after="60" w:line="270"/>
      </w:pPr>
      <w:r>
        <w:t xml:space="preserve">In production the bootstrap admin must be a disabled sentinel and a real admin must exist; dev/default secrets fail fast under a production environment.</w:t>
      </w:r>
    </w:p>
    <w:p>
      <w:pPr>
        <w:pStyle w:val="Heading2"/>
      </w:pPr>
      <w:r>
        <w:rPr>
          <w:color w:val="0A4FA0"/>
        </w:rPr>
        <w:t xml:space="preserve">10.2 Ports &amp; process</w:t>
      </w:r>
    </w:p>
    <w:p>
      <w:pPr>
        <w:pStyle w:val="ListParagraph"/>
        <w:numPr>
          <w:ilvl w:val="0"/>
          <w:numId w:val="2"/>
        </w:numPr>
        <w:spacing w:after="60" w:line="270"/>
      </w:pPr>
      <w:r>
        <w:t xml:space="preserve">Stop/relaunch frees the port by its owning process (not by process name), and prints the fresh PID and start time so a restart is provably a new process — the failure mode where “changes don’t take” because a stale listener answers is eliminated.</w:t>
      </w:r>
    </w:p>
    <w:p>
      <w:pPr>
        <w:pStyle w:val="Heading2"/>
      </w:pPr>
      <w:r>
        <w:rPr>
          <w:color w:val="0A4FA0"/>
        </w:rPr>
        <w:t xml:space="preserve">10.3 Local ↔ server parity</w:t>
      </w:r>
    </w:p>
    <w:p>
      <w:pPr>
        <w:pStyle w:val="ListParagraph"/>
        <w:numPr>
          <w:ilvl w:val="0"/>
          <w:numId w:val="2"/>
        </w:numPr>
        <w:spacing w:after="60" w:line="270"/>
      </w:pPr>
      <w:r>
        <w:t xml:space="preserve">The same environment contract governs both: the API base URL, the auth section keys, the smoke credentials that the auto-login uses, and the database host (a compose service name on the server) are defined once and verified, so “works on my machine” and “works on the server” are the same statement.</w:t>
      </w:r>
    </w:p>
    <w:p>
      <w:pPr>
        <w:pStyle w:val="ListParagraph"/>
        <w:numPr>
          <w:ilvl w:val="0"/>
          <w:numId w:val="2"/>
        </w:numPr>
        <w:spacing w:after="60" w:line="270"/>
      </w:pPr>
      <w:r>
        <w:t xml:space="preserve">Database migrations apply automatically at startup and the full ordered script set applies cleanly under fail-on-error on a fresh database and on a staging clone, BOM-free.</w:t>
      </w:r>
    </w:p>
    <w:p>
      <w:pPr>
        <w:pStyle w:val="Heading2"/>
      </w:pPr>
      <w:r>
        <w:rPr>
          <w:color w:val="0A4FA0"/>
        </w:rPr>
        <w:t xml:space="preserve">10.4 Network exposure</w:t>
      </w:r>
    </w:p>
    <w:p>
      <w:pPr>
        <w:pStyle w:val="ListParagraph"/>
        <w:numPr>
          <w:ilvl w:val="0"/>
          <w:numId w:val="2"/>
        </w:numPr>
        <w:spacing w:after="60" w:line="270"/>
      </w:pPr>
      <w:r>
        <w:t xml:space="preserve">No database or internal service is reachable from the public internet; only the web entrypoints are. Exposure is verified by an external scan, and credentials are rotated if they were ever exposed.</w:t>
      </w:r>
    </w:p>
    <w:p>
      <w:r>
        <w:br w:type="page"/>
      </w:r>
    </w:p>
    <w:p>
      <w:pPr>
        <w:pStyle w:val="Heading1"/>
      </w:pPr>
      <w:r>
        <w:rPr>
          <w:color w:val="0B1730"/>
        </w:rPr>
        <w:t xml:space="preserve">11 · Operating Principles</w:t>
      </w:r>
    </w:p>
    <w:p>
      <w:pPr>
        <w:spacing w:after="120" w:line="276"/>
      </w:pPr>
      <w:r>
        <w:rPr>
          <w:color w:val="33485F"/>
        </w:rPr>
        <w:t xml:space="preserve">When a decision is ambiguous, these resolve it.</w:t>
      </w:r>
    </w:p>
    <w:p>
      <w:pPr>
        <w:pStyle w:val="ListParagraph"/>
        <w:numPr>
          <w:ilvl w:val="0"/>
          <w:numId w:val="4"/>
        </w:numPr>
        <w:spacing w:after="60" w:line="270"/>
      </w:pPr>
      <w:r>
        <w:rPr>
          <w:b/>
          <w:bCs/>
        </w:rPr>
        <w:t xml:space="preserve">Generic over bespoke. </w:t>
      </w:r>
      <w:r>
        <w:t xml:space="preserve">If it would only work for one plant, it is wrong.</w:t>
      </w:r>
    </w:p>
    <w:p>
      <w:pPr>
        <w:pStyle w:val="ListParagraph"/>
        <w:numPr>
          <w:ilvl w:val="0"/>
          <w:numId w:val="4"/>
        </w:numPr>
        <w:spacing w:after="60" w:line="270"/>
      </w:pPr>
      <w:r>
        <w:rPr>
          <w:b/>
          <w:bCs/>
        </w:rPr>
        <w:t xml:space="preserve">Configured, never hardcoded. </w:t>
      </w:r>
      <w:r>
        <w:t xml:space="preserve">If the demo needs a hardcoded page, the feature is not finished.</w:t>
      </w:r>
    </w:p>
    <w:p>
      <w:pPr>
        <w:pStyle w:val="ListParagraph"/>
        <w:numPr>
          <w:ilvl w:val="0"/>
          <w:numId w:val="4"/>
        </w:numPr>
        <w:spacing w:after="60" w:line="270"/>
      </w:pPr>
      <w:r>
        <w:rPr>
          <w:b/>
          <w:bCs/>
        </w:rPr>
        <w:t xml:space="preserve">Honest over impressive. </w:t>
      </w:r>
      <w:r>
        <w:t xml:space="preserve">Never claim prediction or root cause; an evidence-backed suspected contributor is more persuasive than a confident lie.</w:t>
      </w:r>
    </w:p>
    <w:p>
      <w:pPr>
        <w:pStyle w:val="ListParagraph"/>
        <w:numPr>
          <w:ilvl w:val="0"/>
          <w:numId w:val="4"/>
        </w:numPr>
        <w:spacing w:after="60" w:line="270"/>
      </w:pPr>
      <w:r>
        <w:rPr>
          <w:b/>
          <w:bCs/>
        </w:rPr>
        <w:t xml:space="preserve">The AI explains the math; it does not do the math. </w:t>
      </w:r>
      <w:r>
        <w:t xml:space="preserve">The brain is deterministic; the LLM is the voice.</w:t>
      </w:r>
    </w:p>
    <w:p>
      <w:pPr>
        <w:pStyle w:val="ListParagraph"/>
        <w:numPr>
          <w:ilvl w:val="0"/>
          <w:numId w:val="4"/>
        </w:numPr>
        <w:spacing w:after="60" w:line="270"/>
      </w:pPr>
      <w:r>
        <w:rPr>
          <w:b/>
          <w:bCs/>
        </w:rPr>
        <w:t xml:space="preserve">No fake failure, ever. </w:t>
      </w:r>
      <w:r>
        <w:t xml:space="preserve">Loading and error states are real, specific and recoverable.</w:t>
      </w:r>
    </w:p>
    <w:p>
      <w:pPr>
        <w:pStyle w:val="ListParagraph"/>
        <w:numPr>
          <w:ilvl w:val="0"/>
          <w:numId w:val="4"/>
        </w:numPr>
        <w:spacing w:after="60" w:line="270"/>
      </w:pPr>
      <w:r>
        <w:rPr>
          <w:b/>
          <w:bCs/>
        </w:rPr>
        <w:t xml:space="preserve">Faultless equals expensive. </w:t>
      </w:r>
      <w:r>
        <w:t xml:space="preserve">The product feels worth investing in because nothing in it breaks.</w:t>
      </w:r>
    </w:p>
    <w:p>
      <w:pPr>
        <w:pStyle w:val="ListParagraph"/>
        <w:numPr>
          <w:ilvl w:val="0"/>
          <w:numId w:val="4"/>
        </w:numPr>
        <w:spacing w:after="60" w:line="270"/>
      </w:pPr>
      <w:r>
        <w:rPr>
          <w:b/>
          <w:bCs/>
        </w:rPr>
        <w:t xml:space="preserve">Prove it, don’t assert it. </w:t>
      </w:r>
      <w:r>
        <w:t xml:space="preserve">Every quality claim has a test behind it; coverage is enumerated, not estimated.</w:t>
      </w:r>
    </w:p>
    <w:p>
      <w:pPr>
        <w:pStyle w:val="ListParagraph"/>
        <w:numPr>
          <w:ilvl w:val="0"/>
          <w:numId w:val="4"/>
        </w:numPr>
        <w:spacing w:after="60" w:line="270"/>
      </w:pPr>
      <w:r>
        <w:rPr>
          <w:b/>
          <w:bCs/>
        </w:rPr>
        <w:t xml:space="preserve">Parity is sacred. </w:t>
      </w:r>
      <w:r>
        <w:t xml:space="preserve">Local and server are the same contract; a demo never dies on configuration.</w:t>
      </w:r>
    </w:p>
    <w:p>
      <w:pPr>
        <w:spacing w:after="160"/>
      </w:pPr>
      <w:r>
        <w:t xml:space="preserve"/>
      </w:r>
    </w:p>
    <w:p>
      <w:pPr>
        <w:pBdr>
          <w:bottom w:val="single" w:color="0E6F86" w:sz="8" w:space="1"/>
        </w:pBdr>
        <w:spacing w:after="120" w:before="60"/>
      </w:pPr>
      <w:r>
        <w:t xml:space="preserve"/>
      </w:r>
    </w:p>
    <w:p>
      <w:pPr>
        <w:spacing w:after="120" w:line="276"/>
      </w:pPr>
      <w:r>
        <w:rPr>
          <w:b/>
          <w:bCs/>
        </w:rPr>
        <w:t xml:space="preserve">In one sentence: </w:t>
      </w:r>
      <w:r>
        <w:rPr>
          <w:color w:val="0B1730"/>
        </w:rPr>
        <w:t xml:space="preserve">PlantProcess IQ connects any plant’s fragmented data into one honest, generic intelligence layer that surfaces evidence-backed quality drivers and scores risk earlier — and it does so without a single error, because trust is the whole product.</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space="4"/>
      </w:pBdr>
      <w:tabs>
        <w:tab w:val="center" w:pos="4680"/>
        <w:tab w:val="right" w:pos="9360"/>
      </w:tabs>
    </w:pPr>
    <w:r>
      <w:rPr>
        <w:color w:val="8EA7C1"/>
        <w:sz w:val="15"/>
        <w:szCs w:val="15"/>
      </w:rPr>
      <w:t xml:space="preserve">SOU Industrial Software — Confidential</w:t>
    </w:r>
    <w:r>
      <w:rPr>
        <w:color w:val="8EA7C1"/>
        <w:sz w:val="15"/>
        <w:szCs w:val="15"/>
      </w:rPr>
      <w:t xml:space="preserve">	PlantProcess IQ</w:t>
    </w:r>
    <w:r>
      <w:rPr>
        <w:color w:val="8EA7C1"/>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4"/>
      </w:pBdr>
      <w:tabs>
        <w:tab w:val="right" w:pos="9360"/>
      </w:tabs>
    </w:pPr>
    <w:r>
      <w:rPr>
        <w:b/>
        <w:bCs/>
        <w:color w:val="0B1730"/>
        <w:sz w:val="17"/>
        <w:szCs w:val="17"/>
      </w:rPr>
      <w:t xml:space="preserve">PlantProcess IQ</w:t>
    </w:r>
    <w:r>
      <w:rPr>
        <w:b/>
        <w:bCs/>
        <w:color w:val="0E6F86"/>
        <w:sz w:val="17"/>
        <w:szCs w:val="17"/>
      </w:rPr>
      <w:t xml:space="preserve">  ·  IQ</w:t>
    </w:r>
    <w:r>
      <w:rPr>
        <w:color w:val="8EA7C1"/>
        <w:sz w:val="16"/>
        <w:szCs w:val="16"/>
      </w:rPr>
      <w:t xml:space="preserve">	Product Vision &amp; Engineering Doctrine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E6F86"/>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84FF" w:sz="10" w:space="6"/>
      </w:pBdr>
      <w:spacing w:after="160" w:before="280"/>
      <w:outlineLvl w:val="0"/>
    </w:pPr>
    <w:rPr>
      <w:rFonts w:ascii="Arial" w:cs="Arial" w:eastAsia="Arial" w:hAnsi="Arial"/>
      <w:b/>
      <w:bCs/>
      <w:color w:val="0B1730"/>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0A4FA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B17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Product Vision &amp; Engineering Doctrine v2.0</dc:title>
  <dc:creator>SOU Industrial Software</dc:creator>
  <dc:description>Deep specification, quality bar, ML/AI engine &amp; assistant architecture, and demo doctrine.</dc:description>
  <cp:lastModifiedBy>Un-named</cp:lastModifiedBy>
  <cp:revision>1</cp:revision>
  <dcterms:created xsi:type="dcterms:W3CDTF">2026-05-31T12:54:28.286Z</dcterms:created>
  <dcterms:modified xsi:type="dcterms:W3CDTF">2026-05-31T12:54:28.286Z</dcterms:modified>
</cp:coreProperties>
</file>

<file path=docProps/custom.xml><?xml version="1.0" encoding="utf-8"?>
<Properties xmlns="http://schemas.openxmlformats.org/officeDocument/2006/custom-properties" xmlns:vt="http://schemas.openxmlformats.org/officeDocument/2006/docPropsVTypes"/>
</file>