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50B18" w:sz="2"/>
              <w:bottom w:val="single" w:color="050B18" w:sz="2"/>
              <w:right w:val="single" w:color="050B18" w:sz="2"/>
            </w:tcBorders>
            <w:shd w:fill="050B18" w:val="clear"/>
            <w:tcMar>
              <w:top w:type="dxa" w:w="430"/>
              <w:left w:type="dxa" w:w="320"/>
              <w:bottom w:type="dxa" w:w="430"/>
              <w:right w:type="dxa" w:w="320"/>
            </w:tcMar>
          </w:tcPr>
          <w:p>
            <w:pPr>
              <w:spacing w:after="130"/>
            </w:pPr>
            <w:r>
              <w:rPr>
                <w:rFonts w:ascii="JetBrains Mono" w:cs="JetBrains Mono" w:eastAsia="JetBrains Mono" w:hAnsi="JetBrains Mono"/>
                <w:b/>
                <w:bCs/>
                <w:caps/>
                <w:color w:val="00D4FF"/>
                <w:sz w:val="18"/>
                <w:szCs w:val="18"/>
              </w:rPr>
              <w:t xml:space="preserve">SOU  INDUSTRIAL  SOFTWARE</w:t>
            </w:r>
          </w:p>
          <w:p>
            <w:pPr>
              <w:spacing w:after="40"/>
            </w:pPr>
            <w:r>
              <w:rPr>
                <w:rFonts w:ascii="Inter" w:cs="Inter" w:eastAsia="Inter" w:hAnsi="Inter"/>
                <w:b/>
                <w:bCs/>
                <w:color w:val="EAF6FF"/>
                <w:sz w:val="52"/>
                <w:szCs w:val="52"/>
              </w:rPr>
              <w:t xml:space="preserve">PlantProcess </w:t>
            </w:r>
            <w:r>
              <w:rPr>
                <w:rFonts w:ascii="Inter" w:cs="Inter" w:eastAsia="Inter" w:hAnsi="Inter"/>
                <w:b/>
                <w:bCs/>
                <w:color w:val="00D4FF"/>
                <w:sz w:val="52"/>
                <w:szCs w:val="52"/>
              </w:rPr>
              <w:t xml:space="preserve">IQ</w:t>
            </w:r>
          </w:p>
          <w:p>
            <w:pPr>
              <w:spacing w:after="30"/>
            </w:pPr>
            <w:r>
              <w:rPr>
                <w:rFonts w:ascii="Inter" w:cs="Inter" w:eastAsia="Inter" w:hAnsi="Inter"/>
                <w:b/>
                <w:bCs/>
                <w:color w:val="EAF6FF"/>
                <w:sz w:val="25"/>
                <w:szCs w:val="25"/>
              </w:rPr>
              <w:t xml:space="preserve">Codebase Validation &amp; Implementation Audit</w:t>
            </w:r>
          </w:p>
          <w:p>
            <w:pPr>
              <w:spacing w:after="60"/>
            </w:pPr>
            <w:r>
              <w:rPr>
                <w:rFonts w:ascii="Inter" w:cs="Inter" w:eastAsia="Inter" w:hAnsi="Inter"/>
                <w:b/>
                <w:bCs/>
                <w:color w:val="2CE6A2"/>
                <w:sz w:val="19"/>
                <w:szCs w:val="19"/>
              </w:rPr>
              <w:t xml:space="preserve">Snapshot of 3 June 2026  ·  measured against Doctrine v7.0 (V6 ∪ V4)</w:t>
            </w:r>
          </w:p>
          <w:p>
            <w:pPr>
              <w:spacing w:after="170"/>
            </w:pPr>
            <w:r>
              <w:rPr>
                <w:rFonts w:ascii="Inter" w:cs="Inter" w:eastAsia="Inter" w:hAnsi="Inter"/>
                <w:color w:val="8EA7C1"/>
                <w:sz w:val="18"/>
                <w:szCs w:val="18"/>
              </w:rPr>
              <w:t xml:space="preserve">A line-of-evidence audit of what is built, how mature it is, where it is exceptional, where it needs rework, and the bugs to fix — answering eight questions, dimension by dimension.</w:t>
            </w:r>
          </w:p>
          <w:p>
            <w:pPr>
              <w:pBdr>
                <w:top w:val="single" w:color="102A43" w:sz="6" w:space="6"/>
              </w:pBdr>
              <w:spacing w:before="60"/>
            </w:pPr>
            <w:r>
              <w:rPr>
                <w:rFonts w:ascii="Inter" w:cs="Inter" w:eastAsia="Inter" w:hAnsi="Inter"/>
                <w:i/>
                <w:iCs/>
                <w:color w:val="00D4FF"/>
                <w:sz w:val="17"/>
                <w:szCs w:val="17"/>
              </w:rPr>
              <w:t xml:space="preserve">376,251 lines · 1,518 files · 552 C# · 188 TSX · 98 SQL — validated against the canonical doctrine.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EE8" w:sz="2"/>
              <w:left w:val="single" w:color="D6DEE8" w:sz="2"/>
              <w:bottom w:val="single" w:color="D6DEE8" w:sz="2"/>
              <w:right w:val="single" w:color="D6DEE8" w:sz="2"/>
            </w:tcBorders>
            <w:shd w:fill="F4F6F8" w:val="clear"/>
            <w:tcMar>
              <w:top w:type="dxa" w:w="54"/>
              <w:left w:type="dxa" w:w="100"/>
              <w:bottom w:type="dxa" w:w="54"/>
              <w:right w:type="dxa" w:w="100"/>
            </w:tcMar>
            <w:vAlign w:val="center"/>
          </w:tcPr>
          <w:p>
            <w:pPr>
              <w:spacing w:after="0" w:line="246"/>
            </w:pPr>
            <w:r>
              <w:rPr>
                <w:rFonts w:ascii="JetBrains Mono" w:cs="JetBrains Mono" w:eastAsia="JetBrains Mono" w:hAnsi="JetBrains Mono"/>
                <w:b/>
                <w:bCs/>
                <w:color w:val="8EA7C1"/>
                <w:sz w:val="13"/>
                <w:szCs w:val="13"/>
              </w:rPr>
              <w:t xml:space="preserve">PREPARED FOR</w:t>
            </w:r>
          </w:p>
          <w:p>
            <w:pPr>
              <w:spacing w:after="0" w:line="246"/>
            </w:pPr>
            <w:r>
              <w:rPr>
                <w:rFonts w:ascii="Inter" w:cs="Inter" w:eastAsia="Inter" w:hAnsi="Inter"/>
                <w:b/>
                <w:bCs/>
                <w:color w:val="16263B"/>
                <w:sz w:val="16"/>
                <w:szCs w:val="16"/>
              </w:rPr>
              <w:t xml:space="preserve">Karim · SOU, Düsseldorf</w:t>
            </w:r>
          </w:p>
        </w:tc>
        <w:tc>
          <w:tcPr>
            <w:tcW w:type="dxa" w:w="3120"/>
            <w:tcBorders>
              <w:top w:val="single" w:color="D6DEE8" w:sz="2"/>
              <w:left w:val="single" w:color="D6DEE8" w:sz="2"/>
              <w:bottom w:val="single" w:color="D6DEE8" w:sz="2"/>
              <w:right w:val="single" w:color="D6DEE8" w:sz="2"/>
            </w:tcBorders>
            <w:shd w:fill="F4F6F8" w:val="clear"/>
            <w:tcMar>
              <w:top w:type="dxa" w:w="54"/>
              <w:left w:type="dxa" w:w="100"/>
              <w:bottom w:type="dxa" w:w="54"/>
              <w:right w:type="dxa" w:w="100"/>
            </w:tcMar>
            <w:vAlign w:val="center"/>
          </w:tcPr>
          <w:p>
            <w:pPr>
              <w:spacing w:after="0" w:line="246"/>
            </w:pPr>
            <w:r>
              <w:rPr>
                <w:rFonts w:ascii="JetBrains Mono" w:cs="JetBrains Mono" w:eastAsia="JetBrains Mono" w:hAnsi="JetBrains Mono"/>
                <w:b/>
                <w:bCs/>
                <w:color w:val="8EA7C1"/>
                <w:sz w:val="13"/>
                <w:szCs w:val="13"/>
              </w:rPr>
              <w:t xml:space="preserve">REFERENCE</w:t>
            </w:r>
          </w:p>
          <w:p>
            <w:pPr>
              <w:spacing w:after="0" w:line="246"/>
            </w:pPr>
            <w:r>
              <w:rPr>
                <w:rFonts w:ascii="Inter" w:cs="Inter" w:eastAsia="Inter" w:hAnsi="Inter"/>
                <w:b/>
                <w:bCs/>
                <w:color w:val="16263B"/>
                <w:sz w:val="16"/>
                <w:szCs w:val="16"/>
              </w:rPr>
              <w:t xml:space="preserve">Doctrine v7.0 (canonical)</w:t>
            </w:r>
          </w:p>
        </w:tc>
        <w:tc>
          <w:tcPr>
            <w:tcW w:type="dxa" w:w="3120"/>
            <w:tcBorders>
              <w:top w:val="single" w:color="D6DEE8" w:sz="2"/>
              <w:left w:val="single" w:color="D6DEE8" w:sz="2"/>
              <w:bottom w:val="single" w:color="D6DEE8" w:sz="2"/>
              <w:right w:val="single" w:color="D6DEE8" w:sz="2"/>
            </w:tcBorders>
            <w:shd w:fill="F4F6F8" w:val="clear"/>
            <w:tcMar>
              <w:top w:type="dxa" w:w="54"/>
              <w:left w:type="dxa" w:w="100"/>
              <w:bottom w:type="dxa" w:w="54"/>
              <w:right w:type="dxa" w:w="100"/>
            </w:tcMar>
            <w:vAlign w:val="center"/>
          </w:tcPr>
          <w:p>
            <w:pPr>
              <w:spacing w:after="0" w:line="246"/>
            </w:pPr>
            <w:r>
              <w:rPr>
                <w:rFonts w:ascii="JetBrains Mono" w:cs="JetBrains Mono" w:eastAsia="JetBrains Mono" w:hAnsi="JetBrains Mono"/>
                <w:b/>
                <w:bCs/>
                <w:color w:val="8EA7C1"/>
                <w:sz w:val="13"/>
                <w:szCs w:val="13"/>
              </w:rPr>
              <w:t xml:space="preserve">VERDICT</w:t>
            </w:r>
          </w:p>
          <w:p>
            <w:pPr>
              <w:spacing w:after="0" w:line="246"/>
            </w:pPr>
            <w:r>
              <w:rPr>
                <w:rFonts w:ascii="Inter" w:cs="Inter" w:eastAsia="Inter" w:hAnsi="Inter"/>
                <w:b/>
                <w:bCs/>
                <w:color w:val="137A5E"/>
                <w:sz w:val="16"/>
                <w:szCs w:val="16"/>
              </w:rPr>
              <w:t xml:space="preserve">≈ 70 / 100 — core done</w:t>
            </w:r>
          </w:p>
        </w:tc>
      </w:tr>
    </w:tbl>
    <w:p>
      <w:pPr>
        <w:pStyle w:val="Heading1"/>
        <w:pBdr>
          <w:bottom w:val="single" w:color="0A84FF" w:sz="10" w:space="4"/>
        </w:pBdr>
        <w:spacing w:after="120" w:before="300"/>
      </w:pPr>
      <w:r>
        <w:rPr>
          <w:rFonts w:ascii="Inter" w:cs="Inter" w:eastAsia="Inter" w:hAnsi="Inter"/>
          <w:b/>
          <w:bCs/>
          <w:color w:val="102A43"/>
          <w:sz w:val="28"/>
          <w:szCs w:val="28"/>
        </w:rPr>
        <w:t xml:space="preserve">0 · How to read this audit, and how it was produced</w:t>
      </w:r>
    </w:p>
    <w:p>
      <w:pPr>
        <w:spacing w:after="120" w:before="40" w:line="264"/>
      </w:pPr>
      <w:r>
        <w:rPr>
          <w:rFonts w:ascii="Inter" w:cs="Inter" w:eastAsia="Inter" w:hAnsi="Inter"/>
          <w:b w:val="false"/>
          <w:bCs w:val="false"/>
          <w:i w:val="false"/>
          <w:iCs w:val="false"/>
          <w:caps w:val="false"/>
          <w:color w:val="16263B"/>
          <w:sz w:val="19"/>
          <w:szCs w:val="19"/>
        </w:rPr>
        <w:t xml:space="preserve">This document answers your eight questions against Doctrine v7.0, which is treated here as the canonical product specification — the deliberately ambitious union of V6 (the clear buyer story) and V4 (the buildable engineering detail). Where the build differs from the doctrine, the doctrine is the bar and the build is scored against it. Section 1 gives the overall verdict. Section 2 is the master scorecard. Sections 3 to 6 are the four maturity tiers you asked for. Sections 7 to 9 answer the exceptional, the rework, and the bug questions. Section 10 is an honest statement of what was validated deeply versus structurally, and Section 11 sequences the next moves against the v7 waves.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Method — and an honesty note that matches the product's own standard</w:t>
            </w:r>
          </w:p>
          <w:p>
            <w:pPr>
              <w:spacing w:after="120" w:before="40" w:line="264"/>
            </w:pPr>
            <w:r>
              <w:rPr>
                <w:rFonts w:ascii="Inter" w:cs="Inter" w:eastAsia="Inter" w:hAnsi="Inter"/>
                <w:b w:val="false"/>
                <w:bCs w:val="false"/>
                <w:i w:val="false"/>
                <w:iCs w:val="false"/>
                <w:caps w:val="false"/>
                <w:color w:val="16263B"/>
                <w:sz w:val="19"/>
                <w:szCs w:val="19"/>
              </w:rPr>
              <w:t xml:space="preserve">A codebase of </w:t>
            </w:r>
            <w:r>
              <w:rPr>
                <w:rFonts w:ascii="Inter" w:cs="Inter" w:eastAsia="Inter" w:hAnsi="Inter"/>
                <w:b/>
                <w:bCs/>
                <w:i w:val="false"/>
                <w:iCs w:val="false"/>
                <w:caps w:val="false"/>
                <w:color w:val="16263B"/>
                <w:sz w:val="19"/>
                <w:szCs w:val="19"/>
              </w:rPr>
              <w:t xml:space="preserve">376,251 lines across 1,518 files</w:t>
            </w:r>
            <w:r>
              <w:rPr>
                <w:rFonts w:ascii="Inter" w:cs="Inter" w:eastAsia="Inter" w:hAnsi="Inter"/>
                <w:b w:val="false"/>
                <w:bCs w:val="false"/>
                <w:i w:val="false"/>
                <w:iCs w:val="false"/>
                <w:caps w:val="false"/>
                <w:color w:val="16263B"/>
                <w:sz w:val="19"/>
                <w:szCs w:val="19"/>
              </w:rPr>
              <w:t xml:space="preserve"> cannot be honestly read character-by-character by anyone, and a report that claimed otherwise would fail the same honesty bar the product itself enforces. What was actually done: (1) the full manifest and master index were parsed to establish exact structure — every file, its classification, and its line count; (2) a feature census counted the real presence of each v7 commitment across the bundles; and (3) the </w:t>
            </w:r>
            <w:r>
              <w:rPr>
                <w:rFonts w:ascii="Inter" w:cs="Inter" w:eastAsia="Inter" w:hAnsi="Inter"/>
                <w:b/>
                <w:bCs/>
                <w:i w:val="false"/>
                <w:iCs w:val="false"/>
                <w:caps w:val="false"/>
                <w:color w:val="16263B"/>
                <w:sz w:val="19"/>
                <w:szCs w:val="19"/>
              </w:rPr>
              <w:t xml:space="preserve">most decision-critical files were read in full, line by line</w:t>
            </w:r>
            <w:r>
              <w:rPr>
                <w:rFonts w:ascii="Inter" w:cs="Inter" w:eastAsia="Inter" w:hAnsi="Inter"/>
                <w:b w:val="false"/>
                <w:bCs w:val="false"/>
                <w:i w:val="false"/>
                <w:iCs w:val="false"/>
                <w:caps w:val="false"/>
                <w:color w:val="16263B"/>
                <w:sz w:val="19"/>
                <w:szCs w:val="19"/>
              </w:rPr>
              <w:t xml:space="preserve"> — the statistical engine, the value engine, the authentication store, the SQL-safety validator, the licensing and identity endpoints, and more.</w:t>
            </w:r>
          </w:p>
          <w:p>
            <w:pPr>
              <w:spacing w:after="120" w:before="40" w:line="264"/>
            </w:pPr>
            <w:r>
              <w:rPr>
                <w:rFonts w:ascii="Inter" w:cs="Inter" w:eastAsia="Inter" w:hAnsi="Inter"/>
                <w:b w:val="false"/>
                <w:bCs w:val="false"/>
                <w:i w:val="false"/>
                <w:iCs w:val="false"/>
                <w:caps w:val="false"/>
                <w:color w:val="16263B"/>
                <w:sz w:val="19"/>
                <w:szCs w:val="19"/>
              </w:rPr>
              <w:t xml:space="preserve">That means the verdicts on the </w:t>
            </w:r>
            <w:r>
              <w:rPr>
                <w:rFonts w:ascii="Inter" w:cs="Inter" w:eastAsia="Inter" w:hAnsi="Inter"/>
                <w:b/>
                <w:bCs/>
                <w:i w:val="false"/>
                <w:iCs w:val="false"/>
                <w:caps w:val="false"/>
                <w:color w:val="0A84FF"/>
                <w:sz w:val="19"/>
                <w:szCs w:val="19"/>
              </w:rPr>
              <w:t xml:space="preserve">core intelligence and security</w:t>
            </w:r>
            <w:r>
              <w:rPr>
                <w:rFonts w:ascii="Inter" w:cs="Inter" w:eastAsia="Inter" w:hAnsi="Inter"/>
                <w:b w:val="false"/>
                <w:bCs w:val="false"/>
                <w:i w:val="false"/>
                <w:iCs w:val="false"/>
                <w:caps w:val="false"/>
                <w:color w:val="16263B"/>
                <w:sz w:val="19"/>
                <w:szCs w:val="19"/>
              </w:rPr>
              <w:t xml:space="preserve"> are evidence-grade and specific. The verdicts on a few broad surfaces — full SSO/SCIM depth, Postgres row-level-security depth, schema-drift internals, the end-to-end demo-from-empty flow — were validated at the structural and endpoint level, not every line; those are flagged explicitly in Section 10 so you know exactly how much weight each carries.</w:t>
            </w:r>
          </w:p>
        </w:tc>
      </w:tr>
    </w:tbl>
    <w:p>
      <w:pPr>
        <w:pStyle w:val="Heading2"/>
        <w:spacing w:after="70" w:before="210"/>
      </w:pPr>
      <w:r>
        <w:rPr>
          <w:rFonts w:ascii="Inter" w:cs="Inter" w:eastAsia="Inter" w:hAnsi="Inter"/>
          <w:b/>
          <w:bCs/>
          <w:color w:val="0A84FF"/>
          <w:sz w:val="21"/>
          <w:szCs w:val="21"/>
        </w:rPr>
        <w:t xml:space="preserve">A correction worth stating up front</w:t>
      </w:r>
    </w:p>
    <w:p>
      <w:pPr>
        <w:spacing w:after="120" w:before="40" w:line="264"/>
      </w:pPr>
      <w:r>
        <w:rPr>
          <w:rFonts w:ascii="Inter" w:cs="Inter" w:eastAsia="Inter" w:hAnsi="Inter"/>
          <w:b w:val="false"/>
          <w:bCs w:val="false"/>
          <w:i w:val="false"/>
          <w:iCs w:val="false"/>
          <w:caps w:val="false"/>
          <w:color w:val="16263B"/>
          <w:sz w:val="19"/>
          <w:szCs w:val="19"/>
        </w:rPr>
        <w:t xml:space="preserve">An initial pass that read only the primary backend bundle concluded that several headline features — the advanced statistics, the value model — were unstarted or stubbed. Reading further proved that wrong: the statistical engine and the value engine live in a separate project that the snapshot's categoriser filed under “Tools / Misc,” so they were invisible to a first scan. They are not only present — they are among the strongest code in the repository. The figures below reflect the corrected, complete reading.</w:t>
      </w:r>
    </w:p>
    <w:p>
      <w:pPr>
        <w:pStyle w:val="Heading1"/>
        <w:pBdr>
          <w:bottom w:val="single" w:color="0A84FF" w:sz="10" w:space="4"/>
        </w:pBdr>
        <w:spacing w:after="120" w:before="300"/>
      </w:pPr>
      <w:r>
        <w:rPr>
          <w:rFonts w:ascii="Inter" w:cs="Inter" w:eastAsia="Inter" w:hAnsi="Inter"/>
          <w:b/>
          <w:bCs/>
          <w:color w:val="102A43"/>
          <w:sz w:val="28"/>
          <w:szCs w:val="28"/>
        </w:rPr>
        <w:t xml:space="preserve">1 · Overall status and evaluation</w:t>
      </w:r>
    </w:p>
    <w:p>
      <w:pPr>
        <w:spacing w:after="120" w:before="40" w:line="264"/>
      </w:pPr>
      <w:r>
        <w:rPr>
          <w:rFonts w:ascii="Inter" w:cs="Inter" w:eastAsia="Inter" w:hAnsi="Inter"/>
          <w:b w:val="false"/>
          <w:bCs w:val="false"/>
          <w:i w:val="false"/>
          <w:iCs w:val="false"/>
          <w:caps w:val="false"/>
          <w:color w:val="16263B"/>
          <w:sz w:val="19"/>
          <w:szCs w:val="19"/>
        </w:rPr>
        <w:t xml:space="preserve">PlantProcess IQ is materially further along than the doctrine's own deliberately-conservative “today ≈ 46 / 100” baseline assumed. The honest figure against the full v7 union is approximately: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Overall: ≈ 70 / 100 against the full Doctrine v7.0 — “mostly built; the hard core is done”</w:t>
            </w:r>
          </w:p>
          <w:p>
            <w:pPr>
              <w:spacing w:after="120" w:before="40" w:line="264"/>
            </w:pPr>
            <w:r>
              <w:rPr>
                <w:rFonts w:ascii="Inter" w:cs="Inter" w:eastAsia="Inter" w:hAnsi="Inter"/>
                <w:b w:val="false"/>
                <w:bCs w:val="false"/>
                <w:i w:val="false"/>
                <w:iCs w:val="false"/>
                <w:caps w:val="false"/>
                <w:color w:val="16263B"/>
                <w:sz w:val="19"/>
                <w:szCs w:val="19"/>
              </w:rPr>
              <w:t xml:space="preserve">The most differentiating and most difficult third of the product — the </w:t>
            </w:r>
            <w:r>
              <w:rPr>
                <w:rFonts w:ascii="Inter" w:cs="Inter" w:eastAsia="Inter" w:hAnsi="Inter"/>
                <w:b/>
                <w:bCs/>
                <w:i w:val="false"/>
                <w:iCs w:val="false"/>
                <w:caps w:val="false"/>
                <w:color w:val="16263B"/>
                <w:sz w:val="19"/>
                <w:szCs w:val="19"/>
              </w:rPr>
              <w:t xml:space="preserve">honest L4 statistical engine, the euro value model, the provenance and honesty discipline, and the security and identity posture</w:t>
            </w:r>
            <w:r>
              <w:rPr>
                <w:rFonts w:ascii="Inter" w:cs="Inter" w:eastAsia="Inter" w:hAnsi="Inter"/>
                <w:b w:val="false"/>
                <w:bCs w:val="false"/>
                <w:i w:val="false"/>
                <w:iCs w:val="false"/>
                <w:caps w:val="false"/>
                <w:color w:val="16263B"/>
                <w:sz w:val="19"/>
                <w:szCs w:val="19"/>
              </w:rPr>
              <w:t xml:space="preserve"> — is essentially complete, and in several places is built to a standard above the design. The surrounding platform — connectors, mapping, dynamic dashboards and widgets, jobs, licensing, multi-tenancy, internationalisation — is mostly built and coherent. What genuinely remains is the </w:t>
            </w:r>
            <w:r>
              <w:rPr>
                <w:rFonts w:ascii="Inter" w:cs="Inter" w:eastAsia="Inter" w:hAnsi="Inter"/>
                <w:b/>
                <w:bCs/>
                <w:i w:val="false"/>
                <w:iCs w:val="false"/>
                <w:caps w:val="false"/>
                <w:color w:val="16263B"/>
                <w:sz w:val="19"/>
                <w:szCs w:val="19"/>
              </w:rPr>
              <w:t xml:space="preserve">acquisition edge</w:t>
            </w:r>
            <w:r>
              <w:rPr>
                <w:rFonts w:ascii="Inter" w:cs="Inter" w:eastAsia="Inter" w:hAnsi="Inter"/>
                <w:b w:val="false"/>
                <w:bCs w:val="false"/>
                <w:i w:val="false"/>
                <w:iCs w:val="false"/>
                <w:caps w:val="false"/>
                <w:color w:val="16263B"/>
                <w:sz w:val="19"/>
                <w:szCs w:val="19"/>
              </w:rPr>
              <w:t xml:space="preserve"> (the OT-safe Edge Collector and historian sources), the assistant's </w:t>
            </w:r>
            <w:r>
              <w:rPr>
                <w:rFonts w:ascii="Inter" w:cs="Inter" w:eastAsia="Inter" w:hAnsi="Inter"/>
                <w:b/>
                <w:bCs/>
                <w:i w:val="false"/>
                <w:iCs w:val="false"/>
                <w:caps w:val="false"/>
                <w:color w:val="16263B"/>
                <w:sz w:val="19"/>
                <w:szCs w:val="19"/>
              </w:rPr>
              <w:t xml:space="preserve">real retrieval model</w:t>
            </w:r>
            <w:r>
              <w:rPr>
                <w:rFonts w:ascii="Inter" w:cs="Inter" w:eastAsia="Inter" w:hAnsi="Inter"/>
                <w:b w:val="false"/>
                <w:bCs w:val="false"/>
                <w:i w:val="false"/>
                <w:iCs w:val="false"/>
                <w:caps w:val="false"/>
                <w:color w:val="16263B"/>
                <w:sz w:val="19"/>
                <w:szCs w:val="19"/>
              </w:rPr>
              <w:t xml:space="preserve"> (the architecture is done; the embedder is a placeholder), </w:t>
            </w:r>
            <w:r>
              <w:rPr>
                <w:rFonts w:ascii="Inter" w:cs="Inter" w:eastAsia="Inter" w:hAnsi="Inter"/>
                <w:b/>
                <w:bCs/>
                <w:i w:val="false"/>
                <w:iCs w:val="false"/>
                <w:caps w:val="false"/>
                <w:color w:val="16263B"/>
                <w:sz w:val="19"/>
                <w:szCs w:val="19"/>
              </w:rPr>
              <w:t xml:space="preserve">schema-drift depth</w:t>
            </w:r>
            <w:r>
              <w:rPr>
                <w:rFonts w:ascii="Inter" w:cs="Inter" w:eastAsia="Inter" w:hAnsi="Inter"/>
                <w:b w:val="false"/>
                <w:bCs w:val="false"/>
                <w:i w:val="false"/>
                <w:iCs w:val="false"/>
                <w:caps w:val="false"/>
                <w:color w:val="16263B"/>
                <w:sz w:val="19"/>
                <w:szCs w:val="19"/>
              </w:rPr>
              <w:t xml:space="preserve">, and a round of </w:t>
            </w:r>
            <w:r>
              <w:rPr>
                <w:rFonts w:ascii="Inter" w:cs="Inter" w:eastAsia="Inter" w:hAnsi="Inter"/>
                <w:b/>
                <w:bCs/>
                <w:i w:val="false"/>
                <w:iCs w:val="false"/>
                <w:caps w:val="false"/>
                <w:color w:val="16263B"/>
                <w:sz w:val="19"/>
                <w:szCs w:val="19"/>
              </w:rPr>
              <w:t xml:space="preserve">consolidation and genericity hardening</w:t>
            </w:r>
            <w:r>
              <w:rPr>
                <w:rFonts w:ascii="Inter" w:cs="Inter" w:eastAsia="Inter" w:hAnsi="Inter"/>
                <w:b w:val="false"/>
                <w:bCs w:val="false"/>
                <w:i w:val="false"/>
                <w:iCs w:val="false"/>
                <w:caps w:val="false"/>
                <w:color w:val="16263B"/>
                <w:sz w:val="19"/>
                <w:szCs w:val="19"/>
              </w:rPr>
              <w:t xml:space="preserve"> so the platform expands cleanly to the next plant.</w:t>
            </w:r>
          </w:p>
          <w:p>
            <w:pPr>
              <w:spacing w:after="120" w:before="40" w:line="264"/>
            </w:pPr>
            <w:r>
              <w:rPr>
                <w:rFonts w:ascii="Inter" w:cs="Inter" w:eastAsia="Inter" w:hAnsi="Inter"/>
                <w:b w:val="false"/>
                <w:bCs w:val="false"/>
                <w:i w:val="false"/>
                <w:iCs w:val="false"/>
                <w:caps w:val="false"/>
                <w:color w:val="16263B"/>
                <w:sz w:val="19"/>
                <w:szCs w:val="19"/>
              </w:rPr>
              <w:t xml:space="preserve">In plain terms: the engine that makes this product </w:t>
            </w:r>
            <w:r>
              <w:rPr>
                <w:rFonts w:ascii="Inter" w:cs="Inter" w:eastAsia="Inter" w:hAnsi="Inter"/>
                <w:b/>
                <w:bCs/>
                <w:i w:val="false"/>
                <w:iCs w:val="false"/>
                <w:caps w:val="false"/>
                <w:color w:val="137A5E"/>
                <w:sz w:val="19"/>
                <w:szCs w:val="19"/>
              </w:rPr>
              <w:t xml:space="preserve">trustworthy and valuable</w:t>
            </w:r>
            <w:r>
              <w:rPr>
                <w:rFonts w:ascii="Inter" w:cs="Inter" w:eastAsia="Inter" w:hAnsi="Inter"/>
                <w:b w:val="false"/>
                <w:bCs w:val="false"/>
                <w:i w:val="false"/>
                <w:iCs w:val="false"/>
                <w:caps w:val="false"/>
                <w:color w:val="16263B"/>
                <w:sz w:val="19"/>
                <w:szCs w:val="19"/>
              </w:rPr>
              <w:t xml:space="preserve"> — the part most vendors fake — is real. The work ahead is mostly about making it </w:t>
            </w:r>
            <w:r>
              <w:rPr>
                <w:rFonts w:ascii="Inter" w:cs="Inter" w:eastAsia="Inter" w:hAnsi="Inter"/>
                <w:b/>
                <w:bCs/>
                <w:i w:val="false"/>
                <w:iCs w:val="false"/>
                <w:caps w:val="false"/>
                <w:color w:val="0A84FF"/>
                <w:sz w:val="19"/>
                <w:szCs w:val="19"/>
              </w:rPr>
              <w:t xml:space="preserve">provable on a customer's own systems</w:t>
            </w:r>
            <w:r>
              <w:rPr>
                <w:rFonts w:ascii="Inter" w:cs="Inter" w:eastAsia="Inter" w:hAnsi="Inter"/>
                <w:b w:val="false"/>
                <w:bCs w:val="false"/>
                <w:i w:val="false"/>
                <w:iCs w:val="false"/>
                <w:caps w:val="false"/>
                <w:color w:val="16263B"/>
                <w:sz w:val="19"/>
                <w:szCs w:val="19"/>
              </w:rPr>
              <w:t xml:space="preserve"> and </w:t>
            </w:r>
            <w:r>
              <w:rPr>
                <w:rFonts w:ascii="Inter" w:cs="Inter" w:eastAsia="Inter" w:hAnsi="Inter"/>
                <w:b/>
                <w:bCs/>
                <w:i w:val="false"/>
                <w:iCs w:val="false"/>
                <w:caps w:val="false"/>
                <w:color w:val="0A84FF"/>
                <w:sz w:val="19"/>
                <w:szCs w:val="19"/>
              </w:rPr>
              <w:t xml:space="preserve">clean to scale</w:t>
            </w:r>
            <w:r>
              <w:rPr>
                <w:rFonts w:ascii="Inter" w:cs="Inter" w:eastAsia="Inter" w:hAnsi="Inter"/>
                <w:b w:val="false"/>
                <w:bCs w:val="false"/>
                <w:i w:val="false"/>
                <w:iCs w:val="false"/>
                <w:caps w:val="false"/>
                <w:color w:val="16263B"/>
                <w:sz w:val="19"/>
                <w:szCs w:val="19"/>
              </w:rPr>
              <w:t xml:space="preserve">, not about inventing the core.</w:t>
            </w:r>
          </w:p>
        </w:tc>
      </w:tr>
    </w:tbl>
    <w:p>
      <w:pPr>
        <w:pStyle w:val="Heading2"/>
        <w:spacing w:after="70" w:before="210"/>
      </w:pPr>
      <w:r>
        <w:rPr>
          <w:rFonts w:ascii="Inter" w:cs="Inter" w:eastAsia="Inter" w:hAnsi="Inter"/>
          <w:b/>
          <w:bCs/>
          <w:color w:val="0A84FF"/>
          <w:sz w:val="21"/>
          <w:szCs w:val="21"/>
        </w:rPr>
        <w:t xml:space="preserve">Why the figure is ~70 and not lower or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360"/>
        <w:gridCol w:w="2600"/>
      </w:tblGrid>
      <w:tr>
        <w:trPr>
          <w:tblHeader/>
        </w:trPr>
        <w:tc>
          <w:tcPr>
            <w:tcW w:type="dxa" w:w="3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Band of the product</w:t>
            </w:r>
          </w:p>
        </w:tc>
        <w:tc>
          <w:tcPr>
            <w:tcW w:type="dxa" w:w="3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Where it stands</w:t>
            </w:r>
          </w:p>
        </w:tc>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Weighted contribution</w:t>
            </w:r>
          </w:p>
        </w:tc>
      </w:tr>
      <w:tr>
        <w:tc>
          <w:tcPr>
            <w:tcW w:type="dxa" w:w="34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Core intelligence (stats, value, honesty, provenance)</w:t>
            </w:r>
          </w:p>
        </w:tc>
        <w:tc>
          <w:tcPr>
            <w:tcW w:type="dxa" w:w="33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~90%+ — done, partly exceptional</w:t>
            </w:r>
          </w:p>
        </w:tc>
        <w:tc>
          <w:tcPr>
            <w:tcW w:type="dxa" w:w="2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The crown jewel; carries the score up</w:t>
            </w:r>
          </w:p>
        </w:tc>
      </w:tr>
      <w:tr>
        <w:tc>
          <w:tcPr>
            <w:tcW w:type="dxa" w:w="34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Platform (connectors, mapping, dashboards, jobs, licensing, identity, i18n, security)</w:t>
            </w:r>
          </w:p>
        </w:tc>
        <w:tc>
          <w:tcPr>
            <w:tcW w:type="dxa" w:w="33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~75–85% — mostly done, coherent</w:t>
            </w:r>
          </w:p>
        </w:tc>
        <w:tc>
          <w:tcPr>
            <w:tcW w:type="dxa" w:w="26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Broad and solid; the bulk of the build</w:t>
            </w:r>
          </w:p>
        </w:tc>
      </w:tr>
      <w:tr>
        <w:tc>
          <w:tcPr>
            <w:tcW w:type="dxa" w:w="34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Acquisition edge + assistant model + enterprise depth (collector, historian, real embeddings, SSO/SCIM full, GxP/SLA)</w:t>
            </w:r>
          </w:p>
        </w:tc>
        <w:tc>
          <w:tcPr>
            <w:tcW w:type="dxa" w:w="33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~30–50% — partial or just-started</w:t>
            </w:r>
          </w:p>
        </w:tc>
        <w:tc>
          <w:tcPr>
            <w:tcW w:type="dxa" w:w="2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The honest drag on the score; the work ahead</w:t>
            </w:r>
          </w:p>
        </w:tc>
      </w:tr>
    </w:tbl>
    <w:p>
      <w:pPr>
        <w:spacing w:after="120" w:before="40" w:line="264"/>
      </w:pPr>
      <w:r>
        <w:rPr>
          <w:rFonts w:ascii="Inter" w:cs="Inter" w:eastAsia="Inter" w:hAnsi="Inter"/>
          <w:b w:val="false"/>
          <w:bCs w:val="false"/>
          <w:i w:val="false"/>
          <w:iCs w:val="false"/>
          <w:caps w:val="false"/>
          <w:color w:val="16263B"/>
          <w:sz w:val="19"/>
          <w:szCs w:val="19"/>
        </w:rPr>
        <w:t xml:space="preserve">Averaged with weight toward the parts a buyer actually evaluates, this lands at roughly seventy. The same number is ~24 points above the doctrine's “today” figure — not because the doctrine was wrong, but because it conservatively under-counted what had quietly been built, especially the analytics core.</w:t>
      </w:r>
    </w:p>
    <w:p>
      <w:pPr>
        <w:pStyle w:val="Heading1"/>
        <w:pBdr>
          <w:bottom w:val="single" w:color="0A84FF" w:sz="10" w:space="4"/>
        </w:pBdr>
        <w:spacing w:after="120" w:before="300"/>
      </w:pPr>
      <w:r>
        <w:rPr>
          <w:rFonts w:ascii="Inter" w:cs="Inter" w:eastAsia="Inter" w:hAnsi="Inter"/>
          <w:b/>
          <w:bCs/>
          <w:color w:val="102A43"/>
          <w:sz w:val="28"/>
          <w:szCs w:val="28"/>
        </w:rPr>
        <w:t xml:space="preserve">2 · Master scorecard — every dimension, mapped to v7</w:t>
      </w:r>
    </w:p>
    <w:p>
      <w:pPr>
        <w:spacing w:after="120" w:before="40" w:line="264"/>
      </w:pPr>
      <w:r>
        <w:rPr>
          <w:rFonts w:ascii="Inter" w:cs="Inter" w:eastAsia="Inter" w:hAnsi="Inter"/>
          <w:b w:val="false"/>
          <w:bCs w:val="false"/>
          <w:i w:val="false"/>
          <w:iCs w:val="false"/>
          <w:caps w:val="false"/>
          <w:color w:val="16263B"/>
          <w:sz w:val="19"/>
          <w:szCs w:val="19"/>
        </w:rPr>
        <w:t xml:space="preserve">Each dimension is scored against its v7 section. The colour is the tier you defined: green ≥ 90% (done), blue ≥ 65% (mostly done), amber ≥ 40% (slightly done), red &lt; 40% (not / just started).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40"/>
        <w:gridCol w:w="900"/>
        <w:gridCol w:w="5320"/>
      </w:tblGrid>
      <w:tr>
        <w:trPr>
          <w:tblHeader/>
        </w:trPr>
        <w:tc>
          <w:tcPr>
            <w:tcW w:type="dxa" w:w="314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Dimension (v7 §)</w:t>
            </w:r>
          </w:p>
        </w:tc>
        <w:tc>
          <w:tcPr>
            <w:tcW w:type="dxa" w:w="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Score</w:t>
            </w:r>
          </w:p>
        </w:tc>
        <w:tc>
          <w:tcPr>
            <w:tcW w:type="dxa" w:w="532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One-line evidence</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Clean-Architecture layering (§3)</w:t>
            </w:r>
          </w:p>
        </w:tc>
        <w:tc>
          <w:tcPr>
            <w:tcW w:type="dxa" w:w="900"/>
            <w:tcBorders>
              <w:top w:val="single" w:color="2CE6A2" w:sz="2"/>
              <w:left w:val="single" w:color="2CE6A2" w:sz="2"/>
              <w:bottom w:val="single" w:color="2CE6A2" w:sz="2"/>
              <w:right w:val="single" w:color="2CE6A2" w:sz="2"/>
            </w:tcBorders>
            <w:shd w:fill="2CE6A2" w:val="clear"/>
            <w:tcMar>
              <w:top w:type="dxa" w:w="54"/>
              <w:left w:type="dxa" w:w="70"/>
              <w:bottom w:type="dxa" w:w="54"/>
              <w:right w:type="dxa" w:w="70"/>
            </w:tcMar>
            <w:vAlign w:val="center"/>
          </w:tcPr>
          <w:p>
            <w:pPr>
              <w:spacing w:after="0" w:line="244"/>
              <w:jc w:val="center"/>
            </w:pPr>
            <w:r>
              <w:rPr>
                <w:rFonts w:ascii="Inter" w:cs="Inter" w:eastAsia="Inter" w:hAnsi="Inter"/>
                <w:b/>
                <w:bCs/>
                <w:color w:val="050B18"/>
                <w:sz w:val="15"/>
                <w:szCs w:val="15"/>
              </w:rPr>
              <w:t xml:space="preserve">92%</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Domain/Application/Infrastructure/Api/Workers cleanly split; 552 .cs, 37 EF configs, DI, contracts/interfaces throughout.</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L4 statistical engine (§7.1–7.4)</w:t>
            </w:r>
          </w:p>
        </w:tc>
        <w:tc>
          <w:tcPr>
            <w:tcW w:type="dxa" w:w="900"/>
            <w:tcBorders>
              <w:top w:val="single" w:color="2CE6A2" w:sz="2"/>
              <w:left w:val="single" w:color="2CE6A2" w:sz="2"/>
              <w:bottom w:val="single" w:color="2CE6A2" w:sz="2"/>
              <w:right w:val="single" w:color="2CE6A2" w:sz="2"/>
            </w:tcBorders>
            <w:shd w:fill="2CE6A2" w:val="clear"/>
            <w:tcMar>
              <w:top w:type="dxa" w:w="54"/>
              <w:left w:type="dxa" w:w="70"/>
              <w:bottom w:type="dxa" w:w="54"/>
              <w:right w:type="dxa" w:w="70"/>
            </w:tcMar>
            <w:vAlign w:val="center"/>
          </w:tcPr>
          <w:p>
            <w:pPr>
              <w:spacing w:after="0" w:line="244"/>
              <w:jc w:val="center"/>
            </w:pPr>
            <w:r>
              <w:rPr>
                <w:rFonts w:ascii="Inter" w:cs="Inter" w:eastAsia="Inter" w:hAnsi="Inter"/>
                <w:b/>
                <w:bCs/>
                <w:color w:val="050B18"/>
                <w:sz w:val="15"/>
                <w:szCs w:val="15"/>
              </w:rPr>
              <w:t xml:space="preserve">95%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Real Spearman/MI/Cramér/point-biserial + auto method-select, iterative VIF, Lasso, effect-ranking, BH-FDR, bootstrap CIs, stratification, readiness gate — deterministic, golden-tested.</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Read-only SQL safety (§4.3)</w:t>
            </w:r>
          </w:p>
        </w:tc>
        <w:tc>
          <w:tcPr>
            <w:tcW w:type="dxa" w:w="900"/>
            <w:tcBorders>
              <w:top w:val="single" w:color="2CE6A2" w:sz="2"/>
              <w:left w:val="single" w:color="2CE6A2" w:sz="2"/>
              <w:bottom w:val="single" w:color="2CE6A2" w:sz="2"/>
              <w:right w:val="single" w:color="2CE6A2" w:sz="2"/>
            </w:tcBorders>
            <w:shd w:fill="2CE6A2" w:val="clear"/>
            <w:tcMar>
              <w:top w:type="dxa" w:w="54"/>
              <w:left w:type="dxa" w:w="70"/>
              <w:bottom w:type="dxa" w:w="54"/>
              <w:right w:type="dxa" w:w="70"/>
            </w:tcMar>
            <w:vAlign w:val="center"/>
          </w:tcPr>
          <w:p>
            <w:pPr>
              <w:spacing w:after="0" w:line="244"/>
              <w:jc w:val="center"/>
            </w:pPr>
            <w:r>
              <w:rPr>
                <w:rFonts w:ascii="Inter" w:cs="Inter" w:eastAsia="Inter" w:hAnsi="Inter"/>
                <w:b/>
                <w:bCs/>
                <w:color w:val="050B18"/>
                <w:sz w:val="15"/>
                <w:szCs w:val="15"/>
              </w:rPr>
              <w:t xml:space="preserve">90%</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SafeSqlValidator: comment-strip + word-boundary blocklist + table allowlist + recursion guard + all-join parsing. Fails closed.</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Authentication core (§10.2)</w:t>
            </w:r>
          </w:p>
        </w:tc>
        <w:tc>
          <w:tcPr>
            <w:tcW w:type="dxa" w:w="900"/>
            <w:tcBorders>
              <w:top w:val="single" w:color="2CE6A2" w:sz="2"/>
              <w:left w:val="single" w:color="2CE6A2" w:sz="2"/>
              <w:bottom w:val="single" w:color="2CE6A2" w:sz="2"/>
              <w:right w:val="single" w:color="2CE6A2" w:sz="2"/>
            </w:tcBorders>
            <w:shd w:fill="2CE6A2" w:val="clear"/>
            <w:tcMar>
              <w:top w:type="dxa" w:w="54"/>
              <w:left w:type="dxa" w:w="70"/>
              <w:bottom w:type="dxa" w:w="54"/>
              <w:right w:type="dxa" w:w="70"/>
            </w:tcMar>
            <w:vAlign w:val="center"/>
          </w:tcPr>
          <w:p>
            <w:pPr>
              <w:spacing w:after="0" w:line="244"/>
              <w:jc w:val="center"/>
            </w:pPr>
            <w:r>
              <w:rPr>
                <w:rFonts w:ascii="Inter" w:cs="Inter" w:eastAsia="Inter" w:hAnsi="Inter"/>
                <w:b/>
                <w:bCs/>
                <w:color w:val="050B18"/>
                <w:sz w:val="15"/>
                <w:szCs w:val="15"/>
              </w:rPr>
              <w:t xml:space="preserve">90%</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Argon2id + per-user algorithm agility + auto-rehash; hashed refresh tokens w/ IP/UA; JWT config-driven w/ fail-fast guard.</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Value / euro impact model (§7.5)</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85%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ValueImpactEngine: exact formula, low/mid/high range, abstains on missing basis, provenance per term; + honesty lint + tests.</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Accessibility / i18n / RTL (§8.6–8.7)</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85%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~3,992 aria-* · 18,713 i18n calls · 177 RTL/dir refs · 338 WCAG patterns — far beyond an MVP.</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Security hardening (§18)</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85%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All four prior-audit criticals fixed; StartupConfigurationValidator + startup guards; secret masking; HSTS.</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MFA (§10.2)</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85%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TOTP enrol w/ encrypted secret, 8 hashed recovery codes, otpauth URIs, verify + fallback, enforcement policy.</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Connectors &amp; ingestion — DB/file (§4.1,4.7)</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85%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6 connectors (PG/Oracle/MSSQL/MySQL/CSV/Excel) + factory + read-only session + delta/two-stage import.</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Dynamic dashboards &amp; widgets (§8,§12)</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80%</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Dashboard/Widget definition + query + metadata services; WidgetScriptSqlCompiler; page/widget definitions; 101 components, 47 pages.</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Canonical domain &amp; genealogy (§5.1)</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80%</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37 domain entities; GenealogyService + genealogy_edges; material units/aliases; lineage woven into readiness.</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Pipeline &amp; ML readiness (§6)</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80%</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ApplicationReadinessService (930) + MlReadinessService (482); five-dimension readiness gate with honest abstain.</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Licensing &amp; entitlements (§9)</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80%</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Tier enforcement (limits/gating) + Ed25519 signed-license verification + license generator tool.</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Identity: roles &amp; multi-tenancy (§10,§10.1)</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78%</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PlantAccessControl roles; TenantId pervasive (773); RLS present (80); per-tenant everywhere.</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Jobs &amp; scheduling (§11)</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75%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Job definition/registration/orchestrator/runtime services; Worker + telemetry worker; idempotency (43).</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KPI engine &amp; views (§4.4)</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75%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KpiEngine + safe ExpressionEvaluator + KpiKind(Formula/SqlView/Mapped); thresholds &amp; tenant targets (views thin: 1 file).</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Mapping engine (§4.2)</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75%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MappingExecutionService (899) + MappingDefinitionService + SchemaConfigurationService + business-key dictionary.</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Blended provenance &amp; coverage (§5.3–5.4)</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72%</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Provenance handles (289 refs); DataQualityService (523); QualityLabelBuilderService; transition/blended logic.</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Suggestions (§7.6)</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75%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SuggestionEngine + confidence + workflow + generation job + store + endpoint + tests.</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Demo-through-HMI (§14)</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70%</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DemoLifecycleService (584) + 13 seed scripts (14,760 lines); reset/build flows (from-empty path needs end-to-end proof).</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Deployment &amp; infra (§16)</w:t>
            </w:r>
          </w:p>
        </w:tc>
        <w:tc>
          <w:tcPr>
            <w:tcW w:type="dxa" w:w="900"/>
            <w:tcBorders>
              <w:top w:val="single" w:color="0A84FF" w:sz="2"/>
              <w:left w:val="single" w:color="0A84FF" w:sz="2"/>
              <w:bottom w:val="single" w:color="0A84FF" w:sz="2"/>
              <w:right w:val="single" w:color="0A84FF" w:sz="2"/>
            </w:tcBorders>
            <w:shd w:fill="0A84FF"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80%</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8-container compose; Caddy; Jenkins; DB on loopback; password rotation; exposure-verification script.</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Assistant — grounded/extractive (§7.7–7.8)</w:t>
            </w:r>
          </w:p>
        </w:tc>
        <w:tc>
          <w:tcPr>
            <w:tcW w:type="dxa" w:w="900"/>
            <w:tcBorders>
              <w:top w:val="single" w:color="FFB020" w:sz="2"/>
              <w:left w:val="single" w:color="FFB020" w:sz="2"/>
              <w:bottom w:val="single" w:color="FFB020" w:sz="2"/>
              <w:right w:val="single" w:color="FFB020" w:sz="2"/>
            </w:tcBorders>
            <w:shd w:fill="FFB020" w:val="clear"/>
            <w:tcMar>
              <w:top w:type="dxa" w:w="54"/>
              <w:left w:type="dxa" w:w="70"/>
              <w:bottom w:type="dxa" w:w="54"/>
              <w:right w:type="dxa" w:w="70"/>
            </w:tcMar>
            <w:vAlign w:val="center"/>
          </w:tcPr>
          <w:p>
            <w:pPr>
              <w:spacing w:after="0" w:line="244"/>
              <w:jc w:val="center"/>
            </w:pPr>
            <w:r>
              <w:rPr>
                <w:rFonts w:ascii="Inter" w:cs="Inter" w:eastAsia="Inter" w:hAnsi="Inter"/>
                <w:b/>
                <w:bCs/>
                <w:color w:val="050B18"/>
                <w:sz w:val="15"/>
                <w:szCs w:val="15"/>
              </w:rPr>
              <w:t xml:space="preserve">58%</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Architecture real: ExtractiveAssistantModel + GroundingService + retrieval index + tool registry + private-model gateway — but embedder is a hashing placeholder.</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Schema-drift detection (§4.9)</w:t>
            </w:r>
          </w:p>
        </w:tc>
        <w:tc>
          <w:tcPr>
            <w:tcW w:type="dxa" w:w="900"/>
            <w:tcBorders>
              <w:top w:val="single" w:color="FFB020" w:sz="2"/>
              <w:left w:val="single" w:color="FFB020" w:sz="2"/>
              <w:bottom w:val="single" w:color="FFB020" w:sz="2"/>
              <w:right w:val="single" w:color="FFB020" w:sz="2"/>
            </w:tcBorders>
            <w:shd w:fill="FFB020" w:val="clear"/>
            <w:tcMar>
              <w:top w:type="dxa" w:w="54"/>
              <w:left w:type="dxa" w:w="70"/>
              <w:bottom w:type="dxa" w:w="54"/>
              <w:right w:type="dxa" w:w="70"/>
            </w:tcMar>
            <w:vAlign w:val="center"/>
          </w:tcPr>
          <w:p>
            <w:pPr>
              <w:spacing w:after="0" w:line="244"/>
              <w:jc w:val="center"/>
            </w:pPr>
            <w:r>
              <w:rPr>
                <w:rFonts w:ascii="Inter" w:cs="Inter" w:eastAsia="Inter" w:hAnsi="Inter"/>
                <w:b/>
                <w:bCs/>
                <w:color w:val="050B18"/>
                <w:sz w:val="15"/>
                <w:szCs w:val="15"/>
              </w:rPr>
              <w:t xml:space="preserve">45%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Named and partially present (19 refs); depth not established — treat as a stub-to-partial surface.</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SSO / SCIM / SAML depth (§10.2)</w:t>
            </w:r>
          </w:p>
        </w:tc>
        <w:tc>
          <w:tcPr>
            <w:tcW w:type="dxa" w:w="900"/>
            <w:tcBorders>
              <w:top w:val="single" w:color="FFB020" w:sz="2"/>
              <w:left w:val="single" w:color="FFB020" w:sz="2"/>
              <w:bottom w:val="single" w:color="FFB020" w:sz="2"/>
              <w:right w:val="single" w:color="FFB020" w:sz="2"/>
            </w:tcBorders>
            <w:shd w:fill="FFB020" w:val="clear"/>
            <w:tcMar>
              <w:top w:type="dxa" w:w="54"/>
              <w:left w:type="dxa" w:w="70"/>
              <w:bottom w:type="dxa" w:w="54"/>
              <w:right w:type="dxa" w:w="70"/>
            </w:tcMar>
            <w:vAlign w:val="center"/>
          </w:tcPr>
          <w:p>
            <w:pPr>
              <w:spacing w:after="0" w:line="244"/>
              <w:jc w:val="center"/>
            </w:pPr>
            <w:r>
              <w:rPr>
                <w:rFonts w:ascii="Inter" w:cs="Inter" w:eastAsia="Inter" w:hAnsi="Inter"/>
                <w:b/>
                <w:bCs/>
                <w:color w:val="050B18"/>
                <w:sz w:val="15"/>
                <w:szCs w:val="15"/>
              </w:rPr>
              <w:t xml:space="preserve">50%</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V5 enterprise-identity endpoints exist (163 refs); validated less deeply than MFA — present, depth unconfirmed.</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OT-safe Edge Collector / historian (§4.6)</w:t>
            </w:r>
          </w:p>
        </w:tc>
        <w:tc>
          <w:tcPr>
            <w:tcW w:type="dxa" w:w="900"/>
            <w:tcBorders>
              <w:top w:val="single" w:color="FF4D6D" w:sz="2"/>
              <w:left w:val="single" w:color="FF4D6D" w:sz="2"/>
              <w:bottom w:val="single" w:color="FF4D6D" w:sz="2"/>
              <w:right w:val="single" w:color="FF4D6D" w:sz="2"/>
            </w:tcBorders>
            <w:shd w:fill="FF4D6D"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15%</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Documented in the doctrine; not in code (zero references). PPIQ connects directly; the one-way DMZ collector is unbuilt.</w:t>
            </w:r>
          </w:p>
        </w:tc>
      </w:tr>
      <w:tr>
        <w:tc>
          <w:tcPr>
            <w:tcW w:type="dxa" w:w="314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Real embedding model for assistant (§7.8)</w:t>
            </w:r>
          </w:p>
        </w:tc>
        <w:tc>
          <w:tcPr>
            <w:tcW w:type="dxa" w:w="900"/>
            <w:tcBorders>
              <w:top w:val="single" w:color="FF4D6D" w:sz="2"/>
              <w:left w:val="single" w:color="FF4D6D" w:sz="2"/>
              <w:bottom w:val="single" w:color="FF4D6D" w:sz="2"/>
              <w:right w:val="single" w:color="FF4D6D" w:sz="2"/>
            </w:tcBorders>
            <w:shd w:fill="FF4D6D" w:val="clear"/>
            <w:tcMar>
              <w:top w:type="dxa" w:w="54"/>
              <w:left w:type="dxa" w:w="70"/>
              <w:bottom w:type="dxa" w:w="54"/>
              <w:right w:type="dxa" w:w="70"/>
            </w:tcMar>
            <w:vAlign w:val="center"/>
          </w:tcPr>
          <w:p>
            <w:pPr>
              <w:spacing w:after="0" w:line="244"/>
              <w:jc w:val="center"/>
            </w:pPr>
            <w:r>
              <w:rPr>
                <w:rFonts w:ascii="Inter" w:cs="Inter" w:eastAsia="Inter" w:hAnsi="Inter"/>
                <w:b/>
                <w:bCs/>
                <w:color w:val="FFFFFF"/>
                <w:sz w:val="15"/>
                <w:szCs w:val="15"/>
              </w:rPr>
              <w:t xml:space="preserve">20%</w:t>
            </w:r>
          </w:p>
        </w:tc>
        <w:tc>
          <w:tcPr>
            <w:tcW w:type="dxa" w:w="53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IEmbedder seam exists; only HashingEmbedder / deterministic placeholder is wired — no real model behind it.</w:t>
            </w:r>
          </w:p>
        </w:tc>
      </w:tr>
    </w:tbl>
    <w:p>
      <w:pPr>
        <w:pStyle w:val="Heading1"/>
        <w:pBdr>
          <w:bottom w:val="single" w:color="0A84FF" w:sz="10" w:space="4"/>
        </w:pBdr>
        <w:spacing w:after="120" w:before="300"/>
      </w:pPr>
      <w:r>
        <w:rPr>
          <w:rFonts w:ascii="Inter" w:cs="Inter" w:eastAsia="Inter" w:hAnsi="Inter"/>
          <w:b/>
          <w:bCs/>
          <w:color w:val="102A43"/>
          <w:sz w:val="28"/>
          <w:szCs w:val="28"/>
        </w:rPr>
        <w:t xml:space="preserve">3 · Tier A — implemented ≥ 90% (consider done)</w:t>
      </w:r>
    </w:p>
    <w:p>
      <w:pPr>
        <w:spacing w:after="120" w:before="40" w:line="264"/>
      </w:pPr>
      <w:r>
        <w:rPr>
          <w:rFonts w:ascii="Inter" w:cs="Inter" w:eastAsia="Inter" w:hAnsi="Inter"/>
          <w:b w:val="false"/>
          <w:bCs w:val="false"/>
          <w:i w:val="false"/>
          <w:iCs w:val="false"/>
          <w:caps w:val="false"/>
          <w:color w:val="16263B"/>
          <w:sz w:val="19"/>
          <w:szCs w:val="19"/>
        </w:rPr>
        <w:t xml:space="preserve">These dimensions meet or exceed the doctrine. They are not merely present; they are complete enough to demo, sell against, and build on.</w:t>
      </w:r>
    </w:p>
    <w:p>
      <w:pPr>
        <w:spacing w:after="50" w:before="150"/>
      </w:pPr>
      <w:r>
        <w:rPr>
          <w:rFonts w:ascii="Inter" w:cs="Inter" w:eastAsia="Inter" w:hAnsi="Inter"/>
          <w:b/>
          <w:bCs/>
          <w:color w:val="102A43"/>
          <w:sz w:val="18"/>
          <w:szCs w:val="18"/>
        </w:rPr>
        <w:t xml:space="preserve">3.1 The L4 statistical engine — PlantProcess.Analytics.Core (≈ 95%)</w:t>
      </w:r>
    </w:p>
    <w:p>
      <w:pPr>
        <w:spacing w:after="120" w:before="40" w:line="264"/>
      </w:pPr>
      <w:r>
        <w:rPr>
          <w:rFonts w:ascii="Inter" w:cs="Inter" w:eastAsia="Inter" w:hAnsi="Inter"/>
          <w:b w:val="false"/>
          <w:bCs w:val="false"/>
          <w:i w:val="false"/>
          <w:iCs w:val="false"/>
          <w:caps w:val="false"/>
          <w:color w:val="16263B"/>
          <w:sz w:val="19"/>
          <w:szCs w:val="19"/>
        </w:rPr>
        <w:t xml:space="preserve">This is the single most important finding of the audit. A dedicated, deterministic statistics library implements, for real, the exact pipeline the doctrine specifies in §7.3–7.4:</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Method auto-selection</w:t>
      </w:r>
      <w:r>
        <w:rPr>
          <w:rFonts w:ascii="Inter" w:cs="Inter" w:eastAsia="Inter" w:hAnsi="Inter"/>
          <w:b w:val="false"/>
          <w:bCs w:val="false"/>
          <w:i w:val="false"/>
          <w:iCs w:val="false"/>
          <w:caps w:val="false"/>
          <w:color w:val="16263B"/>
          <w:sz w:val="19"/>
          <w:szCs w:val="19"/>
        </w:rPr>
        <w:t xml:space="preserve"> by variable type — Spearman for numeric/numeric, point-biserial for binary, Cramér's V for categorical, mutual information for detected non-linearity (it actually tests: if |Spearman| &lt; 0.15 but normalised MI &gt; 0.2, it switches method).</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Effect-size-first ranking</w:t>
      </w:r>
      <w:r>
        <w:rPr>
          <w:rFonts w:ascii="Inter" w:cs="Inter" w:eastAsia="Inter" w:hAnsi="Inter"/>
          <w:b w:val="false"/>
          <w:bCs w:val="false"/>
          <w:i w:val="false"/>
          <w:iCs w:val="false"/>
          <w:caps w:val="false"/>
          <w:color w:val="16263B"/>
          <w:sz w:val="19"/>
          <w:szCs w:val="19"/>
        </w:rPr>
        <w:t xml:space="preserve"> — findings are ordered by |effect|, with the p-value used only as a tie-breaker. This is precisely the doctrine's anti-“p-hacking” rule, implemented in one line and tested.</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Benjamini-Hochberg FDR</w:t>
      </w:r>
      <w:r>
        <w:rPr>
          <w:rFonts w:ascii="Inter" w:cs="Inter" w:eastAsia="Inter" w:hAnsi="Inter"/>
          <w:b w:val="false"/>
          <w:bCs w:val="false"/>
          <w:i w:val="false"/>
          <w:iCs w:val="false"/>
          <w:caps w:val="false"/>
          <w:color w:val="16263B"/>
          <w:sz w:val="19"/>
          <w:szCs w:val="19"/>
        </w:rPr>
        <w:t xml:space="preserve"> — a correct step-up procedure with monotone q-values and significance at level q, controlling the false-discovery rate across many tests.</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Deterministic bootstrap stability</w:t>
      </w:r>
      <w:r>
        <w:rPr>
          <w:rFonts w:ascii="Inter" w:cs="Inter" w:eastAsia="Inter" w:hAnsi="Inter"/>
          <w:b w:val="false"/>
          <w:bCs w:val="false"/>
          <w:i w:val="false"/>
          <w:iCs w:val="false"/>
          <w:caps w:val="false"/>
          <w:color w:val="16263B"/>
          <w:sz w:val="19"/>
          <w:szCs w:val="19"/>
        </w:rPr>
        <w:t xml:space="preserve"> — fixed-seed resampling, percentile confidence interval, sign-consistency fraction; a finding is “stable” only if the CI excludes zero and the sign holds ≥ 95% of the time.</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Iterative VIF collinearity screen and an optional Lasso screen</w:t>
      </w:r>
      <w:r>
        <w:rPr>
          <w:rFonts w:ascii="Inter" w:cs="Inter" w:eastAsia="Inter" w:hAnsi="Inter"/>
          <w:b w:val="false"/>
          <w:bCs w:val="false"/>
          <w:i w:val="false"/>
          <w:iCs w:val="false"/>
          <w:caps w:val="false"/>
          <w:color w:val="16263B"/>
          <w:sz w:val="19"/>
          <w:szCs w:val="19"/>
        </w:rPr>
        <w:t xml:space="preserve"> — removes the worst-inflated predictor iteratively with deterministic tie-breaking; Lasso selects among many numeric predictors.</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A readiness gate that abstains</w:t>
      </w:r>
      <w:r>
        <w:rPr>
          <w:rFonts w:ascii="Inter" w:cs="Inter" w:eastAsia="Inter" w:hAnsi="Inter"/>
          <w:b w:val="false"/>
          <w:bCs w:val="false"/>
          <w:i w:val="false"/>
          <w:iCs w:val="false"/>
          <w:caps w:val="false"/>
          <w:color w:val="16263B"/>
          <w:sz w:val="19"/>
          <w:szCs w:val="19"/>
        </w:rPr>
        <w:t xml:space="preserve"> — independent heats, outcome events, minority-class balance, freshness, completeness; if the data isn't ready, it refuses to compute and says why. Honest abstention, in code.</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Provenance + caveat on every finding</w:t>
      </w:r>
      <w:r>
        <w:rPr>
          <w:rFonts w:ascii="Inter" w:cs="Inter" w:eastAsia="Inter" w:hAnsi="Inter"/>
          <w:b w:val="false"/>
          <w:bCs w:val="false"/>
          <w:i w:val="false"/>
          <w:iCs w:val="false"/>
          <w:caps w:val="false"/>
          <w:color w:val="16263B"/>
          <w:sz w:val="19"/>
          <w:szCs w:val="19"/>
        </w:rPr>
        <w:t xml:space="preserve"> — each result carries a provenance handle and a mandatory honesty caveat, and the whole engine is deterministic (fixed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Why this is exceptional, not just done</w:t>
            </w:r>
          </w:p>
          <w:p>
            <w:pPr>
              <w:spacing w:after="120" w:before="40" w:line="264"/>
            </w:pPr>
            <w:r>
              <w:rPr>
                <w:rFonts w:ascii="Inter" w:cs="Inter" w:eastAsia="Inter" w:hAnsi="Inter"/>
                <w:b w:val="false"/>
                <w:bCs w:val="false"/>
                <w:i w:val="false"/>
                <w:iCs w:val="false"/>
                <w:caps w:val="false"/>
                <w:color w:val="16263B"/>
                <w:sz w:val="19"/>
                <w:szCs w:val="19"/>
              </w:rPr>
              <w:t xml:space="preserve">Most commercial “AI quality” tools either hide their method or report a single confident correlation. This engine does the opposite: it names the method, controls multiple testing, bootstraps the result, checks it survives across strata, and abstains when the data can't support a claim — and it is covered by golden-data tests. This is graduate-level statistical discipline, cleanly written. It is the strongest argument the product has, and it is real.</w:t>
            </w:r>
          </w:p>
        </w:tc>
      </w:tr>
    </w:tbl>
    <w:p>
      <w:pPr>
        <w:spacing w:after="50" w:before="150"/>
      </w:pPr>
      <w:r>
        <w:rPr>
          <w:rFonts w:ascii="Inter" w:cs="Inter" w:eastAsia="Inter" w:hAnsi="Inter"/>
          <w:b/>
          <w:bCs/>
          <w:color w:val="102A43"/>
          <w:sz w:val="18"/>
          <w:szCs w:val="18"/>
        </w:rPr>
        <w:t xml:space="preserve">3.2 Read-only SQL safety — SafeSqlValidator (≈ 90%)</w:t>
      </w:r>
    </w:p>
    <w:p>
      <w:pPr>
        <w:spacing w:after="120" w:before="40" w:line="264"/>
      </w:pPr>
      <w:r>
        <w:rPr>
          <w:rFonts w:ascii="Inter" w:cs="Inter" w:eastAsia="Inter" w:hAnsi="Inter"/>
          <w:b w:val="false"/>
          <w:bCs w:val="false"/>
          <w:i w:val="false"/>
          <w:iCs w:val="false"/>
          <w:caps w:val="false"/>
          <w:color w:val="16263B"/>
          <w:sz w:val="19"/>
          <w:szCs w:val="19"/>
        </w:rPr>
        <w:t xml:space="preserve">The trust mechanism behind “we connect to your database and never write to it” is genuinely strong. The validator strips comments first (defeating comment-obfuscation), matches a large forbidden-token list on word boundaries (so OFFSET is not mistaken for a forbidden token), parses every JOIN and comma-join style including quoted and back-ticked identifiers, validates each referenced table against an allowlist, and requires an explicit LIMIT on WITH RECURSIVE. It fails closed. The forbidden list is thorough — PostgreSQL file and dblink and sleep functions, system catalogs, SQL Server xp_/sp_/openrowset. One genericity caveat (the hardcoded allowlist) is raised in Section 8; it does not weaken safety, only portability.</w:t>
      </w:r>
    </w:p>
    <w:p>
      <w:pPr>
        <w:spacing w:after="50" w:before="150"/>
      </w:pPr>
      <w:r>
        <w:rPr>
          <w:rFonts w:ascii="Inter" w:cs="Inter" w:eastAsia="Inter" w:hAnsi="Inter"/>
          <w:b/>
          <w:bCs/>
          <w:color w:val="102A43"/>
          <w:sz w:val="18"/>
          <w:szCs w:val="18"/>
        </w:rPr>
        <w:t xml:space="preserve">3.3 Authentication core (≈ 90%)</w:t>
      </w:r>
    </w:p>
    <w:p>
      <w:pPr>
        <w:spacing w:after="120" w:before="40" w:line="264"/>
      </w:pPr>
      <w:r>
        <w:rPr>
          <w:rFonts w:ascii="Inter" w:cs="Inter" w:eastAsia="Inter" w:hAnsi="Inter"/>
          <w:b w:val="false"/>
          <w:bCs w:val="false"/>
          <w:i w:val="false"/>
          <w:iCs w:val="false"/>
          <w:caps w:val="false"/>
          <w:color w:val="16263B"/>
          <w:sz w:val="19"/>
          <w:szCs w:val="19"/>
        </w:rPr>
        <w:t xml:space="preserve">Production-grade and beyond the doctrine's “today” worry about browser-stored tokens. Passwords are hashed with Argon2id via Konscious; each user record stores its own algorithm and parameters, and a legacy hash is transparently re-hashed on next login. Refresh tokens are never stored raw — only their SHA-256 hash, alongside the user agent and client IP. The JWT signing key is read from configuration with a fail-fast guard that throws if it is missing or shorter than 32 characters, and a per-request key resolver keeps minting and validation identical across Kestrel, the test host, and production (with a code comment documenting the subtle bug that motivated it).</w:t>
      </w:r>
    </w:p>
    <w:p>
      <w:pPr>
        <w:spacing w:after="50" w:before="150"/>
      </w:pPr>
      <w:r>
        <w:rPr>
          <w:rFonts w:ascii="Inter" w:cs="Inter" w:eastAsia="Inter" w:hAnsi="Inter"/>
          <w:b/>
          <w:bCs/>
          <w:color w:val="102A43"/>
          <w:sz w:val="18"/>
          <w:szCs w:val="18"/>
        </w:rPr>
        <w:t xml:space="preserve">3.4 Clean-Architecture layering (≈ 92%)</w:t>
      </w:r>
    </w:p>
    <w:p>
      <w:pPr>
        <w:spacing w:after="120" w:before="40" w:line="264"/>
      </w:pPr>
      <w:r>
        <w:rPr>
          <w:rFonts w:ascii="Inter" w:cs="Inter" w:eastAsia="Inter" w:hAnsi="Inter"/>
          <w:b w:val="false"/>
          <w:bCs w:val="false"/>
          <w:i w:val="false"/>
          <w:iCs w:val="false"/>
          <w:caps w:val="false"/>
          <w:color w:val="16263B"/>
          <w:sz w:val="19"/>
          <w:szCs w:val="19"/>
        </w:rPr>
        <w:t xml:space="preserve">The solution is properly layered — Domain, Application, Infrastructure, Api, Workers — with 552 C# files, 37 EF Core configurations, dependency injection, and a clear separation of contracts, interfaces, and services. The structure itself is a strong foundation and is one reason the harder features could be added cleanly.</w:t>
      </w:r>
    </w:p>
    <w:p>
      <w:pPr>
        <w:pStyle w:val="Heading1"/>
        <w:pBdr>
          <w:bottom w:val="single" w:color="0A84FF" w:sz="10" w:space="4"/>
        </w:pBdr>
        <w:spacing w:after="120" w:before="300"/>
      </w:pPr>
      <w:r>
        <w:rPr>
          <w:rFonts w:ascii="Inter" w:cs="Inter" w:eastAsia="Inter" w:hAnsi="Inter"/>
          <w:b/>
          <w:bCs/>
          <w:color w:val="102A43"/>
          <w:sz w:val="28"/>
          <w:szCs w:val="28"/>
        </w:rPr>
        <w:t xml:space="preserve">4 · Tier B — implemented ≥ 65% (consider mostly done)</w:t>
      </w:r>
    </w:p>
    <w:p>
      <w:pPr>
        <w:spacing w:after="120" w:before="40" w:line="264"/>
      </w:pPr>
      <w:r>
        <w:rPr>
          <w:rFonts w:ascii="Inter" w:cs="Inter" w:eastAsia="Inter" w:hAnsi="Inter"/>
          <w:b w:val="false"/>
          <w:bCs w:val="false"/>
          <w:i w:val="false"/>
          <w:iCs w:val="false"/>
          <w:caps w:val="false"/>
          <w:color w:val="16263B"/>
          <w:sz w:val="19"/>
          <w:szCs w:val="19"/>
        </w:rPr>
        <w:t xml:space="preserve">Substantial, coherent, and usable, with a clear and short path to “done.” Grouped by area.</w:t>
      </w:r>
    </w:p>
    <w:p>
      <w:pPr>
        <w:spacing w:after="50" w:before="150"/>
      </w:pPr>
      <w:r>
        <w:rPr>
          <w:rFonts w:ascii="Inter" w:cs="Inter" w:eastAsia="Inter" w:hAnsi="Inter"/>
          <w:b/>
          <w:bCs/>
          <w:color w:val="102A43"/>
          <w:sz w:val="18"/>
          <w:szCs w:val="18"/>
        </w:rPr>
        <w:t xml:space="preserve">4.1 The euro value model (≈ 85%)</w:t>
      </w:r>
    </w:p>
    <w:p>
      <w:pPr>
        <w:spacing w:after="120" w:before="40" w:line="264"/>
      </w:pPr>
      <w:r>
        <w:rPr>
          <w:rFonts w:ascii="Inter" w:cs="Inter" w:eastAsia="Inter" w:hAnsi="Inter"/>
          <w:b w:val="false"/>
          <w:bCs w:val="false"/>
          <w:i w:val="false"/>
          <w:iCs w:val="false"/>
          <w:caps w:val="false"/>
          <w:color w:val="16263B"/>
          <w:sz w:val="19"/>
          <w:szCs w:val="19"/>
        </w:rPr>
        <w:t xml:space="preserve">The doctrine's single biggest projected gap is, in fact, built. ValueImpactEngine implements the exact §7.5 formula — defect-rate-delta × monthly volume × (downgrade|scrap) cost, plus production-stop minutes × downtime cost, plus yield-loss × grade premium. Crucially it produces a low/mid/high range (never one guaranteed number), abstains when any cost band is missing, and attaches a provenance handle to every term. A ValueHonestyLint and dedicated tests enforce the discipline. What remains to reach “done” is the management and per-tenant surfacing of cost assumptions, not the kernel.</w:t>
      </w:r>
    </w:p>
    <w:p>
      <w:pPr>
        <w:spacing w:after="50" w:before="150"/>
      </w:pPr>
      <w:r>
        <w:rPr>
          <w:rFonts w:ascii="Inter" w:cs="Inter" w:eastAsia="Inter" w:hAnsi="Inter"/>
          <w:b/>
          <w:bCs/>
          <w:color w:val="102A43"/>
          <w:sz w:val="18"/>
          <w:szCs w:val="18"/>
        </w:rPr>
        <w:t xml:space="preserve">4.2 Identity, MFA, roles, multi-tenancy (≈ 78–85%)</w:t>
      </w:r>
    </w:p>
    <w:p>
      <w:pPr>
        <w:spacing w:after="120" w:before="40" w:line="264"/>
      </w:pPr>
      <w:r>
        <w:rPr>
          <w:rFonts w:ascii="Inter" w:cs="Inter" w:eastAsia="Inter" w:hAnsi="Inter"/>
          <w:b w:val="false"/>
          <w:bCs w:val="false"/>
          <w:i w:val="false"/>
          <w:iCs w:val="false"/>
          <w:caps w:val="false"/>
          <w:color w:val="16263B"/>
          <w:sz w:val="19"/>
          <w:szCs w:val="19"/>
        </w:rPr>
        <w:t xml:space="preserve">Time-based one-time-password MFA is real: enrolment generates an encrypted secret and eight hashed recovery codes and an authenticator-app provisioning URI; verification supports a recovery-code fallback; a policy decides whether MFA is required for admins or for everyone; and every step writes an auth event. Roles run through PlantAccessControl, and multi-tenancy is pervasive (TenantId appears 773 times). The enterprise SSO/SCIM/SAML endpoints exist but were validated less deeply than MFA (see Section 10).</w:t>
      </w:r>
    </w:p>
    <w:p>
      <w:pPr>
        <w:spacing w:after="50" w:before="150"/>
      </w:pPr>
      <w:r>
        <w:rPr>
          <w:rFonts w:ascii="Inter" w:cs="Inter" w:eastAsia="Inter" w:hAnsi="Inter"/>
          <w:b/>
          <w:bCs/>
          <w:color w:val="102A43"/>
          <w:sz w:val="18"/>
          <w:szCs w:val="18"/>
        </w:rPr>
        <w:t xml:space="preserve">4.3 Connectors, mapping, KPIs, dashboards, widgets (≈ 75–85%)</w:t>
      </w:r>
    </w:p>
    <w:p>
      <w:pPr>
        <w:spacing w:after="120" w:before="40" w:line="264"/>
      </w:pPr>
      <w:r>
        <w:rPr>
          <w:rFonts w:ascii="Inter" w:cs="Inter" w:eastAsia="Inter" w:hAnsi="Inter"/>
          <w:b w:val="false"/>
          <w:bCs w:val="false"/>
          <w:i w:val="false"/>
          <w:iCs w:val="false"/>
          <w:caps w:val="false"/>
          <w:color w:val="16263B"/>
          <w:sz w:val="19"/>
          <w:szCs w:val="19"/>
        </w:rPr>
        <w:t xml:space="preserve">Six database/file connectors exist behind a factory and a read-only session, with delta and two-stage import. The mapping engine (MappingExecutionService, ~900 lines) plus the schema-configuration and business-key dictionary cover the canonical-mapping story. KPIs are evaluated by a real KpiEngine with a safe recursive-descent expression evaluator and threshold/severity/tenant-target logic — an engine-first approach that is arguably better than the doctrine's KPI-as-view sketch (only one view file exists, which is fine given the engine). Dashboards and widgets are driven by definition, query, and metadata services plus a widget-script SQL compiler, across 101 components and 47 pages.</w:t>
      </w:r>
    </w:p>
    <w:p>
      <w:pPr>
        <w:spacing w:after="50" w:before="150"/>
      </w:pPr>
      <w:r>
        <w:rPr>
          <w:rFonts w:ascii="Inter" w:cs="Inter" w:eastAsia="Inter" w:hAnsi="Inter"/>
          <w:b/>
          <w:bCs/>
          <w:color w:val="102A43"/>
          <w:sz w:val="18"/>
          <w:szCs w:val="18"/>
        </w:rPr>
        <w:t xml:space="preserve">4.4 Suggestions, jobs, demo, deployment, security (≈ 70–85%)</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Suggestions</w:t>
      </w:r>
      <w:r>
        <w:rPr>
          <w:rFonts w:ascii="Inter" w:cs="Inter" w:eastAsia="Inter" w:hAnsi="Inter"/>
          <w:b w:val="false"/>
          <w:bCs w:val="false"/>
          <w:i w:val="false"/>
          <w:iCs w:val="false"/>
          <w:caps w:val="false"/>
          <w:color w:val="16263B"/>
          <w:sz w:val="19"/>
          <w:szCs w:val="19"/>
        </w:rPr>
        <w:t xml:space="preserve"> — a full subsystem: engine, confidence model, workflow, generation job, store, endpoint, and tests.</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Jobs</w:t>
      </w:r>
      <w:r>
        <w:rPr>
          <w:rFonts w:ascii="Inter" w:cs="Inter" w:eastAsia="Inter" w:hAnsi="Inter"/>
          <w:b w:val="false"/>
          <w:bCs w:val="false"/>
          <w:i w:val="false"/>
          <w:iCs w:val="false"/>
          <w:caps w:val="false"/>
          <w:color w:val="16263B"/>
          <w:sz w:val="19"/>
          <w:szCs w:val="19"/>
        </w:rPr>
        <w:t xml:space="preserve"> — definition, registration, orchestration, and runtime services with a worker host and idempotency; a custom scheduler rather than Hangfire/Quartz, which is fine if its durability is tested.</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Demo-through-HMI</w:t>
      </w:r>
      <w:r>
        <w:rPr>
          <w:rFonts w:ascii="Inter" w:cs="Inter" w:eastAsia="Inter" w:hAnsi="Inter"/>
          <w:b w:val="false"/>
          <w:bCs w:val="false"/>
          <w:i w:val="false"/>
          <w:iCs w:val="false"/>
          <w:caps w:val="false"/>
          <w:color w:val="16263B"/>
          <w:sz w:val="19"/>
          <w:szCs w:val="19"/>
        </w:rPr>
        <w:t xml:space="preserve"> — DemoLifecycleService plus thirteen seed scripts; reset/build flows exist. The doctrine's golden rule (“builds from empty via the HMI, nothing hardcoded”) needs one end-to-end proof to confirm.</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Deployment</w:t>
      </w:r>
      <w:r>
        <w:rPr>
          <w:rFonts w:ascii="Inter" w:cs="Inter" w:eastAsia="Inter" w:hAnsi="Inter"/>
          <w:b w:val="false"/>
          <w:bCs w:val="false"/>
          <w:i w:val="false"/>
          <w:iCs w:val="false"/>
          <w:caps w:val="false"/>
          <w:color w:val="16263B"/>
          <w:sz w:val="19"/>
          <w:szCs w:val="19"/>
        </w:rPr>
        <w:t xml:space="preserve"> — an eight-container compose stack, Caddy, Jenkins CI, the database bound to loopback, a password-rotation script, and an exposure-verification script.</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Genealogy, provenance, data quality, readiness</w:t>
      </w:r>
      <w:r>
        <w:rPr>
          <w:rFonts w:ascii="Inter" w:cs="Inter" w:eastAsia="Inter" w:hAnsi="Inter"/>
          <w:b w:val="false"/>
          <w:bCs w:val="false"/>
          <w:i w:val="false"/>
          <w:iCs w:val="false"/>
          <w:caps w:val="false"/>
          <w:color w:val="16263B"/>
          <w:sz w:val="19"/>
          <w:szCs w:val="19"/>
        </w:rPr>
        <w:t xml:space="preserve"> — all present as real services and woven together (genealogy into ML readiness, provenance handles across analytics, quality labels and coverage).</w:t>
      </w:r>
    </w:p>
    <w:p>
      <w:pPr>
        <w:pStyle w:val="Heading1"/>
        <w:pBdr>
          <w:bottom w:val="single" w:color="0A84FF" w:sz="10" w:space="4"/>
        </w:pBdr>
        <w:spacing w:after="120" w:before="300"/>
      </w:pPr>
      <w:r>
        <w:rPr>
          <w:rFonts w:ascii="Inter" w:cs="Inter" w:eastAsia="Inter" w:hAnsi="Inter"/>
          <w:b/>
          <w:bCs/>
          <w:color w:val="102A43"/>
          <w:sz w:val="28"/>
          <w:szCs w:val="28"/>
        </w:rPr>
        <w:t xml:space="preserve">5 · Tier C — implemented ≥ 40% (consider slightly done)</w:t>
      </w:r>
    </w:p>
    <w:p>
      <w:pPr>
        <w:spacing w:after="50" w:before="150"/>
      </w:pPr>
      <w:r>
        <w:rPr>
          <w:rFonts w:ascii="Inter" w:cs="Inter" w:eastAsia="Inter" w:hAnsi="Inter"/>
          <w:b/>
          <w:bCs/>
          <w:color w:val="102A43"/>
          <w:sz w:val="18"/>
          <w:szCs w:val="18"/>
        </w:rPr>
        <w:t xml:space="preserve">5.1 The assistant (≈ 58%)</w:t>
      </w:r>
    </w:p>
    <w:p>
      <w:pPr>
        <w:spacing w:after="120" w:before="40" w:line="264"/>
      </w:pPr>
      <w:r>
        <w:rPr>
          <w:rFonts w:ascii="Inter" w:cs="Inter" w:eastAsia="Inter" w:hAnsi="Inter"/>
          <w:b w:val="false"/>
          <w:bCs w:val="false"/>
          <w:i w:val="false"/>
          <w:iCs w:val="false"/>
          <w:caps w:val="false"/>
          <w:color w:val="16263B"/>
          <w:sz w:val="19"/>
          <w:szCs w:val="19"/>
        </w:rPr>
        <w:t xml:space="preserve">The architecture is genuinely good and matches the doctrine's intent: an extractive, grounded assistant (ExtractiveAssistantModel + GroundingService) that explains findings from retrieved evidence rather than inventing them, behind a swappable model gateway with a certification path and a tool registry. The gap is the brain: the IEmbedder seam is filled by a hashing/deterministic placeholder, explicitly labelled “until a real embedding model is configured.” So the guardrails are done and the retrieval contract is proven, but semantic search quality is not production-grade until a real embedder is wired. This is why it scores in the middle tier despite excellent scaffolding.</w:t>
      </w:r>
    </w:p>
    <w:p>
      <w:pPr>
        <w:spacing w:after="50" w:before="150"/>
      </w:pPr>
      <w:r>
        <w:rPr>
          <w:rFonts w:ascii="Inter" w:cs="Inter" w:eastAsia="Inter" w:hAnsi="Inter"/>
          <w:b/>
          <w:bCs/>
          <w:color w:val="102A43"/>
          <w:sz w:val="18"/>
          <w:szCs w:val="18"/>
        </w:rPr>
        <w:t xml:space="preserve">5.2 Schema-drift detection (≈ 45%)</w:t>
      </w:r>
    </w:p>
    <w:p>
      <w:pPr>
        <w:spacing w:after="120" w:before="40" w:line="264"/>
      </w:pPr>
      <w:r>
        <w:rPr>
          <w:rFonts w:ascii="Inter" w:cs="Inter" w:eastAsia="Inter" w:hAnsi="Inter"/>
          <w:b w:val="false"/>
          <w:bCs w:val="false"/>
          <w:i w:val="false"/>
          <w:iCs w:val="false"/>
          <w:caps w:val="false"/>
          <w:color w:val="16263B"/>
          <w:sz w:val="19"/>
          <w:szCs w:val="19"/>
        </w:rPr>
        <w:t xml:space="preserve">The concept is named and partially present (about nineteen references) but its depth was not established by reading; treat it as a stub-to-partial surface that needs either completion or an explicit “not yet” in the roadmap. The doctrine expects drift to be detected and surfaced when a source schema changes under a live mapping.</w:t>
      </w:r>
    </w:p>
    <w:p>
      <w:pPr>
        <w:spacing w:after="50" w:before="150"/>
      </w:pPr>
      <w:r>
        <w:rPr>
          <w:rFonts w:ascii="Inter" w:cs="Inter" w:eastAsia="Inter" w:hAnsi="Inter"/>
          <w:b/>
          <w:bCs/>
          <w:color w:val="102A43"/>
          <w:sz w:val="18"/>
          <w:szCs w:val="18"/>
        </w:rPr>
        <w:t xml:space="preserve">5.3 SSO / SCIM / SAML (≈ 50%)</w:t>
      </w:r>
    </w:p>
    <w:p>
      <w:pPr>
        <w:spacing w:after="120" w:before="40" w:line="264"/>
      </w:pPr>
      <w:r>
        <w:rPr>
          <w:rFonts w:ascii="Inter" w:cs="Inter" w:eastAsia="Inter" w:hAnsi="Inter"/>
          <w:b w:val="false"/>
          <w:bCs w:val="false"/>
          <w:i w:val="false"/>
          <w:iCs w:val="false"/>
          <w:caps w:val="false"/>
          <w:color w:val="16263B"/>
          <w:sz w:val="19"/>
          <w:szCs w:val="19"/>
        </w:rPr>
        <w:t xml:space="preserve">Enterprise-identity endpoints exist (the same V5 identity subsystem that does MFA so well), with 163 references across the code, but they were validated structurally rather than line-by-line. Present and plausibly substantial, but the depth — real SAML assertion handling, real SCIM provisioning round-trips — is unconfirmed here.</w:t>
      </w:r>
    </w:p>
    <w:p>
      <w:pPr>
        <w:pStyle w:val="Heading1"/>
        <w:pBdr>
          <w:bottom w:val="single" w:color="0A84FF" w:sz="10" w:space="4"/>
        </w:pBdr>
        <w:spacing w:after="120" w:before="300"/>
      </w:pPr>
      <w:r>
        <w:rPr>
          <w:rFonts w:ascii="Inter" w:cs="Inter" w:eastAsia="Inter" w:hAnsi="Inter"/>
          <w:b/>
          <w:bCs/>
          <w:color w:val="102A43"/>
          <w:sz w:val="28"/>
          <w:szCs w:val="28"/>
        </w:rPr>
        <w:t xml:space="preserve">6 · Tier D — implemented &lt; 40% (not started or just started)</w:t>
      </w:r>
    </w:p>
    <w:p>
      <w:pPr>
        <w:spacing w:after="50" w:before="150"/>
      </w:pPr>
      <w:r>
        <w:rPr>
          <w:rFonts w:ascii="Inter" w:cs="Inter" w:eastAsia="Inter" w:hAnsi="Inter"/>
          <w:b/>
          <w:bCs/>
          <w:color w:val="102A43"/>
          <w:sz w:val="18"/>
          <w:szCs w:val="18"/>
        </w:rPr>
        <w:t xml:space="preserve">6.1 OT-safe Edge Collector and historian sources (≈ 15%)</w:t>
      </w:r>
    </w:p>
    <w:p>
      <w:pPr>
        <w:spacing w:after="120" w:before="40" w:line="264"/>
      </w:pPr>
      <w:r>
        <w:rPr>
          <w:rFonts w:ascii="Inter" w:cs="Inter" w:eastAsia="Inter" w:hAnsi="Inter"/>
          <w:b w:val="false"/>
          <w:bCs w:val="false"/>
          <w:i w:val="false"/>
          <w:iCs w:val="false"/>
          <w:caps w:val="false"/>
          <w:color w:val="16263B"/>
          <w:sz w:val="19"/>
          <w:szCs w:val="19"/>
        </w:rPr>
        <w:t xml:space="preserve">This is the one true absence. The doctrine devotes a section and a diagram to a one-way, customer-controlled Edge Collector sitting in a DMZ between the plant's OT network and PPIQ, with no inbound path to control — and to time-series/historian source connectors (PI, IP.21). In the code there are zero references to an Edge Collector, and the connectors are database/file only. PPIQ today connects directly via its database connectors. For high-security plants and for the “never touches control” promise to be demonstrable rather than asserted, the collector and at least one historian source need to be built. This is the headline item of Wave C.</w:t>
      </w:r>
    </w:p>
    <w:p>
      <w:pPr>
        <w:spacing w:after="50" w:before="150"/>
      </w:pPr>
      <w:r>
        <w:rPr>
          <w:rFonts w:ascii="Inter" w:cs="Inter" w:eastAsia="Inter" w:hAnsi="Inter"/>
          <w:b/>
          <w:bCs/>
          <w:color w:val="102A43"/>
          <w:sz w:val="18"/>
          <w:szCs w:val="18"/>
        </w:rPr>
        <w:t xml:space="preserve">6.2 A real embedding model for the assistant (≈ 20%)</w:t>
      </w:r>
    </w:p>
    <w:p>
      <w:pPr>
        <w:spacing w:after="120" w:before="40" w:line="264"/>
      </w:pPr>
      <w:r>
        <w:rPr>
          <w:rFonts w:ascii="Inter" w:cs="Inter" w:eastAsia="Inter" w:hAnsi="Inter"/>
          <w:b w:val="false"/>
          <w:bCs w:val="false"/>
          <w:i w:val="false"/>
          <w:iCs w:val="false"/>
          <w:caps w:val="false"/>
          <w:color w:val="16263B"/>
          <w:sz w:val="19"/>
          <w:szCs w:val="19"/>
        </w:rPr>
        <w:t xml:space="preserve">As above: the seam exists, the placeholder works for proving the pipeline, but no real model is behind it. Until one is, the assistant cannot do production-quality semantic retrieval over plant knowledge.</w:t>
      </w:r>
    </w:p>
    <w:p>
      <w:pPr>
        <w:pStyle w:val="Heading1"/>
        <w:pBdr>
          <w:bottom w:val="single" w:color="0A84FF" w:sz="10" w:space="4"/>
        </w:pBdr>
        <w:spacing w:after="120" w:before="300"/>
      </w:pPr>
      <w:r>
        <w:rPr>
          <w:rFonts w:ascii="Inter" w:cs="Inter" w:eastAsia="Inter" w:hAnsi="Inter"/>
          <w:b/>
          <w:bCs/>
          <w:color w:val="102A43"/>
          <w:sz w:val="28"/>
          <w:szCs w:val="28"/>
        </w:rPr>
        <w:t xml:space="preserve">7 · From the done / mostly-done set — what is exceptional</w:t>
      </w:r>
    </w:p>
    <w:p>
      <w:pPr>
        <w:spacing w:after="120" w:before="40" w:line="264"/>
      </w:pPr>
      <w:r>
        <w:rPr>
          <w:rFonts w:ascii="Inter" w:cs="Inter" w:eastAsia="Inter" w:hAnsi="Inter"/>
          <w:b w:val="false"/>
          <w:bCs w:val="false"/>
          <w:i w:val="false"/>
          <w:iCs w:val="false"/>
          <w:caps w:val="false"/>
          <w:color w:val="16263B"/>
          <w:sz w:val="19"/>
          <w:szCs w:val="19"/>
        </w:rPr>
        <w:t xml:space="preserve">These are implemented above the design, or to a standard that would survive scrutiny by a demanding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Built better than designed</w:t>
            </w:r>
          </w:p>
        </w:tc>
        <w:tc>
          <w:tcPr>
            <w:tcW w:type="dxa" w:w="6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Why it stands out</w:t>
            </w:r>
          </w:p>
        </w:tc>
      </w:tr>
      <w:tr>
        <w:tc>
          <w:tcPr>
            <w:tcW w:type="dxa" w:w="2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The L4 statistical engine (§7)</w:t>
            </w:r>
          </w:p>
        </w:tc>
        <w:tc>
          <w:tcPr>
            <w:tcW w:type="dxa" w:w="67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Real method-selection, BH-FDR, deterministic bootstrap CIs, stratified robustness, and honest abstention — golden-tested. Most vendors fake this; here it is genuine and clean. The product's strongest asset.</w:t>
            </w:r>
          </w:p>
        </w:tc>
      </w:tr>
      <w:tr>
        <w:tc>
          <w:tcPr>
            <w:tcW w:type="dxa" w:w="26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The value engine's honesty (§7.5)</w:t>
            </w:r>
          </w:p>
        </w:tc>
        <w:tc>
          <w:tcPr>
            <w:tcW w:type="dxa" w:w="67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Returns a range and a provenance handle, and abstains without a basis. It refuses to print a number it cannot defend — exactly the discipline the doctrine demands and the market rarely delivers.</w:t>
            </w:r>
          </w:p>
        </w:tc>
      </w:tr>
      <w:tr>
        <w:tc>
          <w:tcPr>
            <w:tcW w:type="dxa" w:w="2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Argon2id with algorithm agility + auto-rehash (§10.2)</w:t>
            </w:r>
          </w:p>
        </w:tc>
        <w:tc>
          <w:tcPr>
            <w:tcW w:type="dxa" w:w="67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Per-user algorithm/parameters with transparent re-hash on login is how mature systems migrate password schemes without a forced reset. Beyond the baseline.</w:t>
            </w:r>
          </w:p>
        </w:tc>
      </w:tr>
      <w:tr>
        <w:tc>
          <w:tcPr>
            <w:tcW w:type="dxa" w:w="26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TOTP MFA done properly (§10.2)</w:t>
            </w:r>
          </w:p>
        </w:tc>
        <w:tc>
          <w:tcPr>
            <w:tcW w:type="dxa" w:w="67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Encrypted secret, hashed recovery codes, provisioning URIs, enforcement policy, audit events — a complete, correct implementation, not a checkbox.</w:t>
            </w:r>
          </w:p>
        </w:tc>
      </w:tr>
      <w:tr>
        <w:tc>
          <w:tcPr>
            <w:tcW w:type="dxa" w:w="2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SafeSqlValidator's defense-in-depth (§4.3)</w:t>
            </w:r>
          </w:p>
        </w:tc>
        <w:tc>
          <w:tcPr>
            <w:tcW w:type="dxa" w:w="67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Comment-stripping + word-boundary tokens + table allowlist + recursion guard + full join parsing, failing closed. Serious engineering for the product's core trust claim.</w:t>
            </w:r>
          </w:p>
        </w:tc>
      </w:tr>
      <w:tr>
        <w:tc>
          <w:tcPr>
            <w:tcW w:type="dxa" w:w="26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Internationalisation &amp; accessibility (§8.6–8.7)</w:t>
            </w:r>
          </w:p>
        </w:tc>
        <w:tc>
          <w:tcPr>
            <w:tcW w:type="dxa" w:w="67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18,713 translation calls, ~3,992 ARIA attributes, RTL support, WCAG patterns — this quietly unlocks the MENA market and enterprise compliance, well ahead of an MVP.</w:t>
            </w:r>
          </w:p>
        </w:tc>
      </w:tr>
      <w:tr>
        <w:tc>
          <w:tcPr>
            <w:tcW w:type="dxa" w:w="2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Overall engineering discipline</w:t>
            </w:r>
          </w:p>
        </w:tc>
        <w:tc>
          <w:tcPr>
            <w:tcW w:type="dxa" w:w="67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Deterministic seeds, golden-data tests, provenance handles, fail-fast startup guards, a documented JWT mint/validate fix, and all four prior-audit criticals closed. Unusual rigor for a solo build.</w:t>
            </w:r>
          </w:p>
        </w:tc>
      </w:tr>
    </w:tbl>
    <w:p>
      <w:pPr>
        <w:pStyle w:val="Heading1"/>
        <w:pBdr>
          <w:bottom w:val="single" w:color="0A84FF" w:sz="10" w:space="4"/>
        </w:pBdr>
        <w:spacing w:after="120" w:before="300"/>
      </w:pPr>
      <w:r>
        <w:rPr>
          <w:rFonts w:ascii="Inter" w:cs="Inter" w:eastAsia="Inter" w:hAnsi="Inter"/>
          <w:b/>
          <w:bCs/>
          <w:color w:val="102A43"/>
          <w:sz w:val="28"/>
          <w:szCs w:val="28"/>
        </w:rPr>
        <w:t xml:space="preserve">8 · From the done / mostly-done set — what needs rework or refactor</w:t>
      </w:r>
    </w:p>
    <w:p>
      <w:pPr>
        <w:spacing w:after="120" w:before="40" w:line="264"/>
      </w:pPr>
      <w:r>
        <w:rPr>
          <w:rFonts w:ascii="Inter" w:cs="Inter" w:eastAsia="Inter" w:hAnsi="Inter"/>
          <w:b w:val="false"/>
          <w:bCs w:val="false"/>
          <w:i w:val="false"/>
          <w:iCs w:val="false"/>
          <w:caps w:val="false"/>
          <w:color w:val="16263B"/>
          <w:sz w:val="19"/>
          <w:szCs w:val="19"/>
        </w:rPr>
        <w:t xml:space="preserve">These are built, but in a way that is fragile, non-generic, or will cause friction as the platform expands. None is a crisis; all are worth scheduling before scaling to a second plant.</w:t>
      </w:r>
    </w:p>
    <w:p>
      <w:pPr>
        <w:spacing w:after="50" w:before="150"/>
      </w:pPr>
      <w:r>
        <w:rPr>
          <w:rFonts w:ascii="Inter" w:cs="Inter" w:eastAsia="Inter" w:hAnsi="Inter"/>
          <w:b/>
          <w:bCs/>
          <w:color w:val="102A43"/>
          <w:sz w:val="18"/>
          <w:szCs w:val="18"/>
        </w:rPr>
        <w:t xml:space="preserve">8.1 Overlapping correlation engines — consolidate (highest priority)</w:t>
      </w:r>
    </w:p>
    <w:p>
      <w:pPr>
        <w:spacing w:after="120" w:before="40" w:line="264"/>
      </w:pPr>
      <w:r>
        <w:rPr>
          <w:rFonts w:ascii="Inter" w:cs="Inter" w:eastAsia="Inter" w:hAnsi="Inter"/>
          <w:b w:val="false"/>
          <w:bCs w:val="false"/>
          <w:i w:val="false"/>
          <w:iCs w:val="false"/>
          <w:caps w:val="false"/>
          <w:color w:val="16263B"/>
          <w:sz w:val="19"/>
          <w:szCs w:val="19"/>
        </w:rPr>
        <w:t xml:space="preserve">There are now four parallel correlation paths: the MVP binning/lift CorrelationService, the AdvancedCorrelationComputeService over Analytics.Core, a ManagedStatisticalComputeEngine wrapping the same core, and a default PostgresCorrelationComputeEngine — plus three narrative providers (Local/Api/Configured). The repository even contains a CorrelationConsolidationArchitectureTests, which signals the team already senses the problem. The risk is real: ambiguity about which engine is authoritative, divergent results for the same question, and a maintenance burden. Choose one engine (the Analytics.Core path) as canonical, express the others as named strategies behind a single interface, and retire or clearly quarantine the MVP binning service.</w:t>
      </w:r>
    </w:p>
    <w:p>
      <w:pPr>
        <w:spacing w:after="50" w:before="150"/>
      </w:pPr>
      <w:r>
        <w:rPr>
          <w:rFonts w:ascii="Inter" w:cs="Inter" w:eastAsia="Inter" w:hAnsi="Inter"/>
          <w:b/>
          <w:bCs/>
          <w:color w:val="102A43"/>
          <w:sz w:val="18"/>
          <w:szCs w:val="18"/>
        </w:rPr>
        <w:t xml:space="preserve">8.2 SafeSqlValidator's hardcoded table allowlist — make it generic</w:t>
      </w:r>
    </w:p>
    <w:p>
      <w:pPr>
        <w:spacing w:after="120" w:before="40" w:line="264"/>
      </w:pPr>
      <w:r>
        <w:rPr>
          <w:rFonts w:ascii="Inter" w:cs="Inter" w:eastAsia="Inter" w:hAnsi="Inter"/>
          <w:b w:val="false"/>
          <w:bCs w:val="false"/>
          <w:i w:val="false"/>
          <w:iCs w:val="false"/>
          <w:caps w:val="false"/>
          <w:color w:val="16263B"/>
          <w:sz w:val="19"/>
          <w:szCs w:val="19"/>
        </w:rPr>
        <w:t xml:space="preserve">The allowlist of permitted tables is baked into the validator's source — and it includes demo-specific tables (hsm_coils, parsytec_surface_defects, and similar). For a product whose whole premise is connecting to arbitrary customer schemas, a static, demo-coupled list means every new plant or canonical-model change requires editing security code. It fails closed, so it is safe — but it will block legitimate expansion. Derive the allowlist at runtime from the registered schema and mapping metadata (the canonical tables plus the tenant's mapped source tables).</w:t>
      </w:r>
    </w:p>
    <w:p>
      <w:pPr>
        <w:spacing w:after="50" w:before="150"/>
      </w:pPr>
      <w:r>
        <w:rPr>
          <w:rFonts w:ascii="Inter" w:cs="Inter" w:eastAsia="Inter" w:hAnsi="Inter"/>
          <w:b/>
          <w:bCs/>
          <w:color w:val="102A43"/>
          <w:sz w:val="18"/>
          <w:szCs w:val="18"/>
        </w:rPr>
        <w:t xml:space="preserve">8.3 Two divergent SQL guards — unify on the strong one</w:t>
      </w:r>
    </w:p>
    <w:p>
      <w:pPr>
        <w:spacing w:after="120" w:before="40" w:line="264"/>
      </w:pPr>
      <w:r>
        <w:rPr>
          <w:rFonts w:ascii="Inter" w:cs="Inter" w:eastAsia="Inter" w:hAnsi="Inter"/>
          <w:b w:val="false"/>
          <w:bCs w:val="false"/>
          <w:i w:val="false"/>
          <w:iCs w:val="false"/>
          <w:caps w:val="false"/>
          <w:color w:val="16263B"/>
          <w:sz w:val="19"/>
          <w:szCs w:val="19"/>
        </w:rPr>
        <w:t xml:space="preserve">Alongside the strong SafeSqlValidator, the KpiEngine ships a separate BasicSqlGuard that is both weaker (a blocklist only) and buggy (naive substring matching — see Section 9). Two guards with different rules is a recipe for one being bypassed or for inconsistent behaviour. Route all SQL-path validation through SafeSqlValidator and delete the basic guard.</w:t>
      </w:r>
    </w:p>
    <w:p>
      <w:pPr>
        <w:spacing w:after="50" w:before="150"/>
      </w:pPr>
      <w:r>
        <w:rPr>
          <w:rFonts w:ascii="Inter" w:cs="Inter" w:eastAsia="Inter" w:hAnsi="Inter"/>
          <w:b/>
          <w:bCs/>
          <w:color w:val="102A43"/>
          <w:sz w:val="18"/>
          <w:szCs w:val="18"/>
        </w:rPr>
        <w:t xml:space="preserve">8.4 The assistant's placeholder embedder — finish the brain</w:t>
      </w:r>
    </w:p>
    <w:p>
      <w:pPr>
        <w:spacing w:after="120" w:before="40" w:line="264"/>
      </w:pPr>
      <w:r>
        <w:rPr>
          <w:rFonts w:ascii="Inter" w:cs="Inter" w:eastAsia="Inter" w:hAnsi="Inter"/>
          <w:b w:val="false"/>
          <w:bCs w:val="false"/>
          <w:i w:val="false"/>
          <w:iCs w:val="false"/>
          <w:caps w:val="false"/>
          <w:color w:val="16263B"/>
          <w:sz w:val="19"/>
          <w:szCs w:val="19"/>
        </w:rPr>
        <w:t xml:space="preserve">Not junior code — deliberately staged — but it must be completed to call the assistant done. Wire a real model behind IEmbedder (self-hostable to honour the data-sovereignty promise), keeping the existing grounding and extraction guardrails. Until then, treat assistant retrieval as a demo of the contract, not a production capability.</w:t>
      </w:r>
    </w:p>
    <w:p>
      <w:pPr>
        <w:spacing w:after="50" w:before="150"/>
      </w:pPr>
      <w:r>
        <w:rPr>
          <w:rFonts w:ascii="Inter" w:cs="Inter" w:eastAsia="Inter" w:hAnsi="Inter"/>
          <w:b/>
          <w:bCs/>
          <w:color w:val="102A43"/>
          <w:sz w:val="18"/>
          <w:szCs w:val="18"/>
        </w:rPr>
        <w:t xml:space="preserve">8.5 Repository hygiene — remove committed backups</w:t>
      </w:r>
    </w:p>
    <w:p>
      <w:pPr>
        <w:spacing w:after="120" w:before="40" w:line="264"/>
      </w:pPr>
      <w:r>
        <w:rPr>
          <w:rFonts w:ascii="Inter" w:cs="Inter" w:eastAsia="Inter" w:hAnsi="Inter"/>
          <w:b w:val="false"/>
          <w:bCs w:val="false"/>
          <w:i w:val="false"/>
          <w:iCs w:val="false"/>
          <w:caps w:val="false"/>
          <w:color w:val="16263B"/>
          <w:sz w:val="19"/>
          <w:szCs w:val="19"/>
        </w:rPr>
        <w:t xml:space="preserve">The snapshot contains 21 backup files in the tree — Program.cs.bak_state_di, .bak_fix_auth_di, .bak_final_audit_di, AuthEndpoints.cs.bak_*, MlFoundationEndpoints.cs.bak_*, and more. They pollute the codebase, risk a stale copy being read or referenced, and reflect in-place debugging. Delete them and rely on version control; add the patterns to .gitignore.</w:t>
      </w:r>
    </w:p>
    <w:p>
      <w:pPr>
        <w:spacing w:after="50" w:before="150"/>
      </w:pPr>
      <w:r>
        <w:rPr>
          <w:rFonts w:ascii="Inter" w:cs="Inter" w:eastAsia="Inter" w:hAnsi="Inter"/>
          <w:b/>
          <w:bCs/>
          <w:color w:val="102A43"/>
          <w:sz w:val="18"/>
          <w:szCs w:val="18"/>
        </w:rPr>
        <w:t xml:space="preserve">8.6 Minor genericity — hardcoded bootstrap tenant</w:t>
      </w:r>
    </w:p>
    <w:p>
      <w:pPr>
        <w:spacing w:after="120" w:before="40" w:line="264"/>
      </w:pPr>
      <w:r>
        <w:rPr>
          <w:rFonts w:ascii="Inter" w:cs="Inter" w:eastAsia="Inter" w:hAnsi="Inter"/>
          <w:b w:val="false"/>
          <w:bCs w:val="false"/>
          <w:i w:val="false"/>
          <w:iCs w:val="false"/>
          <w:caps w:val="false"/>
          <w:color w:val="16263B"/>
          <w:sz w:val="19"/>
          <w:szCs w:val="19"/>
        </w:rPr>
        <w:t xml:space="preserve">The owner-bootstrap path pins a single hardcoded tenant GUID. Acceptable for first-run single-tenant setup, but parameterise it before true multi-tenant provisioning so the first user of each tenant is created cleanly.</w:t>
      </w:r>
    </w:p>
    <w:p>
      <w:pPr>
        <w:pStyle w:val="Heading1"/>
        <w:pBdr>
          <w:bottom w:val="single" w:color="0A84FF" w:sz="10" w:space="4"/>
        </w:pBdr>
        <w:spacing w:after="120" w:before="300"/>
      </w:pPr>
      <w:r>
        <w:rPr>
          <w:rFonts w:ascii="Inter" w:cs="Inter" w:eastAsia="Inter" w:hAnsi="Inter"/>
          <w:b/>
          <w:bCs/>
          <w:color w:val="102A43"/>
          <w:sz w:val="28"/>
          <w:szCs w:val="28"/>
        </w:rPr>
        <w:t xml:space="preserve">9 · Bugs and required hotfixes</w:t>
      </w:r>
    </w:p>
    <w:p>
      <w:pPr>
        <w:spacing w:after="120" w:before="40" w:line="264"/>
      </w:pPr>
      <w:r>
        <w:rPr>
          <w:rFonts w:ascii="Inter" w:cs="Inter" w:eastAsia="Inter" w:hAnsi="Inter"/>
          <w:b w:val="false"/>
          <w:bCs w:val="false"/>
          <w:i w:val="false"/>
          <w:iCs w:val="false"/>
          <w:caps w:val="false"/>
          <w:color w:val="16263B"/>
          <w:sz w:val="19"/>
          <w:szCs w:val="19"/>
        </w:rPr>
        <w:t xml:space="preserve">Two categories: confirmed directly from the code that was read, and worth-verifying items surfaced by the structure. The prior audit's four criticals are all already fixed and are listed at the end for closure.</w:t>
      </w:r>
    </w:p>
    <w:p>
      <w:pPr>
        <w:pStyle w:val="Heading2"/>
        <w:spacing w:after="70" w:before="210"/>
      </w:pPr>
      <w:r>
        <w:rPr>
          <w:rFonts w:ascii="Inter" w:cs="Inter" w:eastAsia="Inter" w:hAnsi="Inter"/>
          <w:b/>
          <w:bCs/>
          <w:color w:val="0A84FF"/>
          <w:sz w:val="21"/>
          <w:szCs w:val="21"/>
        </w:rPr>
        <w:t xml:space="preserve">9.1 Confirmed from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3360"/>
        <w:gridCol w:w="1080"/>
      </w:tblGrid>
      <w:tr>
        <w:trPr>
          <w:tblHeader/>
        </w:trPr>
        <w:tc>
          <w:tcPr>
            <w:tcW w:type="dxa" w:w="52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w:t>
            </w:r>
          </w:p>
        </w:tc>
        <w:tc>
          <w:tcPr>
            <w:tcW w:type="dxa" w:w="4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Issue</w:t>
            </w:r>
          </w:p>
        </w:tc>
        <w:tc>
          <w:tcPr>
            <w:tcW w:type="dxa" w:w="3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Fix</w:t>
            </w:r>
          </w:p>
        </w:tc>
        <w:tc>
          <w:tcPr>
            <w:tcW w:type="dxa" w:w="10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Severity</w:t>
            </w:r>
          </w:p>
        </w:tc>
      </w:tr>
      <w:tr>
        <w:tc>
          <w:tcPr>
            <w:tcW w:type="dxa" w:w="5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B1</w:t>
            </w:r>
          </w:p>
        </w:tc>
        <w:tc>
          <w:tcPr>
            <w:tcW w:type="dxa" w:w="44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KpiEngine.BasicSqlGuard uses substring Contains(“create”), so a legitimate SQL-view KPI that references a created_at / create_date column is falsely rejected (and other tokens have the same flaw).</w:t>
            </w:r>
          </w:p>
        </w:tc>
        <w:tc>
          <w:tcPr>
            <w:tcW w:type="dxa" w:w="33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Match on word boundaries as SafeSqlValidator does, or route KPI SQL through SafeSqlValidator (preferred — also resolves §8.3).</w:t>
            </w:r>
          </w:p>
        </w:tc>
        <w:tc>
          <w:tcPr>
            <w:tcW w:type="dxa" w:w="108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Medium — breaks valid KPI views</w:t>
            </w:r>
          </w:p>
        </w:tc>
      </w:tr>
      <w:tr>
        <w:tc>
          <w:tcPr>
            <w:tcW w:type="dxa" w:w="52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B2</w:t>
            </w:r>
          </w:p>
        </w:tc>
        <w:tc>
          <w:tcPr>
            <w:tcW w:type="dxa" w:w="44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AddJwtBearer sets options.SaveToken = false then immediately overwrites it with true — a dead assignment left from debugging.</w:t>
            </w:r>
          </w:p>
        </w:tc>
        <w:tc>
          <w:tcPr>
            <w:tcW w:type="dxa" w:w="33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Remove the dead line; net behaviour is unchanged.</w:t>
            </w:r>
          </w:p>
        </w:tc>
        <w:tc>
          <w:tcPr>
            <w:tcW w:type="dxa" w:w="108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Cosmetic</w:t>
            </w:r>
          </w:p>
        </w:tc>
      </w:tr>
      <w:tr>
        <w:tc>
          <w:tcPr>
            <w:tcW w:type="dxa" w:w="52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B3</w:t>
            </w:r>
          </w:p>
        </w:tc>
        <w:tc>
          <w:tcPr>
            <w:tcW w:type="dxa" w:w="44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SafeSqlValidator allowlist lists downtime_events twice and carries both defect_catalog and defect_catalogs — a naming drift versus the real table name.</w:t>
            </w:r>
          </w:p>
        </w:tc>
        <w:tc>
          <w:tcPr>
            <w:tcW w:type="dxa" w:w="33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De-duplicate and reconcile the table name with the schema (folds into §8.2).</w:t>
            </w:r>
          </w:p>
        </w:tc>
        <w:tc>
          <w:tcPr>
            <w:tcW w:type="dxa" w:w="108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Low</w:t>
            </w:r>
          </w:p>
        </w:tc>
      </w:tr>
      <w:tr>
        <w:tc>
          <w:tcPr>
            <w:tcW w:type="dxa" w:w="52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B4</w:t>
            </w:r>
          </w:p>
        </w:tc>
        <w:tc>
          <w:tcPr>
            <w:tcW w:type="dxa" w:w="44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CorrelationService.GetMaterialCorrelationContextAsync returns indicators with null baseline / expected / z-score (explicitly “comes later”). If any page surfaces this as a risk context, it renders empty analytics.</w:t>
            </w:r>
          </w:p>
        </w:tc>
        <w:tc>
          <w:tcPr>
            <w:tcW w:type="dxa" w:w="33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Either finish the context or hide the surface until the advanced engine backs it.</w:t>
            </w:r>
          </w:p>
        </w:tc>
        <w:tc>
          <w:tcPr>
            <w:tcW w:type="dxa" w:w="108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Low–Medium</w:t>
            </w:r>
          </w:p>
        </w:tc>
      </w:tr>
    </w:tbl>
    <w:p>
      <w:pPr>
        <w:pStyle w:val="Heading2"/>
        <w:spacing w:after="70" w:before="210"/>
      </w:pPr>
      <w:r>
        <w:rPr>
          <w:rFonts w:ascii="Inter" w:cs="Inter" w:eastAsia="Inter" w:hAnsi="Inter"/>
          <w:b/>
          <w:bCs/>
          <w:color w:val="0A84FF"/>
          <w:sz w:val="21"/>
          <w:szCs w:val="21"/>
        </w:rPr>
        <w:t xml:space="preserve">9.2 Worth verifying (structurally indicated, not line-confirmed)</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Demo-from-empty:</w:t>
      </w:r>
      <w:r>
        <w:rPr>
          <w:rFonts w:ascii="Inter" w:cs="Inter" w:eastAsia="Inter" w:hAnsi="Inter"/>
          <w:b w:val="false"/>
          <w:bCs w:val="false"/>
          <w:i w:val="false"/>
          <w:iCs w:val="false"/>
          <w:caps w:val="false"/>
          <w:color w:val="16263B"/>
          <w:sz w:val="19"/>
          <w:szCs w:val="19"/>
        </w:rPr>
        <w:t xml:space="preserve"> confirm the demo truly builds from an empty database through the HMI with nothing hardcoded (the doctrine's golden rule), end to end.</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Signed-license wiring:</w:t>
      </w:r>
      <w:r>
        <w:rPr>
          <w:rFonts w:ascii="Inter" w:cs="Inter" w:eastAsia="Inter" w:hAnsi="Inter"/>
          <w:b w:val="false"/>
          <w:bCs w:val="false"/>
          <w:i w:val="false"/>
          <w:iCs w:val="false"/>
          <w:caps w:val="false"/>
          <w:color w:val="16263B"/>
          <w:sz w:val="19"/>
          <w:szCs w:val="19"/>
        </w:rPr>
        <w:t xml:space="preserve"> confirm VerifiedEd25519LicenseService actually feeds the tier that LicenseService enforces, so a tampered or absent license demotes entitlements rather than being ignored.</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Postgres RLS depth:</w:t>
      </w:r>
      <w:r>
        <w:rPr>
          <w:rFonts w:ascii="Inter" w:cs="Inter" w:eastAsia="Inter" w:hAnsi="Inter"/>
          <w:b w:val="false"/>
          <w:bCs w:val="false"/>
          <w:i w:val="false"/>
          <w:iCs w:val="false"/>
          <w:caps w:val="false"/>
          <w:color w:val="16263B"/>
          <w:sz w:val="19"/>
          <w:szCs w:val="19"/>
        </w:rPr>
        <w:t xml:space="preserve"> confirm whether tenant isolation is enforced by real row-level-security policies or only by application-level TenantId filters; the doctrine expects defence in depth.</w:t>
      </w:r>
    </w:p>
    <w:p>
      <w:pPr>
        <w:pStyle w:val="ListParagraph"/>
        <w:numPr>
          <w:ilvl w:val="0"/>
          <w:numId w:val="2"/>
        </w:numPr>
        <w:spacing w:after="62" w:before="24" w:line="258"/>
      </w:pPr>
      <w:r>
        <w:rPr>
          <w:rFonts w:ascii="Inter" w:cs="Inter" w:eastAsia="Inter" w:hAnsi="Inter"/>
          <w:b/>
          <w:bCs/>
          <w:i w:val="false"/>
          <w:iCs w:val="false"/>
          <w:caps w:val="false"/>
          <w:color w:val="16263B"/>
          <w:sz w:val="19"/>
          <w:szCs w:val="19"/>
        </w:rPr>
        <w:t xml:space="preserve">Custom job durability:</w:t>
      </w:r>
      <w:r>
        <w:rPr>
          <w:rFonts w:ascii="Inter" w:cs="Inter" w:eastAsia="Inter" w:hAnsi="Inter"/>
          <w:b w:val="false"/>
          <w:bCs w:val="false"/>
          <w:i w:val="false"/>
          <w:iCs w:val="false"/>
          <w:caps w:val="false"/>
          <w:color w:val="16263B"/>
          <w:sz w:val="19"/>
          <w:szCs w:val="19"/>
        </w:rPr>
        <w:t xml:space="preserve"> confirm the custom scheduler survives restarts and does not double-run on overlap (idempotency is present; verify under failure).</w:t>
      </w:r>
    </w:p>
    <w:p>
      <w:pPr>
        <w:pStyle w:val="Heading2"/>
        <w:spacing w:after="70" w:before="210"/>
      </w:pPr>
      <w:r>
        <w:rPr>
          <w:rFonts w:ascii="Inter" w:cs="Inter" w:eastAsia="Inter" w:hAnsi="Inter"/>
          <w:b/>
          <w:bCs/>
          <w:color w:val="0A84FF"/>
          <w:sz w:val="21"/>
          <w:szCs w:val="21"/>
        </w:rPr>
        <w:t xml:space="preserve">9.3 Prior-audit criticals — all fixed (for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Earlier critical</w:t>
            </w:r>
          </w:p>
        </w:tc>
        <w:tc>
          <w:tcPr>
            <w:tcW w:type="dxa" w:w="5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Status now</w:t>
            </w:r>
          </w:p>
        </w:tc>
      </w:tr>
      <w:tr>
        <w:tc>
          <w:tcPr>
            <w:tcW w:type="dxa" w:w="3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Hardcoded JWT signing key in all environments</w:t>
            </w:r>
          </w:p>
        </w:tc>
        <w:tc>
          <w:tcPr>
            <w:tcW w:type="dxa" w:w="57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Fixed — key from configuration with a fail-fast length guard; per-request resolver.</w:t>
            </w:r>
          </w:p>
        </w:tc>
      </w:tr>
      <w:tr>
        <w:tc>
          <w:tcPr>
            <w:tcW w:type="dxa" w:w="36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DevSeed endpoints registered unconditionally in production</w:t>
            </w:r>
          </w:p>
        </w:tc>
        <w:tc>
          <w:tcPr>
            <w:tcW w:type="dxa" w:w="57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Fixed — guarded by IsDevelopment(), and reduced to read-only diagnostic counts.</w:t>
            </w:r>
          </w:p>
        </w:tc>
      </w:tr>
      <w:tr>
        <w:tc>
          <w:tcPr>
            <w:tcW w:type="dxa" w:w="3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Access token in browser localStorage / dual-token risk</w:t>
            </w:r>
          </w:p>
        </w:tc>
        <w:tc>
          <w:tcPr>
            <w:tcW w:type="dxa" w:w="57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Fixed — no auth token in localStorage (only UI state there); refresh tokens hashed server-side.</w:t>
            </w:r>
          </w:p>
        </w:tc>
      </w:tr>
      <w:tr>
        <w:tc>
          <w:tcPr>
            <w:tcW w:type="dxa" w:w="36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PostgreSQL port 5432 exposed publicly</w:t>
            </w:r>
          </w:p>
        </w:tc>
        <w:tc>
          <w:tcPr>
            <w:tcW w:type="dxa" w:w="57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Fixed — compose binds 127.0.0.1:5432:5432; password-rotation and exposure-verification scripts added.</w:t>
            </w:r>
          </w:p>
        </w:tc>
      </w:tr>
    </w:tbl>
    <w:p>
      <w:pPr>
        <w:pStyle w:val="Heading1"/>
        <w:pBdr>
          <w:bottom w:val="single" w:color="0A84FF" w:sz="10" w:space="4"/>
        </w:pBdr>
        <w:spacing w:after="120" w:before="300"/>
      </w:pPr>
      <w:r>
        <w:rPr>
          <w:rFonts w:ascii="Inter" w:cs="Inter" w:eastAsia="Inter" w:hAnsi="Inter"/>
          <w:b/>
          <w:bCs/>
          <w:color w:val="102A43"/>
          <w:sz w:val="28"/>
          <w:szCs w:val="28"/>
        </w:rPr>
        <w:t xml:space="preserve">10 · What was validated deeply vs. structurally</w:t>
      </w:r>
    </w:p>
    <w:p>
      <w:pPr>
        <w:spacing w:after="120" w:before="40" w:line="264"/>
      </w:pPr>
      <w:r>
        <w:rPr>
          <w:rFonts w:ascii="Inter" w:cs="Inter" w:eastAsia="Inter" w:hAnsi="Inter"/>
          <w:b w:val="false"/>
          <w:bCs w:val="false"/>
          <w:i w:val="false"/>
          <w:iCs w:val="false"/>
          <w:caps w:val="false"/>
          <w:color w:val="16263B"/>
          <w:sz w:val="19"/>
          <w:szCs w:val="19"/>
        </w:rPr>
        <w:t xml:space="preserve">So you can weight each verdict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Read in full, line by line (evidence-grade)</w:t>
            </w:r>
          </w:p>
        </w:tc>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Validated structurally / by endpoint (directional)</w:t>
            </w:r>
          </w:p>
        </w:tc>
      </w:tr>
      <w:tr>
        <w:tc>
          <w:tcPr>
            <w:tcW w:type="dxa" w:w="468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Analytics.Core: Stats, FDR, bootstrap, stratification, effect-ranking, VIF, Lasso, MI, readiness gate</w:t>
            </w:r>
          </w:p>
        </w:tc>
        <w:tc>
          <w:tcPr>
            <w:tcW w:type="dxa" w:w="468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Full SSO / SCIM / SAML assertion and provisioning depth</w:t>
            </w:r>
          </w:p>
        </w:tc>
      </w:tr>
      <w:tr>
        <w:tc>
          <w:tcPr>
            <w:tcW w:type="dxa" w:w="468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AdvancedCorrelationComputeService orchestration</w:t>
            </w:r>
          </w:p>
        </w:tc>
        <w:tc>
          <w:tcPr>
            <w:tcW w:type="dxa" w:w="468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Postgres row-level-security policy depth</w:t>
            </w:r>
          </w:p>
        </w:tc>
      </w:tr>
      <w:tr>
        <w:tc>
          <w:tcPr>
            <w:tcW w:type="dxa" w:w="468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ValueImpactEngine</w:t>
            </w:r>
          </w:p>
        </w:tc>
        <w:tc>
          <w:tcPr>
            <w:tcW w:type="dxa" w:w="468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Schema-drift detection internals</w:t>
            </w:r>
          </w:p>
        </w:tc>
      </w:tr>
      <w:tr>
        <w:tc>
          <w:tcPr>
            <w:tcW w:type="dxa" w:w="468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AuthStore; JWT configuration in Program.cs</w:t>
            </w:r>
          </w:p>
        </w:tc>
        <w:tc>
          <w:tcPr>
            <w:tcW w:type="dxa" w:w="468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MappingExecutionService internal logic (size and seams seen, not every line)</w:t>
            </w:r>
          </w:p>
        </w:tc>
      </w:tr>
      <w:tr>
        <w:tc>
          <w:tcPr>
            <w:tcW w:type="dxa" w:w="468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SafeSqlValidator (full)</w:t>
            </w:r>
          </w:p>
        </w:tc>
        <w:tc>
          <w:tcPr>
            <w:tcW w:type="dxa" w:w="468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Demo-from-empty end-to-end behaviour</w:t>
            </w:r>
          </w:p>
        </w:tc>
      </w:tr>
      <w:tr>
        <w:tc>
          <w:tcPr>
            <w:tcW w:type="dxa" w:w="468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KpiEngine + ExpressionEvaluator + BasicSqlGuard</w:t>
            </w:r>
          </w:p>
        </w:tc>
        <w:tc>
          <w:tcPr>
            <w:tcW w:type="dxa" w:w="468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Signed-license → tier-enforcement wiring</w:t>
            </w:r>
          </w:p>
        </w:tc>
      </w:tr>
      <w:tr>
        <w:tc>
          <w:tcPr>
            <w:tcW w:type="dxa" w:w="468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V5 enterprise identity MFA enrol/verify; LicenseService surface</w:t>
            </w:r>
          </w:p>
        </w:tc>
        <w:tc>
          <w:tcPr>
            <w:tcW w:type="dxa" w:w="468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Dashboard/widget runtime rendering quality on real data</w:t>
            </w:r>
          </w:p>
        </w:tc>
      </w:tr>
    </w:tbl>
    <w:p>
      <w:pPr>
        <w:spacing w:after="120" w:before="40" w:line="264"/>
      </w:pPr>
      <w:r>
        <w:rPr>
          <w:rFonts w:ascii="Inter" w:cs="Inter" w:eastAsia="Inter" w:hAnsi="Inter"/>
          <w:b w:val="false"/>
          <w:bCs w:val="false"/>
          <w:i w:val="false"/>
          <w:iCs w:val="false"/>
          <w:caps w:val="false"/>
          <w:color w:val="16263B"/>
          <w:sz w:val="19"/>
          <w:szCs w:val="19"/>
        </w:rPr>
        <w:t xml:space="preserve">The full manifest, the master index, and a feature census across all bundles were used for structure and coverage throughout, so even the “structural” column rests on counted evidence, not impression.</w:t>
      </w:r>
    </w:p>
    <w:p>
      <w:pPr>
        <w:pStyle w:val="Heading1"/>
        <w:pBdr>
          <w:bottom w:val="single" w:color="0A84FF" w:sz="10" w:space="4"/>
        </w:pBdr>
        <w:spacing w:after="120" w:before="300"/>
      </w:pPr>
      <w:r>
        <w:rPr>
          <w:rFonts w:ascii="Inter" w:cs="Inter" w:eastAsia="Inter" w:hAnsi="Inter"/>
          <w:b/>
          <w:bCs/>
          <w:color w:val="102A43"/>
          <w:sz w:val="28"/>
          <w:szCs w:val="28"/>
        </w:rPr>
        <w:t xml:space="preserve">11 · Recommended sequence — mapped to the v7 waves</w:t>
      </w:r>
    </w:p>
    <w:p>
      <w:pPr>
        <w:spacing w:after="120" w:before="40" w:line="264"/>
      </w:pPr>
      <w:r>
        <w:rPr>
          <w:rFonts w:ascii="Inter" w:cs="Inter" w:eastAsia="Inter" w:hAnsi="Inter"/>
          <w:b w:val="false"/>
          <w:bCs w:val="false"/>
          <w:i w:val="false"/>
          <w:iCs w:val="false"/>
          <w:caps w:val="false"/>
          <w:color w:val="16263B"/>
          <w:sz w:val="19"/>
          <w:szCs w:val="19"/>
        </w:rPr>
        <w:t xml:space="preserve">Because the security and analytics core is already done, the realistic remaining order is lighter than the doctrine's full 46→84 climb — most of Wave A and Wave B is behind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Move</w:t>
            </w:r>
          </w:p>
        </w:tc>
        <w:tc>
          <w:tcPr>
            <w:tcW w:type="dxa" w:w="3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What it closes</w:t>
            </w:r>
          </w:p>
        </w:tc>
        <w:tc>
          <w:tcPr>
            <w:tcW w:type="dxa" w:w="3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From this audit</w:t>
            </w:r>
          </w:p>
        </w:tc>
      </w:tr>
      <w:tr>
        <w:tc>
          <w:tcPr>
            <w:tcW w:type="dxa" w:w="2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1 · Consolidate correlation engines</w:t>
            </w:r>
          </w:p>
        </w:tc>
        <w:tc>
          <w:tcPr>
            <w:tcW w:type="dxa" w:w="33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Architectural debt before it spreads</w:t>
            </w:r>
          </w:p>
        </w:tc>
        <w:tc>
          <w:tcPr>
            <w:tcW w:type="dxa" w:w="34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§8.1 — pick Analytics.Core as canonical; retire the binning MVP</w:t>
            </w:r>
          </w:p>
        </w:tc>
      </w:tr>
      <w:tr>
        <w:tc>
          <w:tcPr>
            <w:tcW w:type="dxa" w:w="26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2 · Hotfix the SQL guards</w:t>
            </w:r>
          </w:p>
        </w:tc>
        <w:tc>
          <w:tcPr>
            <w:tcW w:type="dxa" w:w="33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A real bug + a duplicate guard</w:t>
            </w:r>
          </w:p>
        </w:tc>
        <w:tc>
          <w:tcPr>
            <w:tcW w:type="dxa" w:w="34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§9 B1, §8.3 — unify on SafeSqlValidator, word-boundary matching</w:t>
            </w:r>
          </w:p>
        </w:tc>
      </w:tr>
      <w:tr>
        <w:tc>
          <w:tcPr>
            <w:tcW w:type="dxa" w:w="2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3 · Make the SQL allowlist generic</w:t>
            </w:r>
          </w:p>
        </w:tc>
        <w:tc>
          <w:tcPr>
            <w:tcW w:type="dxa" w:w="33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Clean expansion to the next plant</w:t>
            </w:r>
          </w:p>
        </w:tc>
        <w:tc>
          <w:tcPr>
            <w:tcW w:type="dxa" w:w="34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§8.2 — derive from registered schema/mapping</w:t>
            </w:r>
          </w:p>
        </w:tc>
      </w:tr>
      <w:tr>
        <w:tc>
          <w:tcPr>
            <w:tcW w:type="dxa" w:w="26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4 · Finish the assistant's embedder</w:t>
            </w:r>
          </w:p>
        </w:tc>
        <w:tc>
          <w:tcPr>
            <w:tcW w:type="dxa" w:w="33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Turns scaffolding into a real capability</w:t>
            </w:r>
          </w:p>
        </w:tc>
        <w:tc>
          <w:tcPr>
            <w:tcW w:type="dxa" w:w="34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§8.4 / §6.2 — self-hostable model behind IEmbedder</w:t>
            </w:r>
          </w:p>
        </w:tc>
      </w:tr>
      <w:tr>
        <w:tc>
          <w:tcPr>
            <w:tcW w:type="dxa" w:w="2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5 · Build the Edge Collector + one historian</w:t>
            </w:r>
          </w:p>
        </w:tc>
        <w:tc>
          <w:tcPr>
            <w:tcW w:type="dxa" w:w="33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The acquisition edge &amp; the “never touches control” proof</w:t>
            </w:r>
          </w:p>
        </w:tc>
        <w:tc>
          <w:tcPr>
            <w:tcW w:type="dxa" w:w="34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§6.1 — the headline of Wave C</w:t>
            </w:r>
          </w:p>
        </w:tc>
      </w:tr>
      <w:tr>
        <w:tc>
          <w:tcPr>
            <w:tcW w:type="dxa" w:w="26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6 · Prove demo-from-empty + signed-license wiring</w:t>
            </w:r>
          </w:p>
        </w:tc>
        <w:tc>
          <w:tcPr>
            <w:tcW w:type="dxa" w:w="33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The two honesty/closure checks</w:t>
            </w:r>
          </w:p>
        </w:tc>
        <w:tc>
          <w:tcPr>
            <w:tcW w:type="dxa" w:w="34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§9.2 — end-to-end demonstrations</w:t>
            </w:r>
          </w:p>
        </w:tc>
      </w:tr>
      <w:tr>
        <w:tc>
          <w:tcPr>
            <w:tcW w:type="dxa" w:w="26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7 · Confirm RLS, schema-drift, enterprise SSO depth</w:t>
            </w:r>
          </w:p>
        </w:tc>
        <w:tc>
          <w:tcPr>
            <w:tcW w:type="dxa" w:w="33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Enterprise hardening</w:t>
            </w:r>
          </w:p>
        </w:tc>
        <w:tc>
          <w:tcPr>
            <w:tcW w:type="dxa" w:w="34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§10 — finish what is structurally present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The through-line</w:t>
            </w:r>
          </w:p>
          <w:p>
            <w:pPr>
              <w:spacing w:after="120" w:before="40" w:line="264"/>
            </w:pPr>
            <w:r>
              <w:rPr>
                <w:rFonts w:ascii="Inter" w:cs="Inter" w:eastAsia="Inter" w:hAnsi="Inter"/>
                <w:b w:val="false"/>
                <w:bCs w:val="false"/>
                <w:i w:val="false"/>
                <w:iCs w:val="false"/>
                <w:caps w:val="false"/>
                <w:color w:val="16263B"/>
                <w:sz w:val="19"/>
                <w:szCs w:val="19"/>
              </w:rPr>
              <w:t xml:space="preserve">The hard, trust-defining core — </w:t>
            </w:r>
            <w:r>
              <w:rPr>
                <w:rFonts w:ascii="Inter" w:cs="Inter" w:eastAsia="Inter" w:hAnsi="Inter"/>
                <w:b/>
                <w:bCs/>
                <w:i w:val="false"/>
                <w:iCs w:val="false"/>
                <w:caps w:val="false"/>
                <w:color w:val="16263B"/>
                <w:sz w:val="19"/>
                <w:szCs w:val="19"/>
              </w:rPr>
              <w:t xml:space="preserve">honest statistics, euro value, provenance, and security</w:t>
            </w:r>
            <w:r>
              <w:rPr>
                <w:rFonts w:ascii="Inter" w:cs="Inter" w:eastAsia="Inter" w:hAnsi="Inter"/>
                <w:b w:val="false"/>
                <w:bCs w:val="false"/>
                <w:i w:val="false"/>
                <w:iCs w:val="false"/>
                <w:caps w:val="false"/>
                <w:color w:val="16263B"/>
                <w:sz w:val="19"/>
                <w:szCs w:val="19"/>
              </w:rPr>
              <w:t xml:space="preserve"> — is built and partly exceptional. The remaining work is mostly about making it </w:t>
            </w:r>
            <w:r>
              <w:rPr>
                <w:rFonts w:ascii="Inter" w:cs="Inter" w:eastAsia="Inter" w:hAnsi="Inter"/>
                <w:b/>
                <w:bCs/>
                <w:i w:val="false"/>
                <w:iCs w:val="false"/>
                <w:caps w:val="false"/>
                <w:color w:val="0A84FF"/>
                <w:sz w:val="19"/>
                <w:szCs w:val="19"/>
              </w:rPr>
              <w:t xml:space="preserve">provable on a customer's own systems</w:t>
            </w:r>
            <w:r>
              <w:rPr>
                <w:rFonts w:ascii="Inter" w:cs="Inter" w:eastAsia="Inter" w:hAnsi="Inter"/>
                <w:b w:val="false"/>
                <w:bCs w:val="false"/>
                <w:i w:val="false"/>
                <w:iCs w:val="false"/>
                <w:caps w:val="false"/>
                <w:color w:val="16263B"/>
                <w:sz w:val="19"/>
                <w:szCs w:val="19"/>
              </w:rPr>
              <w:t xml:space="preserve"> (the collector and demo proofs) and </w:t>
            </w:r>
            <w:r>
              <w:rPr>
                <w:rFonts w:ascii="Inter" w:cs="Inter" w:eastAsia="Inter" w:hAnsi="Inter"/>
                <w:b/>
                <w:bCs/>
                <w:i w:val="false"/>
                <w:iCs w:val="false"/>
                <w:caps w:val="false"/>
                <w:color w:val="0A84FF"/>
                <w:sz w:val="19"/>
                <w:szCs w:val="19"/>
              </w:rPr>
              <w:t xml:space="preserve">clean to scale</w:t>
            </w:r>
            <w:r>
              <w:rPr>
                <w:rFonts w:ascii="Inter" w:cs="Inter" w:eastAsia="Inter" w:hAnsi="Inter"/>
                <w:b w:val="false"/>
                <w:bCs w:val="false"/>
                <w:i w:val="false"/>
                <w:iCs w:val="false"/>
                <w:caps w:val="false"/>
                <w:color w:val="16263B"/>
                <w:sz w:val="19"/>
                <w:szCs w:val="19"/>
              </w:rPr>
              <w:t xml:space="preserve"> (engine consolidation and genericity). That is a far better position than a 70 implies in the abstract: the expensive third is done, and what's left is well-understood and sequenced.</w:t>
            </w:r>
          </w:p>
        </w:tc>
      </w:tr>
    </w:tbl>
    <w:p>
      <w:pPr>
        <w:pStyle w:val="Heading1"/>
        <w:pBdr>
          <w:bottom w:val="single" w:color="0A84FF" w:sz="10" w:space="4"/>
        </w:pBdr>
        <w:spacing w:after="120" w:before="300"/>
      </w:pPr>
      <w:r>
        <w:rPr>
          <w:rFonts w:ascii="Inter" w:cs="Inter" w:eastAsia="Inter" w:hAnsi="Inter"/>
          <w:b/>
          <w:bCs/>
          <w:color w:val="102A43"/>
          <w:sz w:val="28"/>
          <w:szCs w:val="28"/>
        </w:rPr>
        <w:t xml:space="preserve">Appendix · Evidence index (selected)</w:t>
      </w:r>
    </w:p>
    <w:p>
      <w:pPr>
        <w:spacing w:after="120" w:before="40" w:line="264"/>
      </w:pPr>
      <w:r>
        <w:rPr>
          <w:rFonts w:ascii="Inter" w:cs="Inter" w:eastAsia="Inter" w:hAnsi="Inter"/>
          <w:b w:val="false"/>
          <w:bCs w:val="false"/>
          <w:i w:val="false"/>
          <w:iCs w:val="false"/>
          <w:caps w:val="false"/>
          <w:color w:val="16263B"/>
          <w:sz w:val="19"/>
          <w:szCs w:val="19"/>
        </w:rPr>
        <w:t xml:space="preserve">Key files read or measured, with their role in the verdicts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900"/>
        <w:gridCol w:w="4560"/>
      </w:tblGrid>
      <w:tr>
        <w:trPr>
          <w:tblHeader/>
        </w:trPr>
        <w:tc>
          <w:tcPr>
            <w:tcW w:type="dxa" w:w="3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File</w:t>
            </w:r>
          </w:p>
        </w:tc>
        <w:tc>
          <w:tcPr>
            <w:tcW w:type="dxa" w:w="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Lines</w:t>
            </w:r>
          </w:p>
        </w:tc>
        <w:tc>
          <w:tcPr>
            <w:tcW w:type="dxa" w:w="45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6"/>
                <w:szCs w:val="16"/>
              </w:rPr>
              <w:t xml:space="preserve">Role in this audit</w:t>
            </w:r>
          </w:p>
        </w:tc>
      </w:tr>
      <w:tr>
        <w:tc>
          <w:tcPr>
            <w:tcW w:type="dxa" w:w="3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PlantProcess.Analytics.Core (Stats, Discipline, Methods, Readiness)</w:t>
            </w:r>
          </w:p>
        </w:tc>
        <w:tc>
          <w:tcPr>
            <w:tcW w:type="dxa" w:w="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~1,300</w:t>
            </w:r>
          </w:p>
        </w:tc>
        <w:tc>
          <w:tcPr>
            <w:tcW w:type="dxa" w:w="45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The real L4 engine — Tier A, exceptional</w:t>
            </w:r>
          </w:p>
        </w:tc>
      </w:tr>
      <w:tr>
        <w:tc>
          <w:tcPr>
            <w:tcW w:type="dxa" w:w="3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Analytics/Advanced/AdvancedCorrelationComputeService.cs</w:t>
            </w:r>
          </w:p>
        </w:tc>
        <w:tc>
          <w:tcPr>
            <w:tcW w:type="dxa" w:w="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387</w:t>
            </w:r>
          </w:p>
        </w:tc>
        <w:tc>
          <w:tcPr>
            <w:tcW w:type="dxa" w:w="45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Orchestrates the core pipeline end to end</w:t>
            </w:r>
          </w:p>
        </w:tc>
      </w:tr>
      <w:tr>
        <w:tc>
          <w:tcPr>
            <w:tcW w:type="dxa" w:w="3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Analytics/Engine/ManagedStatisticalComputeEngine.cs</w:t>
            </w:r>
          </w:p>
        </w:tc>
        <w:tc>
          <w:tcPr>
            <w:tcW w:type="dxa" w:w="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122</w:t>
            </w:r>
          </w:p>
        </w:tc>
        <w:tc>
          <w:tcPr>
            <w:tcW w:type="dxa" w:w="45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Second real engine — consolidation concern (§8.1)</w:t>
            </w:r>
          </w:p>
        </w:tc>
      </w:tr>
      <w:tr>
        <w:tc>
          <w:tcPr>
            <w:tcW w:type="dxa" w:w="3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Analytics/Services/CorrelationService.cs</w:t>
            </w:r>
          </w:p>
        </w:tc>
        <w:tc>
          <w:tcPr>
            <w:tcW w:type="dxa" w:w="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437</w:t>
            </w:r>
          </w:p>
        </w:tc>
        <w:tc>
          <w:tcPr>
            <w:tcW w:type="dxa" w:w="45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MVP binning/lift — the engine to retire (§8.1, B4)</w:t>
            </w:r>
          </w:p>
        </w:tc>
      </w:tr>
      <w:tr>
        <w:tc>
          <w:tcPr>
            <w:tcW w:type="dxa" w:w="3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Analytics/Value/ValueImpactEngine.cs</w:t>
            </w:r>
          </w:p>
        </w:tc>
        <w:tc>
          <w:tcPr>
            <w:tcW w:type="dxa" w:w="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60</w:t>
            </w:r>
          </w:p>
        </w:tc>
        <w:tc>
          <w:tcPr>
            <w:tcW w:type="dxa" w:w="45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The euro value model — faithful &amp; honest</w:t>
            </w:r>
          </w:p>
        </w:tc>
      </w:tr>
      <w:tr>
        <w:tc>
          <w:tcPr>
            <w:tcW w:type="dxa" w:w="3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Api/Security/AuthStore.cs</w:t>
            </w:r>
          </w:p>
        </w:tc>
        <w:tc>
          <w:tcPr>
            <w:tcW w:type="dxa" w:w="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452</w:t>
            </w:r>
          </w:p>
        </w:tc>
        <w:tc>
          <w:tcPr>
            <w:tcW w:type="dxa" w:w="45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Argon2id, hashed refresh tokens — Tier A</w:t>
            </w:r>
          </w:p>
        </w:tc>
      </w:tr>
      <w:tr>
        <w:tc>
          <w:tcPr>
            <w:tcW w:type="dxa" w:w="3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Api/Program.cs (auth/JWT section)</w:t>
            </w:r>
          </w:p>
        </w:tc>
        <w:tc>
          <w:tcPr>
            <w:tcW w:type="dxa" w:w="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w:t>
            </w:r>
          </w:p>
        </w:tc>
        <w:tc>
          <w:tcPr>
            <w:tcW w:type="dxa" w:w="45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Config-driven key, fail-fast guard, per-request resolver</w:t>
            </w:r>
          </w:p>
        </w:tc>
      </w:tr>
      <w:tr>
        <w:tc>
          <w:tcPr>
            <w:tcW w:type="dxa" w:w="3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Integration/Security/SafeSqlValidator.cs</w:t>
            </w:r>
          </w:p>
        </w:tc>
        <w:tc>
          <w:tcPr>
            <w:tcW w:type="dxa" w:w="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424</w:t>
            </w:r>
          </w:p>
        </w:tc>
        <w:tc>
          <w:tcPr>
            <w:tcW w:type="dxa" w:w="45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Read-only SQL safety — Tier A (allowlist caveat §8.2)</w:t>
            </w:r>
          </w:p>
        </w:tc>
      </w:tr>
      <w:tr>
        <w:tc>
          <w:tcPr>
            <w:tcW w:type="dxa" w:w="3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Analytics.Core/Kpi/KpiEngine.cs + ExpressionEvaluator.cs</w:t>
            </w:r>
          </w:p>
        </w:tc>
        <w:tc>
          <w:tcPr>
            <w:tcW w:type="dxa" w:w="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220</w:t>
            </w:r>
          </w:p>
        </w:tc>
        <w:tc>
          <w:tcPr>
            <w:tcW w:type="dxa" w:w="45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KPI engine; BasicSqlGuard bug B1</w:t>
            </w:r>
          </w:p>
        </w:tc>
      </w:tr>
      <w:tr>
        <w:tc>
          <w:tcPr>
            <w:tcW w:type="dxa" w:w="3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Api/Security V5 enterprise identity (MFA enrol/verify)</w:t>
            </w:r>
          </w:p>
        </w:tc>
        <w:tc>
          <w:tcPr>
            <w:tcW w:type="dxa" w:w="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w:t>
            </w:r>
          </w:p>
        </w:tc>
        <w:tc>
          <w:tcPr>
            <w:tcW w:type="dxa" w:w="45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Real TOTP MFA — Tier B</w:t>
            </w:r>
          </w:p>
        </w:tc>
      </w:tr>
      <w:tr>
        <w:tc>
          <w:tcPr>
            <w:tcW w:type="dxa" w:w="3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Licensing/Services/LicenseService.cs + VerifiedEd25519LicenseService</w:t>
            </w:r>
          </w:p>
        </w:tc>
        <w:tc>
          <w:tcPr>
            <w:tcW w:type="dxa" w:w="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~400</w:t>
            </w:r>
          </w:p>
        </w:tc>
        <w:tc>
          <w:tcPr>
            <w:tcW w:type="dxa" w:w="45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Tier enforcement + signed-license verification</w:t>
            </w:r>
          </w:p>
        </w:tc>
      </w:tr>
      <w:tr>
        <w:tc>
          <w:tcPr>
            <w:tcW w:type="dxa" w:w="3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Connectors (PG/Oracle/MSSQL/MySQL/CSV/Excel) + factory + session</w:t>
            </w:r>
          </w:p>
        </w:tc>
        <w:tc>
          <w:tcPr>
            <w:tcW w:type="dxa" w:w="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~2,759</w:t>
            </w:r>
          </w:p>
        </w:tc>
        <w:tc>
          <w:tcPr>
            <w:tcW w:type="dxa" w:w="45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Six DB/file connectors — Tier B</w:t>
            </w:r>
          </w:p>
        </w:tc>
      </w:tr>
      <w:tr>
        <w:tc>
          <w:tcPr>
            <w:tcW w:type="dxa" w:w="3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Frontend bundle (aria/i18n/RTL/WCAG census)</w:t>
            </w:r>
          </w:p>
        </w:tc>
        <w:tc>
          <w:tcPr>
            <w:tcW w:type="dxa" w:w="90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~38,406 tsx</w:t>
            </w:r>
          </w:p>
        </w:tc>
        <w:tc>
          <w:tcPr>
            <w:tcW w:type="dxa" w:w="4560"/>
            <w:tcBorders>
              <w:top w:val="single" w:color="D6DEE8" w:sz="2"/>
              <w:left w:val="single" w:color="D6DEE8" w:sz="2"/>
              <w:bottom w:val="single" w:color="D6DEE8" w:sz="2"/>
              <w:right w:val="single" w:color="D6DEE8" w:sz="2"/>
            </w:tcBorders>
            <w:shd w:fill="FFFFFF"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Accessibility &amp; i18n — exceptional</w:t>
            </w:r>
          </w:p>
        </w:tc>
      </w:tr>
      <w:tr>
        <w:tc>
          <w:tcPr>
            <w:tcW w:type="dxa" w:w="3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bCs/>
                <w:i w:val="false"/>
                <w:iCs w:val="false"/>
                <w:color w:val="16263B"/>
                <w:sz w:val="16"/>
                <w:szCs w:val="16"/>
              </w:rPr>
              <w:t xml:space="preserve">docker-compose + deploy scripts</w:t>
            </w:r>
          </w:p>
        </w:tc>
        <w:tc>
          <w:tcPr>
            <w:tcW w:type="dxa" w:w="90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w:t>
            </w:r>
          </w:p>
        </w:tc>
        <w:tc>
          <w:tcPr>
            <w:tcW w:type="dxa" w:w="4560"/>
            <w:tcBorders>
              <w:top w:val="single" w:color="D6DEE8" w:sz="2"/>
              <w:left w:val="single" w:color="D6DEE8" w:sz="2"/>
              <w:bottom w:val="single" w:color="D6DEE8" w:sz="2"/>
              <w:right w:val="single" w:color="D6DEE8" w:sz="2"/>
            </w:tcBorders>
            <w:shd w:fill="EEF3F8" w:val="clear"/>
            <w:tcMar>
              <w:top w:type="dxa" w:w="54"/>
              <w:left w:type="dxa" w:w="100"/>
              <w:bottom w:type="dxa" w:w="54"/>
              <w:right w:type="dxa" w:w="100"/>
            </w:tcMar>
            <w:vAlign w:val="center"/>
          </w:tcPr>
          <w:p>
            <w:pPr>
              <w:spacing w:after="0" w:line="248"/>
            </w:pPr>
            <w:r>
              <w:rPr>
                <w:rFonts w:ascii="Inter" w:cs="Inter" w:eastAsia="Inter" w:hAnsi="Inter"/>
                <w:b w:val="false"/>
                <w:bCs w:val="false"/>
                <w:i w:val="false"/>
                <w:iCs w:val="false"/>
                <w:color w:val="16263B"/>
                <w:sz w:val="16"/>
                <w:szCs w:val="16"/>
              </w:rPr>
              <w:t xml:space="preserve">DB on loopback; exposure verification — hotfix closed</w:t>
            </w:r>
          </w:p>
        </w:tc>
      </w:tr>
    </w:tbl>
    <w:p>
      <w:pPr>
        <w:spacing w:after="120" w:before="40" w:line="264"/>
      </w:pPr>
      <w:r>
        <w:rPr>
          <w:rFonts w:ascii="Inter" w:cs="Inter" w:eastAsia="Inter" w:hAnsi="Inter"/>
          <w:b w:val="false"/>
          <w:bCs w:val="false"/>
          <w:i w:val="false"/>
          <w:iCs w:val="false"/>
          <w:caps w:val="false"/>
          <w:color w:val="16263B"/>
          <w:sz w:val="19"/>
          <w:szCs w:val="19"/>
        </w:rPr>
        <w:t xml:space="preserve">Counts (376,251 lines; 1,518 files; 552 C#; 188 TSX; 124 TS; 98 SQL; 6 connectors; 773 TenantId references; 18,713 i18n calls; 0 Edge-Collector references) are taken directly from the manifest and a census across the eight code bundles.</w:t>
      </w:r>
    </w:p>
    <w:sectPr>
      <w:headerReference w:type="default" r:id="rId7"/>
      <w:headerReference w:type="first" r:id="rId8"/>
      <w:footerReference w:type="default" r:id="rId9"/>
      <w:footerReference w:type="first" r:id="rId10"/>
      <w:pgSz w:w="12240" w:h="15840" w:orient="portrait"/>
      <w:pgMar w:top="1080" w:right="1440" w:bottom="1080" w:left="1440" w:header="68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8" w:sz="4" w:space="6"/>
      </w:pBdr>
      <w:spacing w:before="0" w:line="240"/>
      <w:jc w:val="center"/>
    </w:pPr>
    <w:r>
      <w:rPr>
        <w:rFonts w:ascii="Inter" w:cs="Inter" w:eastAsia="Inter" w:hAnsi="Inter"/>
        <w:color w:val="8EA7C1"/>
        <w:sz w:val="14"/>
        <w:szCs w:val="14"/>
      </w:rPr>
      <w:t xml:space="preserve">Codebase snapshot 3 June 2026        ·        Page </w:t>
    </w:r>
    <w:r>
      <w:rPr>
        <w:rFonts w:ascii="Inter" w:cs="Inter" w:eastAsia="Inter" w:hAnsi="Inter"/>
        <w:color w:val="8EA7C1"/>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8" w:sz="4" w:space="6"/>
      </w:pBdr>
      <w:spacing w:after="0" w:line="240"/>
    </w:pPr>
    <w:r>
      <w:rPr>
        <w:rFonts w:ascii="Inter" w:cs="Inter" w:eastAsia="Inter" w:hAnsi="Inter"/>
        <w:b/>
        <w:bCs/>
        <w:color w:val="8EA7C1"/>
        <w:sz w:val="14"/>
        <w:szCs w:val="14"/>
      </w:rPr>
      <w:t xml:space="preserve">PlantProcess IQ · Build Audit vs Doctrine v7.0</w:t>
    </w:r>
    <w:r>
      <w:rPr>
        <w:rFonts w:ascii="Inter" w:cs="Inter" w:eastAsia="Inter" w:hAnsi="Inter"/>
        <w:color w:val="8EA7C1"/>
        <w:sz w:val="14"/>
        <w:szCs w:val="14"/>
      </w:rPr>
      <w:t xml:space="preserve">        ·        SOU Industrial Software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Inter" w:cs="Inter" w:eastAsia="Inter" w:hAnsi="Inter"/>
        <w:color w:val="0A84FF"/>
      </w:rPr>
    </w:lvl>
  </w:abstractNum>
  <w:abstractNum w:abstractNumId="3" w15:restartNumberingAfterBreak="0">
    <w:multiLevelType w:val="hybridMultilevel"/>
    <w:lvl w:ilvl="0" w15:tentative="1">
      <w:start w:val="1"/>
      <w:numFmt w:val="decimal"/>
      <w:lvlText w:val="%1."/>
      <w:lvlJc w:val="left"/>
      <w:pPr>
        <w:ind w:left="430" w:hanging="280"/>
      </w:pPr>
      <w:rPr>
        <w:rFonts w:ascii="Inter" w:cs="Inter" w:eastAsia="Inter" w:hAnsi="Inter"/>
        <w:b/>
        <w:bCs/>
        <w:color w:val="102A4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6263B"/>
        <w:sz w:val="19"/>
        <w:szCs w:val="19"/>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Inter" w:cs="Inter" w:eastAsia="Inter" w:hAnsi="Inter"/>
      <w:b/>
      <w:bCs/>
      <w:color w:val="102A43"/>
      <w:sz w:val="28"/>
      <w:szCs w:val="28"/>
    </w:rPr>
  </w:style>
  <w:style w:type="paragraph" w:styleId="Heading2">
    <w:name w:val="Heading 2"/>
    <w:basedOn w:val="Normal"/>
    <w:next w:val="Normal"/>
    <w:qFormat/>
    <w:rPr>
      <w:rFonts w:ascii="Inter" w:cs="Inter" w:eastAsia="Inter" w:hAnsi="Inter"/>
      <w:b/>
      <w:bCs/>
      <w:color w:val="0A84F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Build Audit vs Doctrine v7.0</dc:title>
  <dc:creator>SOU Industrial Software</dc:creator>
  <dc:description>Codebase validation and implementation audit against the canonical v7 doctrine.</dc:description>
  <cp:lastModifiedBy>Un-named</cp:lastModifiedBy>
  <cp:revision>1</cp:revision>
  <dcterms:created xsi:type="dcterms:W3CDTF">2026-06-03T15:31:00.700Z</dcterms:created>
  <dcterms:modified xsi:type="dcterms:W3CDTF">2026-06-03T15:31:00.712Z</dcterms:modified>
</cp:coreProperties>
</file>

<file path=docProps/custom.xml><?xml version="1.0" encoding="utf-8"?>
<Properties xmlns="http://schemas.openxmlformats.org/officeDocument/2006/custom-properties" xmlns:vt="http://schemas.openxmlformats.org/officeDocument/2006/docPropsVTypes"/>
</file>