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pPr>
      <w:r>
        <w:rPr>
          <w:b/>
          <w:bCs/>
          <w:color w:val="0B1730"/>
          <w:sz w:val="60"/>
          <w:szCs w:val="60"/>
        </w:rPr>
        <w:t xml:space="preserve">PlantProcess </w:t>
      </w:r>
      <w:r>
        <w:rPr>
          <w:b/>
          <w:bCs/>
          <w:color w:val="0E6F86"/>
          <w:sz w:val="60"/>
          <w:szCs w:val="60"/>
        </w:rPr>
        <w:t xml:space="preserve">IQ</w:t>
      </w:r>
    </w:p>
    <w:p>
      <w:pPr>
        <w:spacing w:after="40"/>
      </w:pPr>
      <w:r>
        <w:rPr>
          <w:b/>
          <w:bCs/>
          <w:color w:val="0A4FA0"/>
          <w:sz w:val="34"/>
          <w:szCs w:val="34"/>
        </w:rPr>
        <w:t xml:space="preserve">Intelligence Architecture — AI &amp; ML Design</w:t>
      </w:r>
    </w:p>
    <w:p>
      <w:pPr>
        <w:spacing w:after="300"/>
      </w:pPr>
      <w:r>
        <w:rPr>
          <w:i/>
          <w:iCs/>
          <w:color w:val="33485F"/>
          <w:sz w:val="23"/>
          <w:szCs w:val="23"/>
        </w:rPr>
        <w:t xml:space="preserve">The end-to-end data-to-suggestion pipeline, component-by-component, with the widget/SQL engine and the quantified value model</w:t>
      </w:r>
    </w:p>
    <w:p>
      <w:pPr>
        <w:pBdr>
          <w:bottom w:val="single" w:color="0E6F86" w:sz="8" w:space="1"/>
        </w:pBdr>
        <w:spacing w:after="120" w:before="60"/>
      </w:pPr>
      <w:r>
        <w:t xml:space="preserve"/>
      </w:r>
    </w:p>
    <w:p>
      <w:pPr>
        <w:spacing w:after="120" w:line="276"/>
      </w:pPr>
      <w:r>
        <w:rPr>
          <w:b/>
          <w:bCs/>
          <w:color w:val="0B1730"/>
        </w:rPr>
        <w:t xml:space="preserve">Companion to the Product Vision v2.0. </w:t>
      </w:r>
      <w:r>
        <w:rPr>
          <w:color w:val="33485F"/>
        </w:rPr>
        <w:t xml:space="preserve">This document answers one question in full depth: how does a row of plant data become a high-end, money-saving suggestion — and exactly which component performs which step. It is the architectural contract for the Intelligence pillar.</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Field</w:t>
            </w:r>
          </w:p>
        </w:tc>
        <w:tc>
          <w:tcPr>
            <w:tcW w:type="dxa" w:w="706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Value</w:t>
            </w:r>
          </w:p>
        </w:tc>
      </w:tr>
      <w:tr>
        <w:tc>
          <w:tcPr>
            <w:tcW w:type="dxa" w:w="2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Scope</w:t>
            </w:r>
          </w:p>
        </w:tc>
        <w:tc>
          <w:tcPr>
            <w:tcW w:type="dxa" w:w="70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AI/ML architecture, the data→suggestion workflow, the widget &amp; SQL engine, and the value/ROI model</w:t>
            </w:r>
          </w:p>
        </w:tc>
      </w:tr>
      <w:tr>
        <w:tc>
          <w:tcPr>
            <w:tcW w:type="dxa" w:w="2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Design stance</w:t>
            </w:r>
          </w:p>
        </w:tc>
        <w:tc>
          <w:tcPr>
            <w:tcW w:type="dxa" w:w="70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Deterministic statistical brain in PostgreSQL; C# orchestration; LLM as the voice only; everything explainable and air-gappable</w:t>
            </w:r>
          </w:p>
        </w:tc>
      </w:tr>
      <w:tr>
        <w:tc>
          <w:tcPr>
            <w:tcW w:type="dxa" w:w="2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Grounded in</w:t>
            </w:r>
          </w:p>
        </w:tc>
        <w:tc>
          <w:tcPr>
            <w:tcW w:type="dxa" w:w="70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The real services in the codebase: CorrelationService, FeatureEngineeringService, RiskScoreService, MlReadinessService, QualityLabelBuilderService, the Narrative provider trio + DeterministicEmbeddingProvider, WidgetQueryExpressionService, SafeSqlValidator, and the SQL learning core (200–204)</w:t>
            </w:r>
          </w:p>
        </w:tc>
      </w:tr>
    </w:tbl>
    <w:p>
      <w:r>
        <w:br w:type="page"/>
      </w:r>
    </w:p>
    <w:p>
      <w:pPr>
        <w:pStyle w:val="Heading1"/>
      </w:pPr>
      <w:r>
        <w:rPr>
          <w:color w:val="0B17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color w:val="0B1730"/>
        </w:rPr>
        <w:t xml:space="preserve">1 · The Whole Pipeline on One Page</w:t>
      </w:r>
    </w:p>
    <w:p>
      <w:pPr>
        <w:spacing w:after="120" w:line="276"/>
      </w:pPr>
      <w:r>
        <w:rPr>
          <w:color w:val="33485F"/>
        </w:rPr>
        <w:t xml:space="preserve">Read this page and you understand the product’s intelligence. Everything after it is detail. Plant data flows through six layers; each layer has one job, one owner, and one honesty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0A4FA0" w:sz="1"/>
              <w:left w:val="single" w:color="0A4FA0" w:sz="1"/>
              <w:bottom w:val="single" w:color="0A4FA0" w:sz="1"/>
              <w:right w:val="single" w:color="0A4FA0" w:sz="1"/>
            </w:tcBorders>
            <w:shd w:fill="0A4FA0" w:val="clear"/>
            <w:tcMar>
              <w:top w:type="dxa" w:w="80"/>
              <w:left w:type="dxa" w:w="40"/>
              <w:bottom w:type="dxa" w:w="80"/>
              <w:right w:type="dxa" w:w="40"/>
            </w:tcMar>
            <w:vAlign w:val="center"/>
          </w:tcPr>
          <w:p>
            <w:pPr>
              <w:jc w:val="center"/>
            </w:pPr>
            <w:r>
              <w:rPr>
                <w:b/>
                <w:bCs/>
                <w:color w:val="FFFFFF"/>
                <w:sz w:val="26"/>
                <w:szCs w:val="26"/>
              </w:rPr>
              <w:t xml:space="preserve">L1</w:t>
            </w:r>
          </w:p>
        </w:tc>
        <w:tc>
          <w:tcPr>
            <w:tcW w:type="dxa" w:w="8600"/>
            <w:tcBorders>
              <w:top w:val="single" w:color="0A4FA0" w:sz="1"/>
              <w:left w:val="single" w:color="0A4FA0" w:sz="1"/>
              <w:bottom w:val="single" w:color="0A4FA0" w:sz="1"/>
              <w:right w:val="single" w:color="0A4FA0" w:sz="1"/>
            </w:tcBorders>
            <w:shd w:fill="EAF1F8" w:val="clear"/>
            <w:tcMar>
              <w:top w:type="dxa" w:w="80"/>
              <w:left w:type="dxa" w:w="160"/>
              <w:bottom w:type="dxa" w:w="80"/>
              <w:right w:type="dxa" w:w="140"/>
            </w:tcMar>
          </w:tcPr>
          <w:p>
            <w:pPr>
              <w:spacing w:after="20"/>
            </w:pPr>
            <w:r>
              <w:rPr>
                <w:b/>
                <w:bCs/>
                <w:color w:val="0A4FA0"/>
                <w:sz w:val="21"/>
                <w:szCs w:val="21"/>
              </w:rPr>
              <w:t xml:space="preserve">Ingest &amp; Canonicalize — faithful copies, one model</w:t>
            </w:r>
          </w:p>
          <w:p>
            <w:r>
              <w:rPr>
                <w:color w:val="33485F"/>
                <w:sz w:val="18"/>
                <w:szCs w:val="18"/>
              </w:rPr>
              <w:t xml:space="preserve">Source DBs → private dumps (delta, resumable) → mapping engine → canonical + genealogy spine. Owner: connectors + MappingExecutionService. No analysis here — only faithful, joined data.</w:t>
            </w:r>
          </w:p>
        </w:tc>
      </w:tr>
    </w:tbl>
    <w:p>
      <w:pPr>
        <w:spacing w:after="20" w:before="20"/>
        <w:jc w:val="center"/>
      </w:pPr>
      <w:r>
        <w:rPr>
          <w:color w:val="8EA7C1"/>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0E6F86" w:sz="1"/>
              <w:left w:val="single" w:color="0E6F86" w:sz="1"/>
              <w:bottom w:val="single" w:color="0E6F86" w:sz="1"/>
              <w:right w:val="single" w:color="0E6F86" w:sz="1"/>
            </w:tcBorders>
            <w:shd w:fill="0E6F86" w:val="clear"/>
            <w:tcMar>
              <w:top w:type="dxa" w:w="80"/>
              <w:left w:type="dxa" w:w="40"/>
              <w:bottom w:type="dxa" w:w="80"/>
              <w:right w:type="dxa" w:w="40"/>
            </w:tcMar>
            <w:vAlign w:val="center"/>
          </w:tcPr>
          <w:p>
            <w:pPr>
              <w:jc w:val="center"/>
            </w:pPr>
            <w:r>
              <w:rPr>
                <w:b/>
                <w:bCs/>
                <w:color w:val="FFFFFF"/>
                <w:sz w:val="26"/>
                <w:szCs w:val="26"/>
              </w:rPr>
              <w:t xml:space="preserve">L2</w:t>
            </w:r>
          </w:p>
        </w:tc>
        <w:tc>
          <w:tcPr>
            <w:tcW w:type="dxa" w:w="8600"/>
            <w:tcBorders>
              <w:top w:val="single" w:color="0E6F86" w:sz="1"/>
              <w:left w:val="single" w:color="0E6F86" w:sz="1"/>
              <w:bottom w:val="single" w:color="0E6F86" w:sz="1"/>
              <w:right w:val="single" w:color="0E6F86" w:sz="1"/>
            </w:tcBorders>
            <w:shd w:fill="E6F7FB" w:val="clear"/>
            <w:tcMar>
              <w:top w:type="dxa" w:w="80"/>
              <w:left w:type="dxa" w:w="160"/>
              <w:bottom w:type="dxa" w:w="80"/>
              <w:right w:type="dxa" w:w="140"/>
            </w:tcMar>
          </w:tcPr>
          <w:p>
            <w:pPr>
              <w:spacing w:after="20"/>
            </w:pPr>
            <w:r>
              <w:rPr>
                <w:b/>
                <w:bCs/>
                <w:color w:val="0E6F86"/>
                <w:sz w:val="21"/>
                <w:szCs w:val="21"/>
              </w:rPr>
              <w:t xml:space="preserve">Describe — dashboards &amp; charts</w:t>
            </w:r>
          </w:p>
          <w:p>
            <w:r>
              <w:rPr>
                <w:color w:val="33485F"/>
                <w:sz w:val="18"/>
                <w:szCs w:val="18"/>
              </w:rPr>
              <w:t xml:space="preserve">Canonical data → widgets, KPIs, heat map. Owner: DashboardWidgetQueryService + WidgetQueryExpressionService (SafeSql-guarded). Answers “what happened?” Pure description, zero inference.</w:t>
            </w:r>
          </w:p>
        </w:tc>
      </w:tr>
    </w:tbl>
    <w:p>
      <w:pPr>
        <w:spacing w:after="20" w:before="20"/>
        <w:jc w:val="center"/>
      </w:pPr>
      <w:r>
        <w:rPr>
          <w:color w:val="8EA7C1"/>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E7F4F" w:sz="1"/>
              <w:left w:val="single" w:color="1E7F4F" w:sz="1"/>
              <w:bottom w:val="single" w:color="1E7F4F" w:sz="1"/>
              <w:right w:val="single" w:color="1E7F4F" w:sz="1"/>
            </w:tcBorders>
            <w:shd w:fill="1E7F4F" w:val="clear"/>
            <w:tcMar>
              <w:top w:type="dxa" w:w="80"/>
              <w:left w:type="dxa" w:w="40"/>
              <w:bottom w:type="dxa" w:w="80"/>
              <w:right w:type="dxa" w:w="40"/>
            </w:tcMar>
            <w:vAlign w:val="center"/>
          </w:tcPr>
          <w:p>
            <w:pPr>
              <w:jc w:val="center"/>
            </w:pPr>
            <w:r>
              <w:rPr>
                <w:b/>
                <w:bCs/>
                <w:color w:val="FFFFFF"/>
                <w:sz w:val="26"/>
                <w:szCs w:val="26"/>
              </w:rPr>
              <w:t xml:space="preserve">L3</w:t>
            </w:r>
          </w:p>
        </w:tc>
        <w:tc>
          <w:tcPr>
            <w:tcW w:type="dxa" w:w="8600"/>
            <w:tcBorders>
              <w:top w:val="single" w:color="1E7F4F" w:sz="1"/>
              <w:left w:val="single" w:color="1E7F4F" w:sz="1"/>
              <w:bottom w:val="single" w:color="1E7F4F" w:sz="1"/>
              <w:right w:val="single" w:color="1E7F4F" w:sz="1"/>
            </w:tcBorders>
            <w:shd w:fill="E8F8F0" w:val="clear"/>
            <w:tcMar>
              <w:top w:type="dxa" w:w="80"/>
              <w:left w:type="dxa" w:w="160"/>
              <w:bottom w:type="dxa" w:w="80"/>
              <w:right w:type="dxa" w:w="140"/>
            </w:tcMar>
          </w:tcPr>
          <w:p>
            <w:pPr>
              <w:spacing w:after="20"/>
            </w:pPr>
            <w:r>
              <w:rPr>
                <w:b/>
                <w:bCs/>
                <w:color w:val="1E7F4F"/>
                <w:sz w:val="21"/>
                <w:szCs w:val="21"/>
              </w:rPr>
              <w:t xml:space="preserve">Feature Store — make data learnable</w:t>
            </w:r>
          </w:p>
          <w:p>
            <w:r>
              <w:rPr>
                <w:color w:val="33485F"/>
                <w:sz w:val="18"/>
                <w:szCs w:val="18"/>
              </w:rPr>
              <w:t xml:space="preserve">Genealogy-joined rows → multi-grain features (heat/strand/coil/location) + derived metallurgy. Owner: ppiq_ml_refresh_feature_store_v6 (SQL) + FeatureEngineeringService. Deterministic math only.</w:t>
            </w:r>
          </w:p>
        </w:tc>
      </w:tr>
    </w:tbl>
    <w:p>
      <w:pPr>
        <w:spacing w:after="20" w:before="20"/>
        <w:jc w:val="center"/>
      </w:pPr>
      <w:r>
        <w:rPr>
          <w:color w:val="8EA7C1"/>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E7F4F" w:sz="1"/>
              <w:left w:val="single" w:color="1E7F4F" w:sz="1"/>
              <w:bottom w:val="single" w:color="1E7F4F" w:sz="1"/>
              <w:right w:val="single" w:color="1E7F4F" w:sz="1"/>
            </w:tcBorders>
            <w:shd w:fill="1E7F4F" w:val="clear"/>
            <w:tcMar>
              <w:top w:type="dxa" w:w="80"/>
              <w:left w:type="dxa" w:w="40"/>
              <w:bottom w:type="dxa" w:w="80"/>
              <w:right w:type="dxa" w:w="40"/>
            </w:tcMar>
            <w:vAlign w:val="center"/>
          </w:tcPr>
          <w:p>
            <w:pPr>
              <w:jc w:val="center"/>
            </w:pPr>
            <w:r>
              <w:rPr>
                <w:b/>
                <w:bCs/>
                <w:color w:val="FFFFFF"/>
                <w:sz w:val="26"/>
                <w:szCs w:val="26"/>
              </w:rPr>
              <w:t xml:space="preserve">L4</w:t>
            </w:r>
          </w:p>
        </w:tc>
        <w:tc>
          <w:tcPr>
            <w:tcW w:type="dxa" w:w="8600"/>
            <w:tcBorders>
              <w:top w:val="single" w:color="1E7F4F" w:sz="1"/>
              <w:left w:val="single" w:color="1E7F4F" w:sz="1"/>
              <w:bottom w:val="single" w:color="1E7F4F" w:sz="1"/>
              <w:right w:val="single" w:color="1E7F4F" w:sz="1"/>
            </w:tcBorders>
            <w:shd w:fill="E8F8F0" w:val="clear"/>
            <w:tcMar>
              <w:top w:type="dxa" w:w="80"/>
              <w:left w:type="dxa" w:w="160"/>
              <w:bottom w:type="dxa" w:w="80"/>
              <w:right w:type="dxa" w:w="140"/>
            </w:tcMar>
          </w:tcPr>
          <w:p>
            <w:pPr>
              <w:spacing w:after="20"/>
            </w:pPr>
            <w:r>
              <w:rPr>
                <w:b/>
                <w:bCs/>
                <w:color w:val="1E7F4F"/>
                <w:sz w:val="21"/>
                <w:szCs w:val="21"/>
              </w:rPr>
              <w:t xml:space="preserve">Correlate (the ML/stats core) — find suspected drivers</w:t>
            </w:r>
          </w:p>
          <w:p>
            <w:r>
              <w:rPr>
                <w:color w:val="33485F"/>
                <w:sz w:val="18"/>
                <w:szCs w:val="18"/>
              </w:rPr>
              <w:t xml:space="preserve">Features × outcomes → type-aware statistics with FDR control → ranked associations in ml_correlation_results_v2. Owner: 204_ml_learning_core (SQL) + CorrelationService. This is the brain. No LLM.</w:t>
            </w:r>
          </w:p>
        </w:tc>
      </w:tr>
    </w:tbl>
    <w:p>
      <w:pPr>
        <w:spacing w:after="20" w:before="20"/>
        <w:jc w:val="center"/>
      </w:pPr>
      <w:r>
        <w:rPr>
          <w:color w:val="8EA7C1"/>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6B4FB0" w:sz="1"/>
              <w:left w:val="single" w:color="6B4FB0" w:sz="1"/>
              <w:bottom w:val="single" w:color="6B4FB0" w:sz="1"/>
              <w:right w:val="single" w:color="6B4FB0" w:sz="1"/>
            </w:tcBorders>
            <w:shd w:fill="6B4FB0" w:val="clear"/>
            <w:tcMar>
              <w:top w:type="dxa" w:w="80"/>
              <w:left w:type="dxa" w:w="40"/>
              <w:bottom w:type="dxa" w:w="80"/>
              <w:right w:type="dxa" w:w="40"/>
            </w:tcMar>
            <w:vAlign w:val="center"/>
          </w:tcPr>
          <w:p>
            <w:pPr>
              <w:jc w:val="center"/>
            </w:pPr>
            <w:r>
              <w:rPr>
                <w:b/>
                <w:bCs/>
                <w:color w:val="FFFFFF"/>
                <w:sz w:val="26"/>
                <w:szCs w:val="26"/>
              </w:rPr>
              <w:t xml:space="preserve">L5</w:t>
            </w:r>
          </w:p>
        </w:tc>
        <w:tc>
          <w:tcPr>
            <w:tcW w:type="dxa" w:w="8600"/>
            <w:tcBorders>
              <w:top w:val="single" w:color="6B4FB0" w:sz="1"/>
              <w:left w:val="single" w:color="6B4FB0" w:sz="1"/>
              <w:bottom w:val="single" w:color="6B4FB0" w:sz="1"/>
              <w:right w:val="single" w:color="6B4FB0" w:sz="1"/>
            </w:tcBorders>
            <w:shd w:fill="F1ECFA" w:val="clear"/>
            <w:tcMar>
              <w:top w:type="dxa" w:w="80"/>
              <w:left w:type="dxa" w:w="160"/>
              <w:bottom w:type="dxa" w:w="80"/>
              <w:right w:type="dxa" w:w="140"/>
            </w:tcMar>
          </w:tcPr>
          <w:p>
            <w:pPr>
              <w:spacing w:after="20"/>
            </w:pPr>
            <w:r>
              <w:rPr>
                <w:b/>
                <w:bCs/>
                <w:color w:val="6B4FB0"/>
                <w:sz w:val="21"/>
                <w:szCs w:val="21"/>
              </w:rPr>
              <w:t xml:space="preserve">Reason — risk, inspection pages, knowledge</w:t>
            </w:r>
          </w:p>
          <w:p>
            <w:r>
              <w:rPr>
                <w:color w:val="33485F"/>
                <w:sz w:val="18"/>
                <w:szCs w:val="18"/>
              </w:rPr>
              <w:t xml:space="preserve">Associations → additive risk scores (RiskScoreService), generated inspection pages, and an evidence knowledge base (DeterministicEmbeddingProvider). Answers “why, and how risky?” Transparent, decomposable.</w:t>
            </w:r>
          </w:p>
        </w:tc>
      </w:tr>
    </w:tbl>
    <w:p>
      <w:pPr>
        <w:spacing w:after="20" w:before="20"/>
        <w:jc w:val="center"/>
      </w:pPr>
      <w:r>
        <w:rPr>
          <w:color w:val="8EA7C1"/>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8A5A00" w:sz="1"/>
              <w:left w:val="single" w:color="8A5A00" w:sz="1"/>
              <w:bottom w:val="single" w:color="8A5A00" w:sz="1"/>
              <w:right w:val="single" w:color="8A5A00" w:sz="1"/>
            </w:tcBorders>
            <w:shd w:fill="8A5A00" w:val="clear"/>
            <w:tcMar>
              <w:top w:type="dxa" w:w="80"/>
              <w:left w:type="dxa" w:w="40"/>
              <w:bottom w:type="dxa" w:w="80"/>
              <w:right w:type="dxa" w:w="40"/>
            </w:tcMar>
            <w:vAlign w:val="center"/>
          </w:tcPr>
          <w:p>
            <w:pPr>
              <w:jc w:val="center"/>
            </w:pPr>
            <w:r>
              <w:rPr>
                <w:b/>
                <w:bCs/>
                <w:color w:val="FFFFFF"/>
                <w:sz w:val="26"/>
                <w:szCs w:val="26"/>
              </w:rPr>
              <w:t xml:space="preserve">L6</w:t>
            </w:r>
          </w:p>
        </w:tc>
        <w:tc>
          <w:tcPr>
            <w:tcW w:type="dxa" w:w="8600"/>
            <w:tcBorders>
              <w:top w:val="single" w:color="8A5A00" w:sz="1"/>
              <w:left w:val="single" w:color="8A5A00" w:sz="1"/>
              <w:bottom w:val="single" w:color="8A5A00" w:sz="1"/>
              <w:right w:val="single" w:color="8A5A00" w:sz="1"/>
            </w:tcBorders>
            <w:shd w:fill="FFF4E0" w:val="clear"/>
            <w:tcMar>
              <w:top w:type="dxa" w:w="80"/>
              <w:left w:type="dxa" w:w="160"/>
              <w:bottom w:type="dxa" w:w="80"/>
              <w:right w:type="dxa" w:w="140"/>
            </w:tcMar>
          </w:tcPr>
          <w:p>
            <w:pPr>
              <w:spacing w:after="20"/>
            </w:pPr>
            <w:r>
              <w:rPr>
                <w:b/>
                <w:bCs/>
                <w:color w:val="8A5A00"/>
                <w:sz w:val="21"/>
                <w:szCs w:val="21"/>
              </w:rPr>
              <w:t xml:space="preserve">Advise — the AI Assistant</w:t>
            </w:r>
          </w:p>
          <w:p>
            <w:r>
              <w:rPr>
                <w:color w:val="33485F"/>
                <w:sz w:val="18"/>
                <w:szCs w:val="18"/>
              </w:rPr>
              <w:t xml:space="preserve">Validated findings → ranked, evidence-linked suggestions + a grounded conversational agent that phrases them and quantifies impact. Owner: suggestion engine + RAG agent over the Narrative providers. The LLM is the voice; every figure traces to a tool result.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0" w:sz="1"/>
              <w:left w:val="single" w:color="8A5A00" w:sz="24"/>
              <w:bottom w:val="single" w:color="FFF4E0" w:sz="1"/>
              <w:right w:val="single" w:color="FFF4E0" w:sz="1"/>
            </w:tcBorders>
            <w:shd w:fill="FFF4E0" w:val="clear"/>
            <w:tcMar>
              <w:top w:type="dxa" w:w="120"/>
              <w:left w:type="dxa" w:w="200"/>
              <w:bottom w:type="dxa" w:w="120"/>
              <w:right w:type="dxa" w:w="160"/>
            </w:tcMar>
          </w:tcPr>
          <w:p>
            <w:pPr>
              <w:spacing w:after="60"/>
            </w:pPr>
            <w:r>
              <w:rPr>
                <w:b/>
                <w:bCs/>
                <w:color w:val="8A5A00"/>
              </w:rPr>
              <w:t xml:space="preserve">The single rule that spans all six layers</w:t>
            </w:r>
          </w:p>
          <w:p>
            <w:pPr>
              <w:spacing w:after="40" w:line="264"/>
            </w:pPr>
            <w:r>
              <w:rPr>
                <w:b/>
                <w:bCs/>
              </w:rPr>
              <w:t xml:space="preserve">Computation flows up; language only appears at the very top. </w:t>
            </w:r>
            <w:r>
              <w:t xml:space="preserve">L1–L5 are deterministic and testable; numbers are produced by SQL and C#, never by a model. Only L6 introduces an LLM, and it may not invent a single figure — it phrases what L4/L5 computed. That is what makes the product honest and air-gappable.</w:t>
            </w:r>
          </w:p>
        </w:tc>
      </w:tr>
    </w:tbl>
    <w:p>
      <w:r>
        <w:br w:type="page"/>
      </w:r>
    </w:p>
    <w:p>
      <w:pPr>
        <w:pStyle w:val="Heading1"/>
      </w:pPr>
      <w:r>
        <w:rPr>
          <w:color w:val="0B1730"/>
        </w:rPr>
        <w:t xml:space="preserve">2 · The Workflow in Depth — From Arrival to Advice</w:t>
      </w:r>
    </w:p>
    <w:p>
      <w:pPr>
        <w:spacing w:after="120" w:line="276"/>
      </w:pPr>
      <w:r>
        <w:rPr>
          <w:color w:val="33485F"/>
        </w:rPr>
        <w:t xml:space="preserve">This section walks the exact path you described: data arrives → simple analysis in dashboards → correlation data → correlation info &amp; analysis → the assistant gives high-end suggestions on how to improve performance, KPIs and productivity and reduce loss and downtime. Each layer below names its inputs, its computation, its output, its owning component, and what is explicitly NOT allowed to happen there.</w:t>
      </w:r>
    </w:p>
    <w:p>
      <w:pPr>
        <w:pStyle w:val="Heading2"/>
      </w:pPr>
      <w:r>
        <w:rPr>
          <w:color w:val="0A4FA0"/>
        </w:rPr>
        <w:t xml:space="preserve">2.1 Layer 1 — Ingestion &amp; Canonicalization</w:t>
      </w:r>
    </w:p>
    <w:p>
      <w:pPr>
        <w:spacing w:after="120" w:line="276"/>
      </w:pPr>
      <w:r>
        <w:rPr>
          <w:b/>
          <w:bCs/>
        </w:rPr>
        <w:t xml:space="preserve">Question answered: </w:t>
      </w:r>
      <w:r>
        <w:rPr>
          <w:color w:val="33485F"/>
        </w:rPr>
        <w:t xml:space="preserve">“Is the data here, faithful, and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Aspect</w:t>
            </w:r>
          </w:p>
        </w:tc>
        <w:tc>
          <w:tcPr>
            <w:tcW w:type="dxa" w:w="766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Detail</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Input</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Six source engines (MSSQL, PostgreSQL, MySQL, Oracle, Excel, CSV) configured from the HMI</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Computation</w:t>
            </w:r>
          </w:p>
        </w:tc>
        <w:tc>
          <w:tcPr>
            <w:tcW w:type="dxa" w:w="7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Delta, cursor-based reads into private dumps (resumable, zero-duplicate); then the mapping engine projects dumps into the canonical model and derives the genealogy spine (heat→ladle→tundish→strand→slab→coil→defect→QA)</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Output</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Canonical entities + a walkable genealogy view — the substrate every higher layer reads</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Owner</w:t>
            </w:r>
          </w:p>
        </w:tc>
        <w:tc>
          <w:tcPr>
            <w:tcW w:type="dxa" w:w="7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Connector interface + factory; DeltaImportExecutionService; MappingExecutionService; SafeSqlValidator at preview/materialize</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Forbidden here</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Any analysis, scoring or inference. L1 only moves and joins data faithfully — it never interprets it</w:t>
            </w:r>
          </w:p>
        </w:tc>
      </w:tr>
    </w:tbl>
    <w:p>
      <w:pPr>
        <w:pStyle w:val="Heading2"/>
      </w:pPr>
      <w:r>
        <w:rPr>
          <w:color w:val="0A4FA0"/>
        </w:rPr>
        <w:t xml:space="preserve">2.2 Layer 2 — Descriptive Analytics (dashboards &amp; charts)</w:t>
      </w:r>
    </w:p>
    <w:p>
      <w:pPr>
        <w:spacing w:after="120" w:line="276"/>
      </w:pPr>
      <w:r>
        <w:rPr>
          <w:b/>
          <w:bCs/>
        </w:rPr>
        <w:t xml:space="preserve">Question answered: </w:t>
      </w:r>
      <w:r>
        <w:rPr>
          <w:color w:val="33485F"/>
        </w:rPr>
        <w:t xml:space="preserve">“What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Aspect</w:t>
            </w:r>
          </w:p>
        </w:tc>
        <w:tc>
          <w:tcPr>
            <w:tcW w:type="dxa" w:w="766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Detail</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Input</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Canonical data + user-authored KPIs (SQL views)</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Computation</w:t>
            </w:r>
          </w:p>
        </w:tc>
        <w:tc>
          <w:tcPr>
            <w:tcW w:type="dxa" w:w="7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Aggregation, filtering, sorting, time-bucketing; the heat map (line × shift × day); KPI rollups. All expressed as safe, validated SQL — no statistics, no model</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Output</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Interactive widgets, charts, the heat map, KPI tiles on user-built pages</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Owner</w:t>
            </w:r>
          </w:p>
        </w:tc>
        <w:tc>
          <w:tcPr>
            <w:tcW w:type="dxa" w:w="7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DashboardWidgetQueryService + DashboardQueryService; WidgetQueryExpressionService compiles the per-widget expression; DashboardWidgetQuerySafetyRegistry + SafeSqlValidator gate it</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Forbidden here</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Causal language. A chart shows a trend; it never says one thing “causes” another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7FB" w:sz="1"/>
              <w:left w:val="single" w:color="0E6F86" w:sz="24"/>
              <w:bottom w:val="single" w:color="E6F7FB" w:sz="1"/>
              <w:right w:val="single" w:color="E6F7FB" w:sz="1"/>
            </w:tcBorders>
            <w:shd w:fill="E6F7FB" w:val="clear"/>
            <w:tcMar>
              <w:top w:type="dxa" w:w="120"/>
              <w:left w:type="dxa" w:w="200"/>
              <w:bottom w:type="dxa" w:w="120"/>
              <w:right w:type="dxa" w:w="160"/>
            </w:tcMar>
          </w:tcPr>
          <w:p>
            <w:pPr>
              <w:spacing w:after="60"/>
            </w:pPr>
            <w:r>
              <w:rPr>
                <w:b/>
                <w:bCs/>
                <w:color w:val="0E6F86"/>
              </w:rPr>
              <w:t xml:space="preserve">Why descriptive and correlation are deliberately separate layers</w:t>
            </w:r>
          </w:p>
          <w:p>
            <w:pPr>
              <w:spacing w:after="40" w:line="264"/>
            </w:pPr>
            <w:r>
              <w:t xml:space="preserve">Dashboards must stay fast, literal and trustworthy — a plant manager reads them as fact. The moment inference enters, the honesty contract applies (sample size, significance, effect size). Keeping L2 purely descriptive means a chart can never accidentally imply causation, and the correlation engine (L4) can never be mistaken for “just another chart.”</w:t>
            </w:r>
          </w:p>
        </w:tc>
      </w:tr>
    </w:tbl>
    <w:p>
      <w:pPr>
        <w:pStyle w:val="Heading2"/>
      </w:pPr>
      <w:r>
        <w:rPr>
          <w:color w:val="0A4FA0"/>
        </w:rPr>
        <w:t xml:space="preserve">2.3 Layer 3 — The Feature Store (making data learnable)</w:t>
      </w:r>
    </w:p>
    <w:p>
      <w:pPr>
        <w:spacing w:after="120" w:line="276"/>
      </w:pPr>
      <w:r>
        <w:rPr>
          <w:b/>
          <w:bCs/>
        </w:rPr>
        <w:t xml:space="preserve">Question answered: </w:t>
      </w:r>
      <w:r>
        <w:rPr>
          <w:color w:val="33485F"/>
        </w:rPr>
        <w:t xml:space="preserve">“What are the measurable, comparable signals per unit of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Aspect</w:t>
            </w:r>
          </w:p>
        </w:tc>
        <w:tc>
          <w:tcPr>
            <w:tcW w:type="dxa" w:w="766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Detail</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Input</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Genealogy-joined canonical data over a configurable window</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Computation</w:t>
            </w:r>
          </w:p>
        </w:tc>
        <w:tc>
          <w:tcPr>
            <w:tcW w:type="dxa" w:w="7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Compute features at four grains — heat, strand, coil, location — plus derived metallurgy (carbon-equivalent, true superheat, casting-speed mean/delta, residency minutes, shift bucket). Each value stored with provenance and the grain it belongs to</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Output</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 versioned multi-grain feature store + an outcome catalog (defect rate/class/severity/position; KPI outcomes; cascade-downtime with equipment-vs-production-stoppage minutes)</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Owner</w:t>
            </w:r>
          </w:p>
        </w:tc>
        <w:tc>
          <w:tcPr>
            <w:tcW w:type="dxa" w:w="7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SQL: ppiq_ml_refresh_feature_store_v6 (built on _refresh_feature_store). C#: FeatureEngineeringService (derived features) + QualityLabelBuilderService (outcome labels)</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Forbidden here</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Correlation or ranking. L3 prepares the inputs; it never measures relationships</w:t>
            </w:r>
          </w:p>
        </w:tc>
      </w:tr>
    </w:tbl>
    <w:p>
      <w:pPr>
        <w:pStyle w:val="Heading2"/>
      </w:pPr>
      <w:r>
        <w:rPr>
          <w:color w:val="0A4FA0"/>
        </w:rPr>
        <w:t xml:space="preserve">2.4 Layer 4 — Correlation: the ML / Statistical Core</w:t>
      </w:r>
    </w:p>
    <w:p>
      <w:pPr>
        <w:spacing w:after="120" w:line="276"/>
      </w:pPr>
      <w:r>
        <w:rPr>
          <w:b/>
          <w:bCs/>
        </w:rPr>
        <w:t xml:space="preserve">Question answered: </w:t>
      </w:r>
      <w:r>
        <w:rPr>
          <w:color w:val="33485F"/>
        </w:rPr>
        <w:t xml:space="preserve">“Which process parameters are suspected contributors to this outcome — and how strongly, how reliably?” This is the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Aspect</w:t>
            </w:r>
          </w:p>
        </w:tc>
        <w:tc>
          <w:tcPr>
            <w:tcW w:type="dxa" w:w="766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Detail</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Input</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The feature store × an outcome family (defects / downtime / KPIs)</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Computation</w:t>
            </w:r>
          </w:p>
        </w:tc>
        <w:tc>
          <w:tcPr>
            <w:tcW w:type="dxa" w:w="7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b/>
                <w:bCs/>
                <w:sz w:val="19"/>
                <w:szCs w:val="19"/>
              </w:rPr>
              <w:t xml:space="preserve">Type-aware method selection: </w:t>
            </w:r>
            <w:r>
              <w:rPr>
                <w:sz w:val="19"/>
                <w:szCs w:val="19"/>
              </w:rPr>
              <w:t xml:space="preserve">Pearson (continuous, linearity-checked), Spearman (monotonic), point-biserial (continuous–binary), chi-square + Cramér’s V (categorical), mutual information (non-linear), Lasso (multivariate screen). </w:t>
            </w:r>
            <w:r>
              <w:rPr>
                <w:b/>
                <w:bCs/>
                <w:sz w:val="19"/>
                <w:szCs w:val="19"/>
              </w:rPr>
              <w:t xml:space="preserve">Validity: </w:t>
            </w:r>
            <w:r>
              <w:rPr>
                <w:sz w:val="19"/>
                <w:szCs w:val="19"/>
              </w:rPr>
              <w:t xml:space="preserve">Benjamini-Hochberg q-values (FDR), effect-size-first ranking, statistical power, bootstrap stability, confounding/stratification, VIF for collinearity. Effective-n counted by independent heat.</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Output</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Ranked, qualified associations persisted to ml_correlation_results_v2 (outcome_key, method, effect_size, q_value, power, stability, effective_n, finding_status)</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Owner</w:t>
            </w:r>
          </w:p>
        </w:tc>
        <w:tc>
          <w:tcPr>
            <w:tcW w:type="dxa" w:w="7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SQL: 204_phase04_phase05_ml_learning_core (the sweep + statistics). C#: CorrelationService (orchestration, assembly, filtering). Scheduled by the Worker as the four learning jobs.</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Forbidden here</w:t>
            </w:r>
          </w:p>
        </w:tc>
        <w:tc>
          <w:tcPr>
            <w:tcW w:type="dxa" w:w="7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Any LLM. A language model never computes, ranks or judges a correlation. Findings below power/stability thresholds are flagged, not promoted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8F0" w:sz="1"/>
              <w:left w:val="single" w:color="1E7F4F" w:sz="24"/>
              <w:bottom w:val="single" w:color="E8F8F0" w:sz="1"/>
              <w:right w:val="single" w:color="E8F8F0" w:sz="1"/>
            </w:tcBorders>
            <w:shd w:fill="E8F8F0" w:val="clear"/>
            <w:tcMar>
              <w:top w:type="dxa" w:w="120"/>
              <w:left w:type="dxa" w:w="200"/>
              <w:bottom w:type="dxa" w:w="120"/>
              <w:right w:type="dxa" w:w="160"/>
            </w:tcMar>
          </w:tcPr>
          <w:p>
            <w:pPr>
              <w:spacing w:after="60"/>
            </w:pPr>
            <w:r>
              <w:rPr>
                <w:b/>
                <w:bCs/>
                <w:color w:val="1E7F4F"/>
              </w:rPr>
              <w:t xml:space="preserve">Where “ML” actually is — said plainly</w:t>
            </w:r>
          </w:p>
          <w:p>
            <w:pPr>
              <w:spacing w:after="40" w:line="264"/>
            </w:pPr>
            <w:r>
              <w:rPr>
                <w:b/>
                <w:bCs/>
              </w:rPr>
              <w:t xml:space="preserve">The ML/statistics is the SQL learning core plus CorrelationService, full stop. </w:t>
            </w:r>
            <w:r>
              <w:t xml:space="preserve">It is classical, transparent, inspectable statistics over a feature store — not a neural net, not an LLM. “Machine learning” here means the system learns associations from the plant’s own data and accumulates validated findings over time. The intelligence is real and defensible precisely because you can show the method, the sample, the effect size and the q-value behind every result.</w:t>
            </w:r>
          </w:p>
        </w:tc>
      </w:tr>
    </w:tbl>
    <w:p>
      <w:pPr>
        <w:pStyle w:val="Heading2"/>
      </w:pPr>
      <w:r>
        <w:rPr>
          <w:color w:val="0A4FA0"/>
        </w:rPr>
        <w:t xml:space="preserve">2.5 Layer 5 — Reasoning: Risk, Inspection Pages, Knowledge</w:t>
      </w:r>
    </w:p>
    <w:p>
      <w:pPr>
        <w:spacing w:after="120" w:line="276"/>
      </w:pPr>
      <w:r>
        <w:rPr>
          <w:b/>
          <w:bCs/>
        </w:rPr>
        <w:t xml:space="preserve">Question answered: </w:t>
      </w:r>
      <w:r>
        <w:rPr>
          <w:color w:val="33485F"/>
        </w:rPr>
        <w:t xml:space="preserve">“Given the suspected drivers, how risky is this unit, what does the investigation look like, and what do we remember?”</w:t>
      </w:r>
    </w:p>
    <w:p>
      <w:pPr>
        <w:pStyle w:val="ListParagraph"/>
        <w:numPr>
          <w:ilvl w:val="0"/>
          <w:numId w:val="2"/>
        </w:numPr>
        <w:spacing w:after="60" w:line="270"/>
      </w:pPr>
      <w:r>
        <w:rPr>
          <w:b/>
          <w:bCs/>
        </w:rPr>
        <w:t xml:space="preserve">Risk scoring — RiskScoreService: </w:t>
      </w:r>
      <w:r>
        <w:t xml:space="preserve">an additive score whose contributions decompose exactly into named, signed terms; calibration/reliability checked; a model registry records provenance so every score is reproducible and drift is monitored.</w:t>
      </w:r>
    </w:p>
    <w:p>
      <w:pPr>
        <w:pStyle w:val="ListParagraph"/>
        <w:numPr>
          <w:ilvl w:val="0"/>
          <w:numId w:val="2"/>
        </w:numPr>
        <w:spacing w:after="60" w:line="270"/>
      </w:pPr>
      <w:r>
        <w:rPr>
          <w:b/>
          <w:bCs/>
        </w:rPr>
        <w:t xml:space="preserve">Inspection → generated pages: </w:t>
      </w:r>
      <w:r>
        <w:t xml:space="preserve">an operator selects an outcome and window, names the inspection, and the runner executes the L4 analysis and auto-builds a page of widgets/charts from the result — provably configured, never hardcoded.</w:t>
      </w:r>
    </w:p>
    <w:p>
      <w:pPr>
        <w:pStyle w:val="ListParagraph"/>
        <w:numPr>
          <w:ilvl w:val="0"/>
          <w:numId w:val="2"/>
        </w:numPr>
        <w:spacing w:after="60" w:line="270"/>
      </w:pPr>
      <w:r>
        <w:rPr>
          <w:b/>
          <w:bCs/>
        </w:rPr>
        <w:t xml:space="preserve">Knowledge base — DeterministicEmbeddingProvider: </w:t>
      </w:r>
      <w:r>
        <w:t xml:space="preserve">findings, saved cases and domain documents are embedded into a vector + structured store. The embedding provider is deterministic and self-hostable, so retrieval works offline and identically across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ECFA" w:sz="1"/>
              <w:left w:val="single" w:color="6B4FB0" w:sz="24"/>
              <w:bottom w:val="single" w:color="F1ECFA" w:sz="1"/>
              <w:right w:val="single" w:color="F1ECFA" w:sz="1"/>
            </w:tcBorders>
            <w:shd w:fill="F1ECFA" w:val="clear"/>
            <w:tcMar>
              <w:top w:type="dxa" w:w="120"/>
              <w:left w:type="dxa" w:w="200"/>
              <w:bottom w:type="dxa" w:w="120"/>
              <w:right w:type="dxa" w:w="160"/>
            </w:tcMar>
          </w:tcPr>
          <w:p>
            <w:pPr>
              <w:spacing w:after="60"/>
            </w:pPr>
            <w:r>
              <w:rPr>
                <w:b/>
                <w:bCs/>
                <w:color w:val="6B4FB0"/>
              </w:rPr>
              <w:t xml:space="preserve">Readiness governs everything in L4–L5</w:t>
            </w:r>
          </w:p>
          <w:p>
            <w:pPr>
              <w:spacing w:after="40" w:line="264"/>
            </w:pPr>
            <w:r>
              <w:rPr>
                <w:b/>
                <w:bCs/>
              </w:rPr>
              <w:t xml:space="preserve">MlReadinessService is the gate. </w:t>
            </w:r>
            <w:r>
              <w:t xml:space="preserve">Before any learning job or score runs, it evaluates whether there is enough independent, non-degenerate data. Under-powered analyses are refused and rescheduled with backoff — so the engine never emits a confident-looking result from three heats. Readiness is itself a tested, both-sides-of-the-boundary contract.</w:t>
            </w:r>
          </w:p>
        </w:tc>
      </w:tr>
    </w:tbl>
    <w:p>
      <w:pPr>
        <w:pStyle w:val="Heading2"/>
      </w:pPr>
      <w:r>
        <w:rPr>
          <w:color w:val="0A4FA0"/>
        </w:rPr>
        <w:t xml:space="preserve">2.6 Layer 6 — The AI Assistant: high-end suggestions</w:t>
      </w:r>
    </w:p>
    <w:p>
      <w:pPr>
        <w:spacing w:after="120" w:line="276"/>
      </w:pPr>
      <w:r>
        <w:rPr>
          <w:b/>
          <w:bCs/>
        </w:rPr>
        <w:t xml:space="preserve">Question answered: </w:t>
      </w:r>
      <w:r>
        <w:rPr>
          <w:color w:val="33485F"/>
        </w:rPr>
        <w:t xml:space="preserve">“What should we actually do to cut defects and downtime and lift KPIs — and what is it worth?”</w:t>
      </w:r>
    </w:p>
    <w:p>
      <w:pPr>
        <w:pStyle w:val="Heading3"/>
      </w:pPr>
      <w:r>
        <w:rPr>
          <w:color w:val="0B1730"/>
        </w:rPr>
        <w:t xml:space="preserve">2.6.1 Proactive half — Suggestions &amp; Recommendations</w:t>
      </w:r>
    </w:p>
    <w:p>
      <w:pPr>
        <w:pStyle w:val="ListParagraph"/>
        <w:numPr>
          <w:ilvl w:val="0"/>
          <w:numId w:val="2"/>
        </w:numPr>
        <w:spacing w:after="60" w:line="270"/>
      </w:pPr>
      <w:r>
        <w:t xml:space="preserve">A deterministic, rule-based engine turns validated L4/L5 findings into ranked recommendations, each carrying: the suspected contributor, its effect size and reliability, the affected outcome, and an estimated impact (see the value model, Section 4). Surfaced as a feed, gated by license tier, with drill-through to the evidence.</w:t>
      </w:r>
    </w:p>
    <w:p>
      <w:pPr>
        <w:pStyle w:val="Heading3"/>
      </w:pPr>
      <w:r>
        <w:rPr>
          <w:color w:val="0B1730"/>
        </w:rPr>
        <w:t xml:space="preserve">2.6.2 Conversational half — the grounded RAG agent</w:t>
      </w:r>
    </w:p>
    <w:p>
      <w:pPr>
        <w:pStyle w:val="ListParagraph"/>
        <w:numPr>
          <w:ilvl w:val="0"/>
          <w:numId w:val="3"/>
        </w:numPr>
        <w:spacing w:after="60" w:line="270"/>
      </w:pPr>
      <w:r>
        <w:rPr>
          <w:b/>
          <w:bCs/>
        </w:rPr>
        <w:t xml:space="preserve">Retrieve: </w:t>
      </w:r>
      <w:r>
        <w:t xml:space="preserve">hybrid search (semantic via the embedding provider + structured filters: area, defect class, window) selects the relevant findings/cases.</w:t>
      </w:r>
    </w:p>
    <w:p>
      <w:pPr>
        <w:pStyle w:val="ListParagraph"/>
        <w:numPr>
          <w:ilvl w:val="0"/>
          <w:numId w:val="3"/>
        </w:numPr>
        <w:spacing w:after="60" w:line="270"/>
      </w:pPr>
      <w:r>
        <w:rPr>
          <w:b/>
          <w:bCs/>
        </w:rPr>
        <w:t xml:space="preserve">Reason with tools: </w:t>
      </w:r>
      <w:r>
        <w:t xml:space="preserve">the agent calls typed tools — query findings, run an inspection, fetch a KPI, walk genealogy, compute impact — which return structured numbers.</w:t>
      </w:r>
    </w:p>
    <w:p>
      <w:pPr>
        <w:pStyle w:val="ListParagraph"/>
        <w:numPr>
          <w:ilvl w:val="0"/>
          <w:numId w:val="3"/>
        </w:numPr>
        <w:spacing w:after="60" w:line="270"/>
      </w:pPr>
      <w:r>
        <w:rPr>
          <w:b/>
          <w:bCs/>
        </w:rPr>
        <w:t xml:space="preserve">Phrase: </w:t>
      </w:r>
      <w:r>
        <w:t xml:space="preserve">the LLM (behind the Api/Local/Configured narrative provider) turns those structured results into clear language with inline evidence citations. It never produces a number that did not come from a tool.</w:t>
      </w:r>
    </w:p>
    <w:p>
      <w:pPr>
        <w:pStyle w:val="ListParagraph"/>
        <w:numPr>
          <w:ilvl w:val="0"/>
          <w:numId w:val="3"/>
        </w:numPr>
        <w:spacing w:after="60" w:line="270"/>
      </w:pPr>
      <w:r>
        <w:rPr>
          <w:b/>
          <w:bCs/>
        </w:rPr>
        <w:t xml:space="preserve">Learn: </w:t>
      </w:r>
      <w:r>
        <w:t xml:space="preserve">operator feedback (useful / acted / dismissed + outcome) is written back to the knowledge base — this is the “experience” that compounds, living in data, not in model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0" w:sz="1"/>
              <w:left w:val="single" w:color="8A5A00" w:sz="24"/>
              <w:bottom w:val="single" w:color="FFF4E0" w:sz="1"/>
              <w:right w:val="single" w:color="FFF4E0" w:sz="1"/>
            </w:tcBorders>
            <w:shd w:fill="FFF4E0" w:val="clear"/>
            <w:tcMar>
              <w:top w:type="dxa" w:w="120"/>
              <w:left w:type="dxa" w:w="200"/>
              <w:bottom w:type="dxa" w:w="120"/>
              <w:right w:type="dxa" w:w="160"/>
            </w:tcMar>
          </w:tcPr>
          <w:p>
            <w:pPr>
              <w:spacing w:after="60"/>
            </w:pPr>
            <w:r>
              <w:rPr>
                <w:b/>
                <w:bCs/>
                <w:color w:val="8A5A00"/>
              </w:rPr>
              <w:t xml:space="preserve">The provider abstraction is why this is enterprise-safe</w:t>
            </w:r>
          </w:p>
          <w:p>
            <w:pPr>
              <w:spacing w:after="40" w:line="264"/>
            </w:pPr>
            <w:r>
              <w:rPr>
                <w:b/>
                <w:bCs/>
              </w:rPr>
              <w:t xml:space="preserve">ApiNarrativeProvider / LocalNarrativeProvider / ConfiguredNarrativeProvider. </w:t>
            </w:r>
            <w:r>
              <w:t xml:space="preserve">The same agent runs against a hosted model, a self-hosted model, or a deterministic local fallback. Only abstracted findings ever cross an external boundary — never raw plant rows or PII. A customer with strict data rules runs fully air-gapped and still gets suggestions; the AI narration is an upgrade, not a dependency.</w:t>
            </w:r>
          </w:p>
        </w:tc>
      </w:tr>
    </w:tbl>
    <w:p>
      <w:r>
        <w:br w:type="page"/>
      </w:r>
    </w:p>
    <w:p>
      <w:pPr>
        <w:pStyle w:val="Heading1"/>
      </w:pPr>
      <w:r>
        <w:rPr>
          <w:color w:val="0B1730"/>
        </w:rPr>
        <w:t xml:space="preserve">3 · Who Does What — Component Responsibility Matrix</w:t>
      </w:r>
    </w:p>
    <w:p>
      <w:pPr>
        <w:spacing w:after="120" w:line="276"/>
      </w:pPr>
      <w:r>
        <w:rPr>
          <w:color w:val="33485F"/>
        </w:rPr>
        <w:t xml:space="preserve">Every component in the intelligence path, what it owns, where it runs, and its honesty boundary. This is the map a developer uses to know exactly where a given behaviour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900"/>
        <w:gridCol w:w="1050"/>
        <w:gridCol w:w="3360"/>
        <w:gridCol w:w="1300"/>
      </w:tblGrid>
      <w:tr>
        <w:trPr>
          <w:tblHeader/>
        </w:trPr>
        <w:tc>
          <w:tcPr>
            <w:tcW w:type="dxa" w:w="275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Component</w:t>
            </w:r>
          </w:p>
        </w:tc>
        <w:tc>
          <w:tcPr>
            <w:tcW w:type="dxa" w:w="90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Layer</w:t>
            </w:r>
          </w:p>
        </w:tc>
        <w:tc>
          <w:tcPr>
            <w:tcW w:type="dxa" w:w="105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Runs in</w:t>
            </w:r>
          </w:p>
        </w:tc>
        <w:tc>
          <w:tcPr>
            <w:tcW w:type="dxa" w:w="336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Owns</w:t>
            </w:r>
          </w:p>
        </w:tc>
        <w:tc>
          <w:tcPr>
            <w:tcW w:type="dxa" w:w="130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May it use an LLM?</w:t>
            </w:r>
          </w:p>
        </w:tc>
      </w:tr>
      <w:tr>
        <w:tc>
          <w:tcPr>
            <w:tcW w:type="dxa" w:w="27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Connectors (×6) + factory</w:t>
            </w:r>
          </w:p>
        </w:tc>
        <w:tc>
          <w:tcPr>
            <w:tcW w:type="dxa" w:w="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L1</w:t>
            </w:r>
          </w:p>
        </w:tc>
        <w:tc>
          <w:tcPr>
            <w:tcW w:type="dxa" w:w="10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Infra</w:t>
            </w:r>
          </w:p>
        </w:tc>
        <w:tc>
          <w:tcPr>
            <w:tcW w:type="dxa" w:w="33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Read each source; typed, bounded failures</w:t>
            </w:r>
          </w:p>
        </w:tc>
        <w:tc>
          <w:tcPr>
            <w:tcW w:type="dxa" w:w="1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DeltaImportExecutionService</w:t>
            </w:r>
          </w:p>
        </w:tc>
        <w:tc>
          <w:tcPr>
            <w:tcW w:type="dxa" w:w="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L1</w:t>
            </w:r>
          </w:p>
        </w:tc>
        <w:tc>
          <w:tcPr>
            <w:tcW w:type="dxa" w:w="10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Infra</w:t>
            </w:r>
          </w:p>
        </w:tc>
        <w:tc>
          <w:tcPr>
            <w:tcW w:type="dxa" w:w="33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Resumable, zero-duplicate delta import</w:t>
            </w:r>
          </w:p>
        </w:tc>
        <w:tc>
          <w:tcPr>
            <w:tcW w:type="dxa" w:w="1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MappingExecutionService</w:t>
            </w:r>
          </w:p>
        </w:tc>
        <w:tc>
          <w:tcPr>
            <w:tcW w:type="dxa" w:w="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L1</w:t>
            </w:r>
          </w:p>
        </w:tc>
        <w:tc>
          <w:tcPr>
            <w:tcW w:type="dxa" w:w="10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Project dumps → canonical; genealogy</w:t>
            </w:r>
          </w:p>
        </w:tc>
        <w:tc>
          <w:tcPr>
            <w:tcW w:type="dxa" w:w="1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SafeSqlValidator</w:t>
            </w:r>
          </w:p>
        </w:tc>
        <w:tc>
          <w:tcPr>
            <w:tcW w:type="dxa" w:w="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L1/L2</w:t>
            </w:r>
          </w:p>
        </w:tc>
        <w:tc>
          <w:tcPr>
            <w:tcW w:type="dxa" w:w="10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Block DDL / cross-tenant / injection</w:t>
            </w:r>
          </w:p>
        </w:tc>
        <w:tc>
          <w:tcPr>
            <w:tcW w:type="dxa" w:w="1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DashboardWidgetQueryService</w:t>
            </w:r>
          </w:p>
        </w:tc>
        <w:tc>
          <w:tcPr>
            <w:tcW w:type="dxa" w:w="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L2</w:t>
            </w:r>
          </w:p>
        </w:tc>
        <w:tc>
          <w:tcPr>
            <w:tcW w:type="dxa" w:w="10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Run widget queries; aggregation/sort/filter</w:t>
            </w:r>
          </w:p>
        </w:tc>
        <w:tc>
          <w:tcPr>
            <w:tcW w:type="dxa" w:w="1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WidgetQueryExpressionService</w:t>
            </w:r>
          </w:p>
        </w:tc>
        <w:tc>
          <w:tcPr>
            <w:tcW w:type="dxa" w:w="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L2</w:t>
            </w:r>
          </w:p>
        </w:tc>
        <w:tc>
          <w:tcPr>
            <w:tcW w:type="dxa" w:w="10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Compile per-widget expression → safe SQL</w:t>
            </w:r>
          </w:p>
        </w:tc>
        <w:tc>
          <w:tcPr>
            <w:tcW w:type="dxa" w:w="1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ppiq_ml_refresh_feature_store_v6</w:t>
            </w:r>
          </w:p>
        </w:tc>
        <w:tc>
          <w:tcPr>
            <w:tcW w:type="dxa" w:w="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L3</w:t>
            </w:r>
          </w:p>
        </w:tc>
        <w:tc>
          <w:tcPr>
            <w:tcW w:type="dxa" w:w="10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Postgres</w:t>
            </w:r>
          </w:p>
        </w:tc>
        <w:tc>
          <w:tcPr>
            <w:tcW w:type="dxa" w:w="33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Build multi-grain feature store</w:t>
            </w:r>
          </w:p>
        </w:tc>
        <w:tc>
          <w:tcPr>
            <w:tcW w:type="dxa" w:w="1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FeatureEngineeringService</w:t>
            </w:r>
          </w:p>
        </w:tc>
        <w:tc>
          <w:tcPr>
            <w:tcW w:type="dxa" w:w="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L3</w:t>
            </w:r>
          </w:p>
        </w:tc>
        <w:tc>
          <w:tcPr>
            <w:tcW w:type="dxa" w:w="10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Derived metallurgy features</w:t>
            </w:r>
          </w:p>
        </w:tc>
        <w:tc>
          <w:tcPr>
            <w:tcW w:type="dxa" w:w="1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QualityLabelBuilderService</w:t>
            </w:r>
          </w:p>
        </w:tc>
        <w:tc>
          <w:tcPr>
            <w:tcW w:type="dxa" w:w="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L3</w:t>
            </w:r>
          </w:p>
        </w:tc>
        <w:tc>
          <w:tcPr>
            <w:tcW w:type="dxa" w:w="10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Outcome labels (defect/KPI/downtime)</w:t>
            </w:r>
          </w:p>
        </w:tc>
        <w:tc>
          <w:tcPr>
            <w:tcW w:type="dxa" w:w="1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204_ml_learning_core (SQL)</w:t>
            </w:r>
          </w:p>
        </w:tc>
        <w:tc>
          <w:tcPr>
            <w:tcW w:type="dxa" w:w="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L4</w:t>
            </w:r>
          </w:p>
        </w:tc>
        <w:tc>
          <w:tcPr>
            <w:tcW w:type="dxa" w:w="10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Postgres</w:t>
            </w:r>
          </w:p>
        </w:tc>
        <w:tc>
          <w:tcPr>
            <w:tcW w:type="dxa" w:w="33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The statistical sweep + FDR + effect size</w:t>
            </w:r>
          </w:p>
        </w:tc>
        <w:tc>
          <w:tcPr>
            <w:tcW w:type="dxa" w:w="1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CorrelationService</w:t>
            </w:r>
          </w:p>
        </w:tc>
        <w:tc>
          <w:tcPr>
            <w:tcW w:type="dxa" w:w="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L4</w:t>
            </w:r>
          </w:p>
        </w:tc>
        <w:tc>
          <w:tcPr>
            <w:tcW w:type="dxa" w:w="10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Orchestrate sweeps; assemble results</w:t>
            </w:r>
          </w:p>
        </w:tc>
        <w:tc>
          <w:tcPr>
            <w:tcW w:type="dxa" w:w="1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MlReadinessService</w:t>
            </w:r>
          </w:p>
        </w:tc>
        <w:tc>
          <w:tcPr>
            <w:tcW w:type="dxa" w:w="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L4/L5</w:t>
            </w:r>
          </w:p>
        </w:tc>
        <w:tc>
          <w:tcPr>
            <w:tcW w:type="dxa" w:w="10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Readiness gate before any learning/score</w:t>
            </w:r>
          </w:p>
        </w:tc>
        <w:tc>
          <w:tcPr>
            <w:tcW w:type="dxa" w:w="1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RiskScoreService</w:t>
            </w:r>
          </w:p>
        </w:tc>
        <w:tc>
          <w:tcPr>
            <w:tcW w:type="dxa" w:w="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L5</w:t>
            </w:r>
          </w:p>
        </w:tc>
        <w:tc>
          <w:tcPr>
            <w:tcW w:type="dxa" w:w="10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Additive, decomposable risk score</w:t>
            </w:r>
          </w:p>
        </w:tc>
        <w:tc>
          <w:tcPr>
            <w:tcW w:type="dxa" w:w="1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DeterministicEmbeddingProvider</w:t>
            </w:r>
          </w:p>
        </w:tc>
        <w:tc>
          <w:tcPr>
            <w:tcW w:type="dxa" w:w="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L5/L6</w:t>
            </w:r>
          </w:p>
        </w:tc>
        <w:tc>
          <w:tcPr>
            <w:tcW w:type="dxa" w:w="10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Offline-safe embeddings for retrieval</w:t>
            </w:r>
          </w:p>
        </w:tc>
        <w:tc>
          <w:tcPr>
            <w:tcW w:type="dxa" w:w="1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No</w:t>
            </w:r>
          </w:p>
        </w:tc>
      </w:tr>
      <w:tr>
        <w:tc>
          <w:tcPr>
            <w:tcW w:type="dxa" w:w="27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Suggestion engine</w:t>
            </w:r>
          </w:p>
        </w:tc>
        <w:tc>
          <w:tcPr>
            <w:tcW w:type="dxa" w:w="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L6</w:t>
            </w:r>
          </w:p>
        </w:tc>
        <w:tc>
          <w:tcPr>
            <w:tcW w:type="dxa" w:w="10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Rank findings → evidence-linked advice</w:t>
            </w:r>
          </w:p>
        </w:tc>
        <w:tc>
          <w:tcPr>
            <w:tcW w:type="dxa" w:w="1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No (rules)</w:t>
            </w:r>
          </w:p>
        </w:tc>
      </w:tr>
      <w:tr>
        <w:tc>
          <w:tcPr>
            <w:tcW w:type="dxa" w:w="27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RAG agent + tools</w:t>
            </w:r>
          </w:p>
        </w:tc>
        <w:tc>
          <w:tcPr>
            <w:tcW w:type="dxa" w:w="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L6</w:t>
            </w:r>
          </w:p>
        </w:tc>
        <w:tc>
          <w:tcPr>
            <w:tcW w:type="dxa" w:w="105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App</w:t>
            </w:r>
          </w:p>
        </w:tc>
        <w:tc>
          <w:tcPr>
            <w:tcW w:type="dxa" w:w="33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Retrieve + call typed tools + ground</w:t>
            </w:r>
          </w:p>
        </w:tc>
        <w:tc>
          <w:tcPr>
            <w:tcW w:type="dxa" w:w="1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Orchestrates only</w:t>
            </w:r>
          </w:p>
        </w:tc>
      </w:tr>
      <w:tr>
        <w:tc>
          <w:tcPr>
            <w:tcW w:type="dxa" w:w="27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Narrative providers (Api/Local/Configured)</w:t>
            </w:r>
          </w:p>
        </w:tc>
        <w:tc>
          <w:tcPr>
            <w:tcW w:type="dxa" w:w="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L6</w:t>
            </w:r>
          </w:p>
        </w:tc>
        <w:tc>
          <w:tcPr>
            <w:tcW w:type="dxa" w:w="105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Infra</w:t>
            </w:r>
          </w:p>
        </w:tc>
        <w:tc>
          <w:tcPr>
            <w:tcW w:type="dxa" w:w="33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Phrase structured results as language</w:t>
            </w:r>
          </w:p>
        </w:tc>
        <w:tc>
          <w:tcPr>
            <w:tcW w:type="dxa" w:w="1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Yes — voice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8F0" w:sz="1"/>
              <w:left w:val="single" w:color="1E7F4F" w:sz="24"/>
              <w:bottom w:val="single" w:color="E8F8F0" w:sz="1"/>
              <w:right w:val="single" w:color="E8F8F0" w:sz="1"/>
            </w:tcBorders>
            <w:shd w:fill="E8F8F0" w:val="clear"/>
            <w:tcMar>
              <w:top w:type="dxa" w:w="120"/>
              <w:left w:type="dxa" w:w="200"/>
              <w:bottom w:type="dxa" w:w="120"/>
              <w:right w:type="dxa" w:w="160"/>
            </w:tcMar>
          </w:tcPr>
          <w:p>
            <w:pPr>
              <w:spacing w:after="60"/>
            </w:pPr>
            <w:r>
              <w:rPr>
                <w:b/>
                <w:bCs/>
                <w:color w:val="1E7F4F"/>
              </w:rPr>
              <w:t xml:space="preserve">The line you can point to in a customer security review</w:t>
            </w:r>
          </w:p>
          <w:p>
            <w:pPr>
              <w:spacing w:after="40" w:line="264"/>
            </w:pPr>
            <w:r>
              <w:t xml:space="preserve">Exactly one row in this table may use a language model, and its job is phrasing — not computation. Everything that produces a number is deterministic SQL or C#. That single fact is the strongest answer to “is your AI a black box?” — no, and here is the table.</w:t>
            </w:r>
          </w:p>
        </w:tc>
      </w:tr>
    </w:tbl>
    <w:p>
      <w:r>
        <w:br w:type="page"/>
      </w:r>
    </w:p>
    <w:p>
      <w:pPr>
        <w:pStyle w:val="Heading1"/>
      </w:pPr>
      <w:r>
        <w:rPr>
          <w:color w:val="0B1730"/>
        </w:rPr>
        <w:t xml:space="preserve">4 · The Widget &amp; SQL Engine — Deep Design</w:t>
      </w:r>
    </w:p>
    <w:p>
      <w:pPr>
        <w:spacing w:after="120" w:line="276"/>
      </w:pPr>
      <w:r>
        <w:rPr>
          <w:color w:val="33485F"/>
        </w:rPr>
        <w:t xml:space="preserve">A generic product cannot ship a bespoke endpoint per chart, so the widget carries its own query logic — safely. This section closes the gap on how that engine works end-to-end.</w:t>
      </w:r>
    </w:p>
    <w:p>
      <w:pPr>
        <w:pStyle w:val="Heading2"/>
      </w:pPr>
      <w:r>
        <w:rPr>
          <w:color w:val="0A4FA0"/>
        </w:rPr>
        <w:t xml:space="preserve">4.1 The problem it solves</w:t>
      </w:r>
    </w:p>
    <w:p>
      <w:pPr>
        <w:spacing w:after="120" w:line="276"/>
      </w:pPr>
      <w:r>
        <w:rPr>
          <w:color w:val="33485F"/>
        </w:rPr>
        <w:t xml:space="preserve">Every plant wants different views of different data. Hardcoding them is impossible and un-generic. So a widget is defined as data — a binding plus an expression — and the engine compiles that into validated SQL against the canonical model at render time.</w:t>
      </w:r>
    </w:p>
    <w:p>
      <w:pPr>
        <w:pStyle w:val="Heading2"/>
      </w:pPr>
      <w:r>
        <w:rPr>
          <w:color w:val="0A4FA0"/>
        </w:rPr>
        <w:t xml:space="preserve">4.2 The compile-and-guard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0A4FA0" w:sz="1"/>
              <w:left w:val="single" w:color="0A4FA0" w:sz="1"/>
              <w:bottom w:val="single" w:color="0A4FA0" w:sz="1"/>
              <w:right w:val="single" w:color="0A4FA0" w:sz="1"/>
            </w:tcBorders>
            <w:shd w:fill="0A4FA0" w:val="clear"/>
            <w:tcMar>
              <w:top w:type="dxa" w:w="80"/>
              <w:left w:type="dxa" w:w="40"/>
              <w:bottom w:type="dxa" w:w="80"/>
              <w:right w:type="dxa" w:w="40"/>
            </w:tcMar>
            <w:vAlign w:val="center"/>
          </w:tcPr>
          <w:p>
            <w:pPr>
              <w:jc w:val="center"/>
            </w:pPr>
            <w:r>
              <w:rPr>
                <w:b/>
                <w:bCs/>
                <w:color w:val="FFFFFF"/>
                <w:sz w:val="26"/>
                <w:szCs w:val="26"/>
              </w:rPr>
              <w:t xml:space="preserve">1</w:t>
            </w:r>
          </w:p>
        </w:tc>
        <w:tc>
          <w:tcPr>
            <w:tcW w:type="dxa" w:w="8600"/>
            <w:tcBorders>
              <w:top w:val="single" w:color="0A4FA0" w:sz="1"/>
              <w:left w:val="single" w:color="0A4FA0" w:sz="1"/>
              <w:bottom w:val="single" w:color="0A4FA0" w:sz="1"/>
              <w:right w:val="single" w:color="0A4FA0" w:sz="1"/>
            </w:tcBorders>
            <w:shd w:fill="EAF1F8" w:val="clear"/>
            <w:tcMar>
              <w:top w:type="dxa" w:w="80"/>
              <w:left w:type="dxa" w:w="160"/>
              <w:bottom w:type="dxa" w:w="80"/>
              <w:right w:type="dxa" w:w="140"/>
            </w:tcMar>
          </w:tcPr>
          <w:p>
            <w:pPr>
              <w:spacing w:after="20"/>
            </w:pPr>
            <w:r>
              <w:rPr>
                <w:b/>
                <w:bCs/>
                <w:color w:val="0A4FA0"/>
                <w:sz w:val="21"/>
                <w:szCs w:val="21"/>
              </w:rPr>
              <w:t xml:space="preserve">Author</w:t>
            </w:r>
          </w:p>
          <w:p>
            <w:r>
              <w:rPr>
                <w:color w:val="33485F"/>
                <w:sz w:val="18"/>
                <w:szCs w:val="18"/>
              </w:rPr>
              <w:t xml:space="preserve">In the widget wizard, the user picks a data source (canonical entity or KPI view) and writes/selects an expression (e.g. “defect rate grouped by shift, last 30 days”), with JetBrains-Mono editing and autocomplete of available views/columns.</w:t>
            </w:r>
          </w:p>
        </w:tc>
      </w:tr>
    </w:tbl>
    <w:p>
      <w:pPr>
        <w:spacing w:after="20" w:before="20"/>
        <w:jc w:val="center"/>
      </w:pPr>
      <w:r>
        <w:rPr>
          <w:color w:val="8EA7C1"/>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0E6F86" w:sz="1"/>
              <w:left w:val="single" w:color="0E6F86" w:sz="1"/>
              <w:bottom w:val="single" w:color="0E6F86" w:sz="1"/>
              <w:right w:val="single" w:color="0E6F86" w:sz="1"/>
            </w:tcBorders>
            <w:shd w:fill="0E6F86" w:val="clear"/>
            <w:tcMar>
              <w:top w:type="dxa" w:w="80"/>
              <w:left w:type="dxa" w:w="40"/>
              <w:bottom w:type="dxa" w:w="80"/>
              <w:right w:type="dxa" w:w="40"/>
            </w:tcMar>
            <w:vAlign w:val="center"/>
          </w:tcPr>
          <w:p>
            <w:pPr>
              <w:jc w:val="center"/>
            </w:pPr>
            <w:r>
              <w:rPr>
                <w:b/>
                <w:bCs/>
                <w:color w:val="FFFFFF"/>
                <w:sz w:val="26"/>
                <w:szCs w:val="26"/>
              </w:rPr>
              <w:t xml:space="preserve">2</w:t>
            </w:r>
          </w:p>
        </w:tc>
        <w:tc>
          <w:tcPr>
            <w:tcW w:type="dxa" w:w="8600"/>
            <w:tcBorders>
              <w:top w:val="single" w:color="0E6F86" w:sz="1"/>
              <w:left w:val="single" w:color="0E6F86" w:sz="1"/>
              <w:bottom w:val="single" w:color="0E6F86" w:sz="1"/>
              <w:right w:val="single" w:color="0E6F86" w:sz="1"/>
            </w:tcBorders>
            <w:shd w:fill="E6F7FB" w:val="clear"/>
            <w:tcMar>
              <w:top w:type="dxa" w:w="80"/>
              <w:left w:type="dxa" w:w="160"/>
              <w:bottom w:type="dxa" w:w="80"/>
              <w:right w:type="dxa" w:w="140"/>
            </w:tcMar>
          </w:tcPr>
          <w:p>
            <w:pPr>
              <w:spacing w:after="20"/>
            </w:pPr>
            <w:r>
              <w:rPr>
                <w:b/>
                <w:bCs/>
                <w:color w:val="0E6F86"/>
                <w:sz w:val="21"/>
                <w:szCs w:val="21"/>
              </w:rPr>
              <w:t xml:space="preserve">Compile</w:t>
            </w:r>
          </w:p>
          <w:p>
            <w:r>
              <w:rPr>
                <w:color w:val="33485F"/>
                <w:sz w:val="18"/>
                <w:szCs w:val="18"/>
              </w:rPr>
              <w:t xml:space="preserve">WidgetQueryExpressionService turns the expression + binding into a parameterized SQL query against the canonical schema — never string-concatenated user input.</w:t>
            </w:r>
          </w:p>
        </w:tc>
      </w:tr>
    </w:tbl>
    <w:p>
      <w:pPr>
        <w:spacing w:after="20" w:before="20"/>
        <w:jc w:val="center"/>
      </w:pPr>
      <w:r>
        <w:rPr>
          <w:color w:val="8EA7C1"/>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1E7F4F" w:sz="1"/>
              <w:left w:val="single" w:color="1E7F4F" w:sz="1"/>
              <w:bottom w:val="single" w:color="1E7F4F" w:sz="1"/>
              <w:right w:val="single" w:color="1E7F4F" w:sz="1"/>
            </w:tcBorders>
            <w:shd w:fill="1E7F4F" w:val="clear"/>
            <w:tcMar>
              <w:top w:type="dxa" w:w="80"/>
              <w:left w:type="dxa" w:w="40"/>
              <w:bottom w:type="dxa" w:w="80"/>
              <w:right w:type="dxa" w:w="40"/>
            </w:tcMar>
            <w:vAlign w:val="center"/>
          </w:tcPr>
          <w:p>
            <w:pPr>
              <w:jc w:val="center"/>
            </w:pPr>
            <w:r>
              <w:rPr>
                <w:b/>
                <w:bCs/>
                <w:color w:val="FFFFFF"/>
                <w:sz w:val="26"/>
                <w:szCs w:val="26"/>
              </w:rPr>
              <w:t xml:space="preserve">3</w:t>
            </w:r>
          </w:p>
        </w:tc>
        <w:tc>
          <w:tcPr>
            <w:tcW w:type="dxa" w:w="8600"/>
            <w:tcBorders>
              <w:top w:val="single" w:color="1E7F4F" w:sz="1"/>
              <w:left w:val="single" w:color="1E7F4F" w:sz="1"/>
              <w:bottom w:val="single" w:color="1E7F4F" w:sz="1"/>
              <w:right w:val="single" w:color="1E7F4F" w:sz="1"/>
            </w:tcBorders>
            <w:shd w:fill="E8F8F0" w:val="clear"/>
            <w:tcMar>
              <w:top w:type="dxa" w:w="80"/>
              <w:left w:type="dxa" w:w="160"/>
              <w:bottom w:type="dxa" w:w="80"/>
              <w:right w:type="dxa" w:w="140"/>
            </w:tcMar>
          </w:tcPr>
          <w:p>
            <w:pPr>
              <w:spacing w:after="20"/>
            </w:pPr>
            <w:r>
              <w:rPr>
                <w:b/>
                <w:bCs/>
                <w:color w:val="1E7F4F"/>
                <w:sz w:val="21"/>
                <w:szCs w:val="21"/>
              </w:rPr>
              <w:t xml:space="preserve">Validate</w:t>
            </w:r>
          </w:p>
          <w:p>
            <w:r>
              <w:rPr>
                <w:color w:val="33485F"/>
                <w:sz w:val="18"/>
                <w:szCs w:val="18"/>
              </w:rPr>
              <w:t xml:space="preserve">DashboardWidgetQuerySafetyRegistry + SafeSqlValidator reject DDL, multiple statements, cross-tenant references and anything outside the allowed surface — at preview AND at save AND at execute.</w:t>
            </w:r>
          </w:p>
        </w:tc>
      </w:tr>
    </w:tbl>
    <w:p>
      <w:pPr>
        <w:spacing w:after="20" w:before="20"/>
        <w:jc w:val="center"/>
      </w:pPr>
      <w:r>
        <w:rPr>
          <w:color w:val="8EA7C1"/>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6B4FB0" w:sz="1"/>
              <w:left w:val="single" w:color="6B4FB0" w:sz="1"/>
              <w:bottom w:val="single" w:color="6B4FB0" w:sz="1"/>
              <w:right w:val="single" w:color="6B4FB0" w:sz="1"/>
            </w:tcBorders>
            <w:shd w:fill="6B4FB0" w:val="clear"/>
            <w:tcMar>
              <w:top w:type="dxa" w:w="80"/>
              <w:left w:type="dxa" w:w="40"/>
              <w:bottom w:type="dxa" w:w="80"/>
              <w:right w:type="dxa" w:w="40"/>
            </w:tcMar>
            <w:vAlign w:val="center"/>
          </w:tcPr>
          <w:p>
            <w:pPr>
              <w:jc w:val="center"/>
            </w:pPr>
            <w:r>
              <w:rPr>
                <w:b/>
                <w:bCs/>
                <w:color w:val="FFFFFF"/>
                <w:sz w:val="26"/>
                <w:szCs w:val="26"/>
              </w:rPr>
              <w:t xml:space="preserve">4</w:t>
            </w:r>
          </w:p>
        </w:tc>
        <w:tc>
          <w:tcPr>
            <w:tcW w:type="dxa" w:w="8600"/>
            <w:tcBorders>
              <w:top w:val="single" w:color="6B4FB0" w:sz="1"/>
              <w:left w:val="single" w:color="6B4FB0" w:sz="1"/>
              <w:bottom w:val="single" w:color="6B4FB0" w:sz="1"/>
              <w:right w:val="single" w:color="6B4FB0" w:sz="1"/>
            </w:tcBorders>
            <w:shd w:fill="F1ECFA" w:val="clear"/>
            <w:tcMar>
              <w:top w:type="dxa" w:w="80"/>
              <w:left w:type="dxa" w:w="160"/>
              <w:bottom w:type="dxa" w:w="80"/>
              <w:right w:type="dxa" w:w="140"/>
            </w:tcMar>
          </w:tcPr>
          <w:p>
            <w:pPr>
              <w:spacing w:after="20"/>
            </w:pPr>
            <w:r>
              <w:rPr>
                <w:b/>
                <w:bCs/>
                <w:color w:val="6B4FB0"/>
                <w:sz w:val="21"/>
                <w:szCs w:val="21"/>
              </w:rPr>
              <w:t xml:space="preserve">Execute &amp; render</w:t>
            </w:r>
          </w:p>
          <w:p>
            <w:r>
              <w:rPr>
                <w:color w:val="33485F"/>
                <w:sz w:val="18"/>
                <w:szCs w:val="18"/>
              </w:rPr>
              <w:t xml:space="preserve">DashboardWidgetQueryService runs the parameterized query with a timeout and row cap; results render as an interactive chart/table/heat map with filter and sort.</w:t>
            </w:r>
          </w:p>
        </w:tc>
      </w:tr>
    </w:tbl>
    <w:p>
      <w:pPr>
        <w:spacing w:after="80"/>
      </w:pPr>
      <w:r>
        <w:t xml:space="preserve"/>
      </w:r>
    </w:p>
    <w:p>
      <w:pPr>
        <w:pStyle w:val="Heading2"/>
      </w:pPr>
      <w:r>
        <w:rPr>
          <w:color w:val="0A4FA0"/>
        </w:rPr>
        <w:t xml:space="preserve">4.3 The widget wizard — step contract</w:t>
      </w:r>
    </w:p>
    <w:p>
      <w:pPr>
        <w:pStyle w:val="ListParagraph"/>
        <w:numPr>
          <w:ilvl w:val="0"/>
          <w:numId w:val="3"/>
        </w:numPr>
        <w:spacing w:after="60" w:line="270"/>
      </w:pPr>
      <w:r>
        <w:rPr>
          <w:b/>
          <w:bCs/>
        </w:rPr>
        <w:t xml:space="preserve">Source step: </w:t>
      </w:r>
      <w:r>
        <w:t xml:space="preserve">choose a canonical entity or a KPI view; the wizard lists only what the user is licensed and permitted to see.</w:t>
      </w:r>
    </w:p>
    <w:p>
      <w:pPr>
        <w:pStyle w:val="ListParagraph"/>
        <w:numPr>
          <w:ilvl w:val="0"/>
          <w:numId w:val="3"/>
        </w:numPr>
        <w:spacing w:after="60" w:line="270"/>
      </w:pPr>
      <w:r>
        <w:rPr>
          <w:b/>
          <w:bCs/>
        </w:rPr>
        <w:t xml:space="preserve">Shape step: </w:t>
      </w:r>
      <w:r>
        <w:t xml:space="preserve">choose visualization (bar/line/table/heat map) and the grouping/aggregation; the expression is built here.</w:t>
      </w:r>
    </w:p>
    <w:p>
      <w:pPr>
        <w:pStyle w:val="ListParagraph"/>
        <w:numPr>
          <w:ilvl w:val="0"/>
          <w:numId w:val="3"/>
        </w:numPr>
        <w:spacing w:after="60" w:line="270"/>
      </w:pPr>
      <w:r>
        <w:rPr>
          <w:b/>
          <w:bCs/>
        </w:rPr>
        <w:t xml:space="preserve">Script/validate step: </w:t>
      </w:r>
      <w:r>
        <w:t xml:space="preserve">the expression is compiled and SafeSql-validated live; an unsafe or unresolved expression is blocked with a typed error (NoSuchView / NoSuchColumn / InvalidAggregateForType), not a generic failure.</w:t>
      </w:r>
    </w:p>
    <w:p>
      <w:pPr>
        <w:pStyle w:val="ListParagraph"/>
        <w:numPr>
          <w:ilvl w:val="0"/>
          <w:numId w:val="3"/>
        </w:numPr>
        <w:spacing w:after="60" w:line="270"/>
      </w:pPr>
      <w:r>
        <w:rPr>
          <w:b/>
          <w:bCs/>
        </w:rPr>
        <w:t xml:space="preserve">Preview step: </w:t>
      </w:r>
      <w:r>
        <w:t xml:space="preserve">the widget runs against real data with the timeout/row-cap in force; the user sees exactly what will render before saving.</w:t>
      </w:r>
    </w:p>
    <w:p>
      <w:pPr>
        <w:pStyle w:val="ListParagraph"/>
        <w:numPr>
          <w:ilvl w:val="0"/>
          <w:numId w:val="3"/>
        </w:numPr>
        <w:spacing w:after="60" w:line="270"/>
      </w:pPr>
      <w:r>
        <w:rPr>
          <w:b/>
          <w:bCs/>
        </w:rPr>
        <w:t xml:space="preserve">Save: </w:t>
      </w:r>
      <w:r>
        <w:t xml:space="preserve">the widget definition (binding + expression + layout) is persisted as data and becomes part of the page, re-runnable and editable.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1"/>
              <w:left w:val="single" w:color="0A4FA0" w:sz="24"/>
              <w:bottom w:val="single" w:color="EAF1F8" w:sz="1"/>
              <w:right w:val="single" w:color="EAF1F8" w:sz="1"/>
            </w:tcBorders>
            <w:shd w:fill="EAF1F8" w:val="clear"/>
            <w:tcMar>
              <w:top w:type="dxa" w:w="120"/>
              <w:left w:type="dxa" w:w="200"/>
              <w:bottom w:type="dxa" w:w="120"/>
              <w:right w:type="dxa" w:w="160"/>
            </w:tcMar>
          </w:tcPr>
          <w:p>
            <w:pPr>
              <w:spacing w:after="60"/>
            </w:pPr>
            <w:r>
              <w:rPr>
                <w:b/>
                <w:bCs/>
                <w:color w:val="0A4FA0"/>
              </w:rPr>
              <w:t xml:space="preserve">Why this is safe AND generic at once</w:t>
            </w:r>
          </w:p>
          <w:p>
            <w:pPr>
              <w:spacing w:after="40" w:line="264"/>
            </w:pPr>
            <w:r>
              <w:t xml:space="preserve">The expression gives infinite flexibility; the compile-and-validate pipeline gives zero unsafe SQL. The user never writes raw SQL that reaches the database unchecked — they write an expression that the engine compiles into a parameterized, surface-limited, timed query. Generic power without an injection surface.</w:t>
            </w:r>
          </w:p>
        </w:tc>
      </w:tr>
    </w:tbl>
    <w:p>
      <w:r>
        <w:br w:type="page"/>
      </w:r>
    </w:p>
    <w:p>
      <w:pPr>
        <w:pStyle w:val="Heading1"/>
      </w:pPr>
      <w:r>
        <w:rPr>
          <w:color w:val="0B1730"/>
        </w:rPr>
        <w:t xml:space="preserve">5 · The Value Model — Proving the Money</w:t>
      </w:r>
    </w:p>
    <w:p>
      <w:pPr>
        <w:spacing w:after="120" w:line="276"/>
      </w:pPr>
      <w:r>
        <w:rPr>
          <w:color w:val="33485F"/>
        </w:rPr>
        <w:t xml:space="preserve">A customer buys when they can see the number. This section turns PPIQ’s outputs into a defensible savings story across the four levers you named — quality/defects, downtime, productivity, and loss — using the demo plant’s own scale so the math is concrete, not hand-waved.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0" w:sz="1"/>
              <w:left w:val="single" w:color="8A5A00" w:sz="24"/>
              <w:bottom w:val="single" w:color="FFF4E0" w:sz="1"/>
              <w:right w:val="single" w:color="FFF4E0" w:sz="1"/>
            </w:tcBorders>
            <w:shd w:fill="FFF4E0" w:val="clear"/>
            <w:tcMar>
              <w:top w:type="dxa" w:w="120"/>
              <w:left w:type="dxa" w:w="200"/>
              <w:bottom w:type="dxa" w:w="120"/>
              <w:right w:type="dxa" w:w="160"/>
            </w:tcMar>
          </w:tcPr>
          <w:p>
            <w:pPr>
              <w:spacing w:after="60"/>
            </w:pPr>
            <w:r>
              <w:rPr>
                <w:b/>
                <w:bCs/>
                <w:color w:val="8A5A00"/>
              </w:rPr>
              <w:t xml:space="preserve">The honesty discipline applies to money too</w:t>
            </w:r>
          </w:p>
          <w:p>
            <w:pPr>
              <w:spacing w:after="40" w:line="264"/>
            </w:pPr>
            <w:r>
              <w:t xml:space="preserve">PPIQ never promises a guaranteed saving. It presents an evidence-based opportunity: “this suspected contributor is associated with X% of this defect at this effect size and reliability; closing it is worth approximately € Y/month at your volumes.” The customer supplies their real cost inputs; PPIQ supplies the linkage and the arithmetic. That is persuasive precisely because it is honest and they can audit it.</w:t>
            </w:r>
          </w:p>
        </w:tc>
      </w:tr>
    </w:tbl>
    <w:p>
      <w:pPr>
        <w:pStyle w:val="Heading2"/>
      </w:pPr>
      <w:r>
        <w:rPr>
          <w:color w:val="0A4FA0"/>
        </w:rPr>
        <w:t xml:space="preserve">5.1 The four value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Lever</w:t>
            </w:r>
          </w:p>
        </w:tc>
        <w:tc>
          <w:tcPr>
            <w:tcW w:type="dxa" w:w="406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What PPIQ surfaces</w:t>
            </w:r>
          </w:p>
        </w:tc>
        <w:tc>
          <w:tcPr>
            <w:tcW w:type="dxa" w:w="360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How it converts to money</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Quality / defects</w:t>
            </w:r>
          </w:p>
        </w:tc>
        <w:tc>
          <w:tcPr>
            <w:tcW w:type="dxa" w:w="40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Suspected process contributors to each defect class, ranked by effect size</w:t>
            </w:r>
          </w:p>
        </w:tc>
        <w:tc>
          <w:tcPr>
            <w:tcW w:type="dxa" w:w="36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Fewer defective coils → less downgrade/scrap/rework; each avoided defect = recovered prime value per ton</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Downtime</w:t>
            </w:r>
          </w:p>
        </w:tc>
        <w:tc>
          <w:tcPr>
            <w:tcW w:type="dxa" w:w="40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Process conditions associated with production-stoppage (not just equipment-stoppage) minutes</w:t>
            </w:r>
          </w:p>
        </w:tc>
        <w:tc>
          <w:tcPr>
            <w:tcW w:type="dxa" w:w="36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Each avoided production-stoppage hour = recovered throughput × contribution margin per ton</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Productivity</w:t>
            </w:r>
          </w:p>
        </w:tc>
        <w:tc>
          <w:tcPr>
            <w:tcW w:type="dxa" w:w="40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Parameters associated with throughput/yield KPIs; bottleneck patterns by line×shift</w:t>
            </w:r>
          </w:p>
        </w:tc>
        <w:tc>
          <w:tcPr>
            <w:tcW w:type="dxa" w:w="36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Higher prime yield and uptime → more saleable tons from the same inputs</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Loss / waste</w:t>
            </w:r>
          </w:p>
        </w:tc>
        <w:tc>
          <w:tcPr>
            <w:tcW w:type="dxa" w:w="40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Energy-per-ton and additive-usage outliers correlated with conditions</w:t>
            </w:r>
          </w:p>
        </w:tc>
        <w:tc>
          <w:tcPr>
            <w:tcW w:type="dxa" w:w="36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Tighter operating windows → lower energy and consumable cost per ton</w:t>
            </w:r>
          </w:p>
        </w:tc>
      </w:tr>
    </w:tbl>
    <w:p>
      <w:pPr>
        <w:pStyle w:val="Heading2"/>
      </w:pPr>
      <w:r>
        <w:rPr>
          <w:color w:val="0A4FA0"/>
        </w:rPr>
        <w:t xml:space="preserve">5.2 A worked example at demo scale</w:t>
      </w:r>
    </w:p>
    <w:p>
      <w:pPr>
        <w:spacing w:after="120" w:line="276"/>
      </w:pPr>
      <w:r>
        <w:rPr>
          <w:color w:val="33485F"/>
        </w:rPr>
        <w:t xml:space="preserve">Using the demo plant’s figures (~630 heats/month, ~160 t/heat ≈ 100,000 t/month, ~5,600 coils/month) and conservative, customer-supplied cost assumptions, the assistant can frame an opportunity like the ones below. The numbers are illustrative placeholders the customer replaces with their own — the point is the model, and that PPIQ shows its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60"/>
        <w:gridCol w:w="3200"/>
      </w:tblGrid>
      <w:tr>
        <w:trPr>
          <w:tblHeader/>
        </w:trPr>
        <w:tc>
          <w:tcPr>
            <w:tcW w:type="dxa" w:w="270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Opportunity (illustrative)</w:t>
            </w:r>
          </w:p>
        </w:tc>
        <w:tc>
          <w:tcPr>
            <w:tcW w:type="dxa" w:w="346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Linkage PPIQ provides</w:t>
            </w:r>
          </w:p>
        </w:tc>
        <w:tc>
          <w:tcPr>
            <w:tcW w:type="dxa" w:w="3200"/>
            <w:tcBorders>
              <w:top w:val="single" w:color="C9D6E3" w:sz="1"/>
              <w:left w:val="single" w:color="C9D6E3" w:sz="1"/>
              <w:bottom w:val="single" w:color="C9D6E3" w:sz="1"/>
              <w:right w:val="single" w:color="C9D6E3" w:sz="1"/>
            </w:tcBorders>
            <w:shd w:fill="0B2A4A" w:val="clear"/>
            <w:tcMar>
              <w:top w:type="dxa" w:w="70"/>
              <w:left w:type="dxa" w:w="110"/>
              <w:bottom w:type="dxa" w:w="70"/>
              <w:right w:type="dxa" w:w="110"/>
            </w:tcMar>
          </w:tcPr>
          <w:p>
            <w:r>
              <w:rPr>
                <w:b/>
                <w:bCs/>
                <w:color w:val="FFFFFF"/>
                <w:sz w:val="19"/>
                <w:szCs w:val="19"/>
              </w:rPr>
              <w:t xml:space="preserve">Indicative monthly value</w:t>
            </w:r>
          </w:p>
        </w:tc>
      </w:tr>
      <w:tr>
        <w:tc>
          <w:tcPr>
            <w:tcW w:type="dxa" w:w="2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Cut a surface-defect class by 20%</w:t>
            </w:r>
          </w:p>
        </w:tc>
        <w:tc>
          <w:tcPr>
            <w:tcW w:type="dxa" w:w="3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Suspected contributor at strong effect size + reliability, with the evidence and sample</w:t>
            </w:r>
          </w:p>
        </w:tc>
        <w:tc>
          <w:tcPr>
            <w:tcW w:type="dxa" w:w="32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If that class downgrades ~300 coils/mo at ~€ X/coil recovered → ~€ (0.20×300×X)/mo</w:t>
            </w:r>
          </w:p>
        </w:tc>
      </w:tr>
      <w:tr>
        <w:tc>
          <w:tcPr>
            <w:tcW w:type="dxa" w:w="2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Avoid 2 production-stoppage hours/mo</w:t>
            </w:r>
          </w:p>
        </w:tc>
        <w:tc>
          <w:tcPr>
            <w:tcW w:type="dxa" w:w="34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Caster condition associated with sequence-rebuild cascades</w:t>
            </w:r>
          </w:p>
        </w:tc>
        <w:tc>
          <w:tcPr>
            <w:tcW w:type="dxa" w:w="32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~2 h × ~180 t/h × margin/t → recovered saleable tonnage</w:t>
            </w:r>
          </w:p>
        </w:tc>
      </w:tr>
      <w:tr>
        <w:tc>
          <w:tcPr>
            <w:tcW w:type="dxa" w:w="2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Lift prime yield 0.5 pt</w:t>
            </w:r>
          </w:p>
        </w:tc>
        <w:tc>
          <w:tcPr>
            <w:tcW w:type="dxa" w:w="3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Parameters associated with the yield KPI, by line×shift</w:t>
            </w:r>
          </w:p>
        </w:tc>
        <w:tc>
          <w:tcPr>
            <w:tcW w:type="dxa" w:w="32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0.5% of ~100,000 t × margin/t → additional prime tons</w:t>
            </w:r>
          </w:p>
        </w:tc>
      </w:tr>
      <w:tr>
        <w:tc>
          <w:tcPr>
            <w:tcW w:type="dxa" w:w="2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Trim energy/ton 1%</w:t>
            </w:r>
          </w:p>
        </w:tc>
        <w:tc>
          <w:tcPr>
            <w:tcW w:type="dxa" w:w="34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Energy outliers correlated with operating windows</w:t>
            </w:r>
          </w:p>
        </w:tc>
        <w:tc>
          <w:tcPr>
            <w:tcW w:type="dxa" w:w="32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1% of energy spend across ~100,000 t → direct cost reduction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8F0" w:sz="1"/>
              <w:left w:val="single" w:color="1E7F4F" w:sz="24"/>
              <w:bottom w:val="single" w:color="E8F8F0" w:sz="1"/>
              <w:right w:val="single" w:color="E8F8F0" w:sz="1"/>
            </w:tcBorders>
            <w:shd w:fill="E8F8F0" w:val="clear"/>
            <w:tcMar>
              <w:top w:type="dxa" w:w="120"/>
              <w:left w:type="dxa" w:w="200"/>
              <w:bottom w:type="dxa" w:w="120"/>
              <w:right w:type="dxa" w:w="160"/>
            </w:tcMar>
          </w:tcPr>
          <w:p>
            <w:pPr>
              <w:spacing w:after="60"/>
            </w:pPr>
            <w:r>
              <w:rPr>
                <w:b/>
                <w:bCs/>
                <w:color w:val="1E7F4F"/>
              </w:rPr>
              <w:t xml:space="preserve">The ROI framing for the pitch</w:t>
            </w:r>
          </w:p>
          <w:p>
            <w:pPr>
              <w:spacing w:after="40" w:line="264"/>
            </w:pPr>
            <w:r>
              <w:rPr>
                <w:b/>
                <w:bCs/>
              </w:rPr>
              <w:t xml:space="preserve">Each lever is small in percent and large in euros. </w:t>
            </w:r>
            <w:r>
              <w:t xml:space="preserve">A fraction of a yield point, a couple of avoided stoppage hours, one defect class trimmed — at one hundred thousand tons a month, each is a material number, and several compound. Against a license fee, the payback case is typically a matter of a single avoided incident. PPIQ’s job is to make that case visible and auditable, not to assert it.</w:t>
            </w:r>
          </w:p>
        </w:tc>
      </w:tr>
    </w:tbl>
    <w:p>
      <w:pPr>
        <w:pStyle w:val="Heading2"/>
      </w:pPr>
      <w:r>
        <w:rPr>
          <w:color w:val="0A4FA0"/>
        </w:rPr>
        <w:t xml:space="preserve">5.3 How the assistant presents it</w:t>
      </w:r>
    </w:p>
    <w:p>
      <w:pPr>
        <w:pStyle w:val="ListParagraph"/>
        <w:numPr>
          <w:ilvl w:val="0"/>
          <w:numId w:val="2"/>
        </w:numPr>
        <w:spacing w:after="60" w:line="270"/>
      </w:pPr>
      <w:r>
        <w:rPr>
          <w:b/>
          <w:bCs/>
        </w:rPr>
        <w:t xml:space="preserve">Always evidence-first: </w:t>
      </w:r>
      <w:r>
        <w:t xml:space="preserve">the suggestion shows the suspected contributor, effect size, reliability and sample before the euro figure, so the number is earned.</w:t>
      </w:r>
    </w:p>
    <w:p>
      <w:pPr>
        <w:pStyle w:val="ListParagraph"/>
        <w:numPr>
          <w:ilvl w:val="0"/>
          <w:numId w:val="2"/>
        </w:numPr>
        <w:spacing w:after="60" w:line="270"/>
      </w:pPr>
      <w:r>
        <w:rPr>
          <w:b/>
          <w:bCs/>
        </w:rPr>
        <w:t xml:space="preserve">Always the customer’s inputs: </w:t>
      </w:r>
      <w:r>
        <w:t xml:space="preserve">cost-per-defect, margin-per-ton, energy price are configurable; PPIQ computes the arithmetic transparently and shows the formula.</w:t>
      </w:r>
    </w:p>
    <w:p>
      <w:pPr>
        <w:pStyle w:val="ListParagraph"/>
        <w:numPr>
          <w:ilvl w:val="0"/>
          <w:numId w:val="2"/>
        </w:numPr>
        <w:spacing w:after="60" w:line="270"/>
      </w:pPr>
      <w:r>
        <w:rPr>
          <w:b/>
          <w:bCs/>
        </w:rPr>
        <w:t xml:space="preserve">Always ranked by impact: </w:t>
      </w:r>
      <w:r>
        <w:t xml:space="preserve">the feed orders opportunities by estimated value × confidence, so the plant works the biggest, most-reliable wins first.</w:t>
      </w:r>
    </w:p>
    <w:p>
      <w:pPr>
        <w:pStyle w:val="ListParagraph"/>
        <w:numPr>
          <w:ilvl w:val="0"/>
          <w:numId w:val="2"/>
        </w:numPr>
        <w:spacing w:after="60" w:line="270"/>
      </w:pPr>
      <w:r>
        <w:rPr>
          <w:b/>
          <w:bCs/>
        </w:rPr>
        <w:t xml:space="preserve">Never a promise: </w:t>
      </w:r>
      <w:r>
        <w:t xml:space="preserve">framed as “approximately,” “associated with,” “opportunity” — the same vocabulary discipline as the rest of the product.</w:t>
      </w:r>
    </w:p>
    <w:p>
      <w:r>
        <w:br w:type="page"/>
      </w:r>
    </w:p>
    <w:p>
      <w:pPr>
        <w:pStyle w:val="Heading1"/>
      </w:pPr>
      <w:r>
        <w:rPr>
          <w:color w:val="0B1730"/>
        </w:rPr>
        <w:t xml:space="preserve">6 · AI/ML Design Principles</w:t>
      </w:r>
    </w:p>
    <w:p>
      <w:pPr>
        <w:pStyle w:val="ListParagraph"/>
        <w:numPr>
          <w:ilvl w:val="0"/>
          <w:numId w:val="4"/>
        </w:numPr>
        <w:spacing w:after="60" w:line="270"/>
      </w:pPr>
      <w:r>
        <w:rPr>
          <w:b/>
          <w:bCs/>
        </w:rPr>
        <w:t xml:space="preserve">Computation is deterministic; only narration is generative. </w:t>
      </w:r>
      <w:r>
        <w:t xml:space="preserve">Numbers come from SQL and C#. The LLM phrases; it never computes.</w:t>
      </w:r>
    </w:p>
    <w:p>
      <w:pPr>
        <w:pStyle w:val="ListParagraph"/>
        <w:numPr>
          <w:ilvl w:val="0"/>
          <w:numId w:val="4"/>
        </w:numPr>
        <w:spacing w:after="60" w:line="270"/>
      </w:pPr>
      <w:r>
        <w:rPr>
          <w:b/>
          <w:bCs/>
        </w:rPr>
        <w:t xml:space="preserve">Every finding is qualified. </w:t>
      </w:r>
      <w:r>
        <w:t xml:space="preserve">Effective-n (by heat), q-value (FDR), effect size, stability, and an evidence link — or it is not shown.</w:t>
      </w:r>
    </w:p>
    <w:p>
      <w:pPr>
        <w:pStyle w:val="ListParagraph"/>
        <w:numPr>
          <w:ilvl w:val="0"/>
          <w:numId w:val="4"/>
        </w:numPr>
        <w:spacing w:after="60" w:line="270"/>
      </w:pPr>
      <w:r>
        <w:rPr>
          <w:b/>
          <w:bCs/>
        </w:rPr>
        <w:t xml:space="preserve">Readiness gates inference. </w:t>
      </w:r>
      <w:r>
        <w:t xml:space="preserve">Under-powered data yields no confident result; it reschedules.</w:t>
      </w:r>
    </w:p>
    <w:p>
      <w:pPr>
        <w:pStyle w:val="ListParagraph"/>
        <w:numPr>
          <w:ilvl w:val="0"/>
          <w:numId w:val="4"/>
        </w:numPr>
        <w:spacing w:after="60" w:line="270"/>
      </w:pPr>
      <w:r>
        <w:rPr>
          <w:b/>
          <w:bCs/>
        </w:rPr>
        <w:t xml:space="preserve">Descriptive and inferential are separate layers. </w:t>
      </w:r>
      <w:r>
        <w:t xml:space="preserve">Charts state facts; only the correlation engine speaks of association.</w:t>
      </w:r>
    </w:p>
    <w:p>
      <w:pPr>
        <w:pStyle w:val="ListParagraph"/>
        <w:numPr>
          <w:ilvl w:val="0"/>
          <w:numId w:val="4"/>
        </w:numPr>
        <w:spacing w:after="60" w:line="270"/>
      </w:pPr>
      <w:r>
        <w:rPr>
          <w:b/>
          <w:bCs/>
        </w:rPr>
        <w:t xml:space="preserve">Experience lives in the knowledge base. </w:t>
      </w:r>
      <w:r>
        <w:t xml:space="preserve">Findings and feedback compound over time; the model stays stateless.</w:t>
      </w:r>
    </w:p>
    <w:p>
      <w:pPr>
        <w:pStyle w:val="ListParagraph"/>
        <w:numPr>
          <w:ilvl w:val="0"/>
          <w:numId w:val="4"/>
        </w:numPr>
        <w:spacing w:after="60" w:line="270"/>
      </w:pPr>
      <w:r>
        <w:rPr>
          <w:b/>
          <w:bCs/>
        </w:rPr>
        <w:t xml:space="preserve">Air-gappable by design. </w:t>
      </w:r>
      <w:r>
        <w:t xml:space="preserve">The brain needs no external service; narration is a swappable, self-hostable provider; only abstracted findings ever leave.</w:t>
      </w:r>
    </w:p>
    <w:p>
      <w:pPr>
        <w:pStyle w:val="ListParagraph"/>
        <w:numPr>
          <w:ilvl w:val="0"/>
          <w:numId w:val="4"/>
        </w:numPr>
        <w:spacing w:after="60" w:line="270"/>
      </w:pPr>
      <w:r>
        <w:rPr>
          <w:b/>
          <w:bCs/>
        </w:rPr>
        <w:t xml:space="preserve">Generic, never bespoke. </w:t>
      </w:r>
      <w:r>
        <w:t xml:space="preserve">Features, outcomes, KPIs and widgets are data and configuration — nothing in the engine is hardcoded to one plant.</w:t>
      </w:r>
    </w:p>
    <w:p>
      <w:pPr>
        <w:pStyle w:val="ListParagraph"/>
        <w:numPr>
          <w:ilvl w:val="0"/>
          <w:numId w:val="4"/>
        </w:numPr>
        <w:spacing w:after="60" w:line="270"/>
      </w:pPr>
      <w:r>
        <w:rPr>
          <w:b/>
          <w:bCs/>
        </w:rPr>
        <w:t xml:space="preserve">Value is shown, not promised. </w:t>
      </w:r>
      <w:r>
        <w:t xml:space="preserve">PPIQ links a driver to an outcome and does the arithmetic on the customer’s own costs; it never guarantees a saving.</w:t>
      </w:r>
    </w:p>
    <w:p>
      <w:pPr>
        <w:spacing w:after="140"/>
      </w:pPr>
      <w:r>
        <w:t xml:space="preserve"/>
      </w:r>
    </w:p>
    <w:p>
      <w:pPr>
        <w:pBdr>
          <w:bottom w:val="single" w:color="0E6F86" w:sz="8" w:space="1"/>
        </w:pBdr>
        <w:spacing w:after="120" w:before="60"/>
      </w:pPr>
      <w:r>
        <w:t xml:space="preserve"/>
      </w:r>
    </w:p>
    <w:p>
      <w:pPr>
        <w:spacing w:after="120" w:line="276"/>
      </w:pPr>
      <w:r>
        <w:rPr>
          <w:b/>
          <w:bCs/>
        </w:rPr>
        <w:t xml:space="preserve">In one sentence: </w:t>
      </w:r>
      <w:r>
        <w:rPr>
          <w:color w:val="0B1730"/>
        </w:rPr>
        <w:t xml:space="preserve">plant data flows up through faithful ingestion, honest description, a learnable feature store, a transparent statistical correlation core, decomposable risk and a compounding knowledge base — and only at the very top does a language model put that earned, evidence-qualified intelligence into words a plant can act on and cost.</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4" w:space="4"/>
      </w:pBdr>
      <w:tabs>
        <w:tab w:val="center" w:pos="4680"/>
        <w:tab w:val="right" w:pos="9360"/>
      </w:tabs>
    </w:pPr>
    <w:r>
      <w:rPr>
        <w:color w:val="8EA7C1"/>
        <w:sz w:val="15"/>
        <w:szCs w:val="15"/>
      </w:rPr>
      <w:t xml:space="preserve">SOU Industrial Software — Confidential</w:t>
    </w:r>
    <w:r>
      <w:rPr>
        <w:color w:val="8EA7C1"/>
        <w:sz w:val="15"/>
        <w:szCs w:val="15"/>
      </w:rPr>
      <w:t xml:space="preserve">	Companion to Product Vision v2.0</w:t>
    </w:r>
    <w:r>
      <w:rPr>
        <w:color w:val="8EA7C1"/>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4" w:space="4"/>
      </w:pBdr>
      <w:tabs>
        <w:tab w:val="right" w:pos="9360"/>
      </w:tabs>
    </w:pPr>
    <w:r>
      <w:rPr>
        <w:b/>
        <w:bCs/>
        <w:color w:val="0B1730"/>
        <w:sz w:val="17"/>
        <w:szCs w:val="17"/>
      </w:rPr>
      <w:t xml:space="preserve">PlantProcess IQ</w:t>
    </w:r>
    <w:r>
      <w:rPr>
        <w:b/>
        <w:bCs/>
        <w:color w:val="0E6F86"/>
        <w:sz w:val="17"/>
        <w:szCs w:val="17"/>
      </w:rPr>
      <w:t xml:space="preserve">  ·  IQ</w:t>
    </w:r>
    <w:r>
      <w:rPr>
        <w:color w:val="8EA7C1"/>
        <w:sz w:val="16"/>
        <w:szCs w:val="16"/>
      </w:rPr>
      <w:t xml:space="preserve">	Intelligence Architecture — AI &amp; ML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E6F86"/>
      </w:r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84FF" w:sz="10" w:space="6"/>
      </w:pBdr>
      <w:spacing w:after="160" w:before="280"/>
      <w:outlineLvl w:val="0"/>
    </w:pPr>
    <w:rPr>
      <w:rFonts w:ascii="Arial" w:cs="Arial" w:eastAsia="Arial" w:hAnsi="Arial"/>
      <w:b/>
      <w:bCs/>
      <w:color w:val="0B1730"/>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0A4FA0"/>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B17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Intelligence Architecture (AI &amp; ML Design)</dc:title>
  <dc:creator>SOU Industrial Software</dc:creator>
  <dc:description>The end-to-end data-to-suggestion pipeline, the widget/SQL engine, and the value model.</dc:description>
  <cp:lastModifiedBy>Un-named</cp:lastModifiedBy>
  <cp:revision>1</cp:revision>
  <dcterms:created xsi:type="dcterms:W3CDTF">2026-05-31T13:26:26.233Z</dcterms:created>
  <dcterms:modified xsi:type="dcterms:W3CDTF">2026-05-31T13:26:26.244Z</dcterms:modified>
</cp:coreProperties>
</file>

<file path=docProps/custom.xml><?xml version="1.0" encoding="utf-8"?>
<Properties xmlns="http://schemas.openxmlformats.org/officeDocument/2006/custom-properties" xmlns:vt="http://schemas.openxmlformats.org/officeDocument/2006/docPropsVTypes"/>
</file>