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Inter" w:cs="Inter" w:eastAsia="Inter" w:hAnsi="Inter"/>
          <w:color w:val="13202E"/>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50B18" w:val="clear"/>
            <w:tcMar>
              <w:top w:type="dxa" w:w="520"/>
              <w:left w:type="dxa" w:w="360"/>
              <w:bottom w:type="dxa" w:w="520"/>
              <w:right w:type="dxa" w:w="360"/>
            </w:tcMar>
          </w:tcPr>
          <w:p>
            <w:pPr>
              <w:spacing w:after="40"/>
            </w:pPr>
            <w:r>
              <w:rPr>
                <w:rFonts w:ascii="Inter" w:cs="Inter" w:eastAsia="Inter" w:hAnsi="Inter"/>
                <w:b/>
                <w:bCs/>
                <w:color w:val="EAF6FF"/>
                <w:sz w:val="64"/>
                <w:szCs w:val="64"/>
              </w:rPr>
              <w:t xml:space="preserve">PlantProcess </w:t>
            </w:r>
            <w:r>
              <w:rPr>
                <w:rFonts w:ascii="Inter" w:cs="Inter" w:eastAsia="Inter" w:hAnsi="Inter"/>
                <w:b/>
                <w:bCs/>
                <w:color w:val="00D4FF"/>
                <w:sz w:val="64"/>
                <w:szCs w:val="64"/>
              </w:rPr>
              <w:t xml:space="preserve">IQ</w:t>
            </w:r>
          </w:p>
          <w:p>
            <w:pPr>
              <w:pBdr>
                <w:bottom w:val="single" w:color="00D4FF" w:sz="12" w:space="6"/>
              </w:pBdr>
              <w:spacing w:after="70"/>
            </w:pPr>
            <w:r>
              <w:rPr>
                <w:rFonts w:ascii="Inter" w:cs="Inter" w:eastAsia="Inter" w:hAnsi="Inter"/>
                <w:color w:val="13202E"/>
                <w:sz w:val="21"/>
                <w:szCs w:val="21"/>
              </w:rPr>
              <w:t xml:space="preserve"/>
            </w:r>
          </w:p>
          <w:p>
            <w:pPr>
              <w:spacing w:after="30"/>
            </w:pPr>
            <w:r>
              <w:rPr>
                <w:rFonts w:ascii="Inter" w:cs="Inter" w:eastAsia="Inter" w:hAnsi="Inter"/>
                <w:b/>
                <w:bCs/>
                <w:color w:val="EAF6FF"/>
                <w:sz w:val="34"/>
                <w:szCs w:val="34"/>
              </w:rPr>
              <w:t xml:space="preserve">Intelligence &amp; Platform Architecture</w:t>
            </w:r>
          </w:p>
          <w:p>
            <w:pPr>
              <w:spacing w:after="60"/>
            </w:pPr>
            <w:r>
              <w:rPr>
                <w:rFonts w:ascii="Inter" w:cs="Inter" w:eastAsia="Inter" w:hAnsi="Inter"/>
                <w:color w:val="00D4FF"/>
                <w:sz w:val="22"/>
                <w:szCs w:val="22"/>
              </w:rPr>
              <w:t xml:space="preserve">Version 3 · 31 May 2026 · the complete blueprint</w:t>
            </w:r>
          </w:p>
          <w:p>
            <w:pPr>
              <w:spacing w:after="0"/>
            </w:pPr>
            <w:r>
              <w:rPr>
                <w:rFonts w:ascii="Inter" w:cs="Inter" w:eastAsia="Inter" w:hAnsi="Inter"/>
                <w:color w:val="8EA7C1"/>
                <w:sz w:val="19"/>
                <w:szCs w:val="19"/>
              </w:rPr>
              <w:t xml:space="preserve">Product ecosystem · the six-layer intelligence pipeline · the operational platform &amp; administrator experience · the demo plant · presentation-grade hardening · the design system.</w:t>
            </w:r>
          </w:p>
        </w:tc>
      </w:tr>
    </w:tbl>
    <w:p>
      <w:pPr>
        <w:spacing w:after="220"/>
      </w:pPr>
      <w:r>
        <w:rPr>
          <w:rFonts w:ascii="Inter" w:cs="Inter" w:eastAsia="Inter" w:hAnsi="Inter"/>
          <w:color w:val="13202E"/>
          <w:sz w:val="21"/>
          <w:szCs w:val="21"/>
        </w:rPr>
        <w:t xml:space="preserve"/>
      </w:r>
    </w:p>
    <w:p>
      <w:pPr>
        <w:spacing w:after="76"/>
      </w:pPr>
      <w:r>
        <w:rPr>
          <w:rFonts w:ascii="Inter" w:cs="Inter" w:eastAsia="Inter" w:hAnsi="Inter"/>
          <w:b/>
          <w:bCs/>
          <w:color w:val="102A43"/>
          <w:sz w:val="21"/>
          <w:szCs w:val="21"/>
        </w:rPr>
        <w:t xml:space="preserve">Product:   </w:t>
      </w:r>
      <w:r>
        <w:rPr>
          <w:rFonts w:ascii="Inter" w:cs="Inter" w:eastAsia="Inter" w:hAnsi="Inter"/>
          <w:color w:val="13202E"/>
          <w:sz w:val="21"/>
          <w:szCs w:val="21"/>
        </w:rPr>
        <w:t xml:space="preserve">PlantProcess IQ  ·  SOU Industrial Software</w:t>
      </w:r>
    </w:p>
    <w:p>
      <w:pPr>
        <w:spacing w:after="76"/>
      </w:pPr>
      <w:r>
        <w:rPr>
          <w:rFonts w:ascii="Inter" w:cs="Inter" w:eastAsia="Inter" w:hAnsi="Inter"/>
          <w:b/>
          <w:bCs/>
          <w:color w:val="102A43"/>
          <w:sz w:val="21"/>
          <w:szCs w:val="21"/>
        </w:rPr>
        <w:t xml:space="preserve">Tagline:   </w:t>
      </w:r>
      <w:r>
        <w:rPr>
          <w:rFonts w:ascii="Inter" w:cs="Inter" w:eastAsia="Inter" w:hAnsi="Inter"/>
          <w:color w:val="13202E"/>
          <w:sz w:val="21"/>
          <w:szCs w:val="21"/>
        </w:rPr>
        <w:t xml:space="preserve">Connect Your Plant Data. Understand Your Process.</w:t>
      </w:r>
    </w:p>
    <w:p>
      <w:pPr>
        <w:spacing w:after="76"/>
      </w:pPr>
      <w:r>
        <w:rPr>
          <w:rFonts w:ascii="Inter" w:cs="Inter" w:eastAsia="Inter" w:hAnsi="Inter"/>
          <w:b/>
          <w:bCs/>
          <w:color w:val="102A43"/>
          <w:sz w:val="21"/>
          <w:szCs w:val="21"/>
        </w:rPr>
        <w:t xml:space="preserve">Supersedes:   </w:t>
      </w:r>
      <w:r>
        <w:rPr>
          <w:rFonts w:ascii="Inter" w:cs="Inter" w:eastAsia="Inter" w:hAnsi="Inter"/>
          <w:color w:val="13202E"/>
          <w:sz w:val="21"/>
          <w:szCs w:val="21"/>
        </w:rPr>
        <w:t xml:space="preserve">AI &amp; ML Design (v2) — fully preserved and extended here</w:t>
      </w:r>
    </w:p>
    <w:p>
      <w:pPr>
        <w:spacing w:after="76"/>
      </w:pPr>
      <w:r>
        <w:rPr>
          <w:rFonts w:ascii="Inter" w:cs="Inter" w:eastAsia="Inter" w:hAnsi="Inter"/>
          <w:b/>
          <w:bCs/>
          <w:color w:val="102A43"/>
          <w:sz w:val="21"/>
          <w:szCs w:val="21"/>
        </w:rPr>
        <w:t xml:space="preserve">Incorporates:   </w:t>
      </w:r>
      <w:r>
        <w:rPr>
          <w:rFonts w:ascii="Inter" w:cs="Inter" w:eastAsia="Inter" w:hAnsi="Inter"/>
          <w:color w:val="13202E"/>
          <w:sz w:val="21"/>
          <w:szCs w:val="21"/>
        </w:rPr>
        <w:t xml:space="preserve">the 4-Track Vision (early draft): Workflow · Hardening · Demo · Website + Brand</w:t>
      </w:r>
    </w:p>
    <w:p>
      <w:pPr>
        <w:spacing w:after="76"/>
      </w:pPr>
      <w:r>
        <w:rPr>
          <w:rFonts w:ascii="Inter" w:cs="Inter" w:eastAsia="Inter" w:hAnsi="Inter"/>
          <w:b/>
          <w:bCs/>
          <w:color w:val="102A43"/>
          <w:sz w:val="21"/>
          <w:szCs w:val="21"/>
        </w:rPr>
        <w:t xml:space="preserve">Stance:   </w:t>
      </w:r>
      <w:r>
        <w:rPr>
          <w:rFonts w:ascii="Inter" w:cs="Inter" w:eastAsia="Inter" w:hAnsi="Inter"/>
          <w:color w:val="13202E"/>
          <w:sz w:val="21"/>
          <w:szCs w:val="21"/>
        </w:rPr>
        <w:t xml:space="preserve">Deterministic statistical brain in PostgreSQL · C# orchestration · LLM as the voice only · explainable &amp; air-gappable</w:t>
      </w:r>
    </w:p>
    <w:p>
      <w:pPr>
        <w:spacing w:after="76"/>
      </w:pPr>
      <w:r>
        <w:rPr>
          <w:rFonts w:ascii="Inter" w:cs="Inter" w:eastAsia="Inter" w:hAnsi="Inter"/>
          <w:b/>
          <w:bCs/>
          <w:color w:val="102A43"/>
          <w:sz w:val="21"/>
          <w:szCs w:val="21"/>
        </w:rPr>
        <w:t xml:space="preserve">Date:   </w:t>
      </w:r>
      <w:r>
        <w:rPr>
          <w:rFonts w:ascii="Inter" w:cs="Inter" w:eastAsia="Inter" w:hAnsi="Inter"/>
          <w:color w:val="13202E"/>
          <w:sz w:val="21"/>
          <w:szCs w:val="21"/>
        </w:rPr>
        <w:t xml:space="preserve">31 May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 What this version restores and adds</w:t>
      </w:r>
    </w:p>
    <w:p>
      <w:pPr>
        <w:spacing w:after="130" w:before="0" w:line="268"/>
      </w:pPr>
      <w:r>
        <w:rPr>
          <w:rFonts w:ascii="Inter" w:cs="Inter" w:eastAsia="Inter" w:hAnsi="Inter"/>
          <w:color w:val="13202E"/>
          <w:sz w:val="21"/>
          <w:szCs w:val="21"/>
        </w:rPr>
        <w:t xml:space="preserve">Version 2 distilled the product to a rigorous six-layer intelligence pipeline. In doing so it set aside material that the original 4-Track Vision carried: the commercial packaging, the operational realities of the plant floor, the administrator experience, the hardening mandates, and the brand identity. </w:t>
      </w:r>
      <w:r>
        <w:rPr>
          <w:rFonts w:ascii="Inter" w:cs="Inter" w:eastAsia="Inter" w:hAnsi="Inter"/>
          <w:b/>
          <w:bCs/>
          <w:color w:val="13202E"/>
          <w:sz w:val="21"/>
          <w:szCs w:val="21"/>
        </w:rPr>
        <w:t xml:space="preserve">Version 3 loses none of v2 and restores all of it, </w:t>
      </w:r>
      <w:r>
        <w:rPr>
          <w:rFonts w:ascii="Inter" w:cs="Inter" w:eastAsia="Inter" w:hAnsi="Inter"/>
          <w:color w:val="13202E"/>
          <w:sz w:val="21"/>
          <w:szCs w:val="21"/>
        </w:rPr>
        <w:t xml:space="preserve">then designs to completion the areas the early draft left open. Nothing here contradicts v2; everything extends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Area</w:t>
            </w:r>
          </w:p>
        </w:tc>
        <w:tc>
          <w:tcPr>
            <w:tcW w:type="dxa" w:w="61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Status in v3</w:t>
            </w:r>
          </w:p>
        </w:tc>
      </w:tr>
      <w:tr>
        <w:tc>
          <w:tcPr>
            <w:tcW w:type="dxa" w:w="32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Six-layer intelligence pipeline (v2)</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Preserved verbatim as Part 2, with its component matrix, widget/SQL engine, value model and design principles intact.</w:t>
            </w:r>
          </w:p>
        </w:tc>
      </w:tr>
      <w:tr>
        <w:tc>
          <w:tcPr>
            <w:tcW w:type="dxa" w:w="3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Multi-product ecosystem (MES, QES, Yard &amp; Warehouse, Energy)</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Restored as Part 1 — PlantProcess IQ positioned as the intelligence flagship across the SOU suite.</w:t>
            </w:r>
          </w:p>
        </w:tc>
      </w:tr>
      <w:tr>
        <w:tc>
          <w:tcPr>
            <w:tcW w:type="dxa" w:w="32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Demo topology &amp; data schema (13-area flat-steel plant; 8 sources)</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Restored in full as Part 4, including the genealogy spine and the production-vs-equipment-stoppage model.</w:t>
            </w:r>
          </w:p>
        </w:tc>
      </w:tr>
      <w:tr>
        <w:tc>
          <w:tcPr>
            <w:tcW w:type="dxa" w:w="3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Administrator setup &amp; configuration workflows</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Designed to completion as Part 3 — DB Links, the Schema Mapping Engine, Importing, Job Monitor, Page Builder, User/Role/Access.</w:t>
            </w:r>
          </w:p>
        </w:tc>
      </w:tr>
      <w:tr>
        <w:tc>
          <w:tcPr>
            <w:tcW w:type="dxa" w:w="32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Zero-hanging UI/UX hardening mandates (Track 2)</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Restored as Part 5 — the presentation-grade resilience and standard-component contract.</w:t>
            </w:r>
          </w:p>
        </w:tc>
      </w:tr>
      <w:tr>
        <w:tc>
          <w:tcPr>
            <w:tcW w:type="dxa" w:w="3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Brand identity &amp; design system</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Restored as Part 6 — the Dark Industrial Command Center palette, typography, logo brief and in-app implementation.</w:t>
            </w:r>
          </w:p>
        </w:tc>
      </w:tr>
      <w:tr>
        <w:tc>
          <w:tcPr>
            <w:tcW w:type="dxa" w:w="32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Five explicitly-requested gap designs</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Schema Mapping Engine UI/UX (3.3), DB Link &amp; credentials (3.2), Job Monitor (3.5), Drag-and-drop page composition (3.6), User/Role/Access (3.8) — each designed deeply.</w:t>
            </w:r>
          </w:p>
        </w:tc>
      </w:tr>
    </w:tbl>
    <w:p>
      <w:r>
        <w:br w:type="page"/>
      </w:r>
    </w:p>
    <w:p>
      <w:pPr>
        <w:pStyle w:val="Heading1"/>
      </w:pPr>
      <w:r>
        <w:t xml:space="preserve">1 · Product &amp; Commercial Context</w:t>
      </w:r>
    </w:p>
    <w:p>
      <w:pPr>
        <w:spacing w:after="130" w:before="0" w:line="268"/>
      </w:pPr>
      <w:r>
        <w:rPr>
          <w:rFonts w:ascii="Inter" w:cs="Inter" w:eastAsia="Inter" w:hAnsi="Inter"/>
          <w:b/>
          <w:bCs/>
          <w:color w:val="13202E"/>
          <w:sz w:val="21"/>
          <w:szCs w:val="21"/>
        </w:rPr>
        <w:t xml:space="preserve">SOU’s thesis. </w:t>
      </w:r>
      <w:r>
        <w:rPr>
          <w:rFonts w:ascii="Inter" w:cs="Inter" w:eastAsia="Inter" w:hAnsi="Inter"/>
          <w:color w:val="13202E"/>
          <w:sz w:val="21"/>
          <w:szCs w:val="21"/>
        </w:rPr>
        <w:t xml:space="preserve">SOU brings AI and machine learning into the heart of manufacturing — not as flashy consumer AI, but as a calm, evidence-based intelligence layer that tells a plant what it could not otherwise see about its own process. PlantProcess IQ is the flagship of a planned product suite that shares one data fabric and one genealogy spine.</w:t>
      </w:r>
    </w:p>
    <w:p>
      <w:pPr>
        <w:pStyle w:val="Heading2"/>
      </w:pPr>
      <w:r>
        <w:t xml:space="preserve">1.1 The product ecosystem</w:t>
      </w:r>
    </w:p>
    <w:p>
      <w:pPr>
        <w:spacing w:after="130" w:before="0" w:line="268"/>
      </w:pPr>
      <w:r>
        <w:rPr>
          <w:rFonts w:ascii="Inter" w:cs="Inter" w:eastAsia="Inter" w:hAnsi="Inter"/>
          <w:color w:val="13202E"/>
          <w:sz w:val="21"/>
          <w:szCs w:val="21"/>
        </w:rPr>
        <w:t xml:space="preserve">PlantProcess IQ is the </w:t>
      </w:r>
      <w:r>
        <w:rPr>
          <w:rFonts w:ascii="Inter" w:cs="Inter" w:eastAsia="Inter" w:hAnsi="Inter"/>
          <w:b/>
          <w:bCs/>
          <w:color w:val="13202E"/>
          <w:sz w:val="21"/>
          <w:szCs w:val="21"/>
        </w:rPr>
        <w:t xml:space="preserve">intelligence layer</w:t>
      </w:r>
      <w:r>
        <w:rPr>
          <w:rFonts w:ascii="Inter" w:cs="Inter" w:eastAsia="Inter" w:hAnsi="Inter"/>
          <w:color w:val="13202E"/>
          <w:sz w:val="21"/>
          <w:szCs w:val="21"/>
        </w:rPr>
        <w:t xml:space="preserve"> that sits across the operational systems below it. The suite is designed so each product can stand alone but compounds in value when combined — they read and write a shared canonical model, so genealogy, KPIs and findings flow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60"/>
        <w:gridCol w:w="2900"/>
      </w:tblGrid>
      <w:tr>
        <w:trPr>
          <w:tblHeader/>
        </w:trPr>
        <w:tc>
          <w:tcPr>
            <w:tcW w:type="dxa" w:w="19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Product</w:t>
            </w:r>
          </w:p>
        </w:tc>
        <w:tc>
          <w:tcPr>
            <w:tcW w:type="dxa" w:w="1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Layer</w:t>
            </w:r>
          </w:p>
        </w:tc>
        <w:tc>
          <w:tcPr>
            <w:tcW w:type="dxa" w:w="3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What it does</w:t>
            </w:r>
          </w:p>
        </w:tc>
        <w:tc>
          <w:tcPr>
            <w:tcW w:type="dxa" w:w="29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Relationship to PlantProcess IQ</w:t>
            </w:r>
          </w:p>
        </w:tc>
      </w:tr>
      <w:tr>
        <w:tc>
          <w:tcPr>
            <w:tcW w:type="dxa" w:w="19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02A43"/>
                <w:sz w:val="19"/>
                <w:szCs w:val="19"/>
              </w:rPr>
              <w:t xml:space="preserve">PlantProcess IQ</w:t>
            </w:r>
          </w:p>
          <w:p>
            <w:pPr>
              <w:spacing w:before="20"/>
            </w:pPr>
            <w:r>
              <w:rPr>
                <w:rFonts w:ascii="Inter" w:cs="Inter" w:eastAsia="Inter" w:hAnsi="Inter"/>
                <w:color w:val="8EA7C1"/>
                <w:sz w:val="16"/>
                <w:szCs w:val="16"/>
              </w:rPr>
              <w:t xml:space="preserve">(flagship)</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Intelligence</w:t>
            </w:r>
          </w:p>
        </w:tc>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Connects fragmented MES, L2, inspection, lab and ERP data into one generic intelligence layer; investigates quality, scores risk, explains suspected contributors, builds custom dashboards.</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brain. Reads the shared canonical model the others populate; needs no system replaced.</w:t>
            </w:r>
          </w:p>
        </w:tc>
      </w:tr>
      <w:tr>
        <w:tc>
          <w:tcPr>
            <w:tcW w:type="dxa" w:w="1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MES</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Execution</w:t>
            </w:r>
          </w:p>
        </w:tc>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Manufacturing Execution System — order/heat scheduling, tracking, work instructions, production confirmation across the line.</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Feeds execution events into the canonical model; PPIQ correlates those events with quality and downtime.</w:t>
            </w:r>
          </w:p>
        </w:tc>
      </w:tr>
      <w:tr>
        <w:tc>
          <w:tcPr>
            <w:tcW w:type="dxa" w:w="1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QES</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Quality</w:t>
            </w:r>
          </w:p>
        </w:tc>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Quality Execution System — sampling plans, lab results, dispositions, certificates, non-conformance workflow.</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Supplies the outcome labels (defect/QA) PPIQ learns against; PPIQ returns suspected contributors to QES.</w:t>
            </w:r>
          </w:p>
        </w:tc>
      </w:tr>
      <w:tr>
        <w:tc>
          <w:tcPr>
            <w:tcW w:type="dxa" w:w="1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Yard &amp; Warehouse Mgmt</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Logistics</w:t>
            </w:r>
          </w:p>
        </w:tc>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Coil/slab yard topology, cooling and buffering, stock and shipping, location genealogy.</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Provides location grain and residency features; PPIQ correlates yard conditions with quality.</w:t>
            </w:r>
          </w:p>
        </w:tc>
      </w:tr>
      <w:tr>
        <w:tc>
          <w:tcPr>
            <w:tcW w:type="dxa" w:w="1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Energy Mgmt</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Sustainability</w:t>
            </w:r>
          </w:p>
        </w:tc>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Energy-per-ton metering, additive/consumable usage, operating-window monitoring.</w:t>
            </w:r>
          </w:p>
        </w:tc>
        <w:tc>
          <w:tcPr>
            <w:tcW w:type="dxa" w:w="29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Supplies energy outcomes/features; PPIQ surfaces energy-per-ton outliers as a value lever.</w:t>
            </w:r>
          </w:p>
        </w:tc>
      </w:tr>
    </w:tbl>
    <w:p>
      <w:pPr>
        <w:spacing w:after="130" w:before="60" w:line="268"/>
      </w:pPr>
      <w:r>
        <w:rPr>
          <w:rFonts w:ascii="Inter" w:cs="Inter" w:eastAsia="Inter" w:hAnsi="Inter"/>
          <w:color w:val="13202E"/>
          <w:sz w:val="21"/>
          <w:szCs w:val="21"/>
        </w:rPr>
        <w:t xml:space="preserve">Each product carries the same brand identity (Part 6) and the same honesty discipline (Part 2). The shared canonical model and genealogy spine (Part 4) are what make the suite more than the sum of its parts: a defect seen in QES can be traced through MES execution to a caster condition and a yard residency, because all three speak the same model.</w:t>
      </w:r>
    </w:p>
    <w:p>
      <w:pPr>
        <w:pStyle w:val="Heading2"/>
      </w:pPr>
      <w:r>
        <w:t xml:space="preserve">1.2 Licensing &amp; feature tiers</w:t>
      </w:r>
    </w:p>
    <w:p>
      <w:pPr>
        <w:spacing w:after="130" w:before="0" w:line="268"/>
      </w:pPr>
      <w:r>
        <w:rPr>
          <w:rFonts w:ascii="Inter" w:cs="Inter" w:eastAsia="Inter" w:hAnsi="Inter"/>
          <w:color w:val="13202E"/>
          <w:sz w:val="21"/>
          <w:szCs w:val="21"/>
        </w:rPr>
        <w:t xml:space="preserve">Capability is gated by license tier. The demo must be able to </w:t>
      </w:r>
      <w:r>
        <w:rPr>
          <w:rFonts w:ascii="Inter" w:cs="Inter" w:eastAsia="Inter" w:hAnsi="Inter"/>
          <w:b/>
          <w:bCs/>
          <w:color w:val="13202E"/>
          <w:sz w:val="21"/>
          <w:szCs w:val="21"/>
        </w:rPr>
        <w:t xml:space="preserve">toggle tier live</w:t>
      </w:r>
      <w:r>
        <w:rPr>
          <w:rFonts w:ascii="Inter" w:cs="Inter" w:eastAsia="Inter" w:hAnsi="Inter"/>
          <w:color w:val="13202E"/>
          <w:sz w:val="21"/>
          <w:szCs w:val="21"/>
        </w:rPr>
        <w:t xml:space="preserve"> — switching from Enterprise down to Pro visibly removes features, and switching up restores them — so a prospect sees exactly what each tier buys. Gating is enforced server-side and combined with role permission (Part 3.8): a capability is available only when the tier includes it </w:t>
      </w:r>
      <w:r>
        <w:rPr>
          <w:rFonts w:ascii="Inter" w:cs="Inter" w:eastAsia="Inter" w:hAnsi="Inter"/>
          <w:b/>
          <w:bCs/>
          <w:color w:val="13202E"/>
          <w:sz w:val="21"/>
          <w:szCs w:val="21"/>
        </w:rPr>
        <w:t xml:space="preserve">and</w:t>
      </w:r>
      <w:r>
        <w:rPr>
          <w:rFonts w:ascii="Inter" w:cs="Inter" w:eastAsia="Inter" w:hAnsi="Inter"/>
          <w:color w:val="13202E"/>
          <w:sz w:val="21"/>
          <w:szCs w:val="21"/>
        </w:rPr>
        <w:t xml:space="preserve"> the user’s role grants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Capability</w:t>
            </w:r>
          </w:p>
        </w:tc>
        <w:tc>
          <w:tcPr>
            <w:tcW w:type="dxa" w:w="1575"/>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Lite</w:t>
            </w:r>
          </w:p>
        </w:tc>
        <w:tc>
          <w:tcPr>
            <w:tcW w:type="dxa" w:w="1575"/>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Pro</w:t>
            </w:r>
          </w:p>
        </w:tc>
        <w:tc>
          <w:tcPr>
            <w:tcW w:type="dxa" w:w="1575"/>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Pro Plus</w:t>
            </w:r>
          </w:p>
        </w:tc>
        <w:tc>
          <w:tcPr>
            <w:tcW w:type="dxa" w:w="1575"/>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Enterprise</w:t>
            </w:r>
          </w:p>
        </w:tc>
      </w:tr>
      <w:tr>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Dashboards, pages &amp; widgets</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DB links / sources</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1</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3</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8</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Unlimited</w:t>
            </w:r>
          </w:p>
        </w:tc>
      </w:tr>
      <w:tr>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Schema mapping &amp; KPI studio</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Basic</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Scheduled correlation learning (L4)</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Inspection pages &amp; risk scoring (L5)</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Limited</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AI Assistant — suggestions + RAG (L6)</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Value/ROI model</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Multi-tenant, SSO/OIDC, audit export</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Air-gapped / self-hosted narration</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Optional</w:t>
            </w:r>
          </w:p>
        </w:tc>
        <w:tc>
          <w:tcPr>
            <w:tcW w:type="dxa" w:w="1575"/>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r>
        <w:tc>
          <w:tcPr>
            <w:tcW w:type="dxa" w:w="3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Named users</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3</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10</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25</w:t>
            </w:r>
          </w:p>
        </w:tc>
        <w:tc>
          <w:tcPr>
            <w:tcW w:type="dxa" w:w="1575"/>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9"/>
                <w:szCs w:val="19"/>
              </w:rPr>
              <w:t xml:space="preserve">Unlimited</w:t>
            </w:r>
          </w:p>
        </w:tc>
      </w:tr>
    </w:tbl>
    <w:p>
      <w:pPr>
        <w:spacing w:after="130" w:before="50" w:line="268"/>
      </w:pPr>
      <w:r>
        <w:rPr>
          <w:rFonts w:ascii="Inter" w:cs="Inter" w:eastAsia="Inter" w:hAnsi="Inter"/>
          <w:color w:val="13202E"/>
          <w:sz w:val="21"/>
          <w:szCs w:val="21"/>
        </w:rPr>
        <w:t xml:space="preserve">Tier badges appear top-right of the app header in the brand colors (Lite = Muted Steel, Pro = Amber, Pro Plus = Electric Blue, Enterprise = Cyan Green).</w:t>
      </w:r>
    </w:p>
    <w:p>
      <w:pPr>
        <w:pStyle w:val="Heading2"/>
      </w:pPr>
      <w:r>
        <w:t xml:space="preserve">1.3 Voice — what we say, and what we never say</w:t>
      </w:r>
    </w:p>
    <w:p>
      <w:pPr>
        <w:spacing w:after="130" w:before="0" w:line="268"/>
      </w:pPr>
      <w:r>
        <w:rPr>
          <w:rFonts w:ascii="Inter" w:cs="Inter" w:eastAsia="Inter" w:hAnsi="Inter"/>
          <w:color w:val="13202E"/>
          <w:sz w:val="21"/>
          <w:szCs w:val="21"/>
        </w:rPr>
        <w:t xml:space="preserve">The brand voice is industrial, intelligent, trusted, technical, calm and evidence-based. The honesty discipline is a commercial asset, not a limitation — it is what survives a customer’s technical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Say now (approved)</w:t>
            </w:r>
          </w:p>
        </w:tc>
        <w:tc>
          <w:tcPr>
            <w:tcW w:type="dxa" w:w="46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Never say (forbidden)</w:t>
            </w:r>
          </w:p>
        </w:tc>
      </w:tr>
      <w:tr>
        <w:tc>
          <w:tcPr>
            <w:tcW w:type="dxa" w:w="46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30"/>
            </w:pPr>
            <w:r>
              <w:rPr>
                <w:rFonts w:ascii="Inter" w:cs="Inter" w:eastAsia="Inter" w:hAnsi="Inter"/>
                <w:b/>
                <w:bCs/>
                <w:color w:val="2CE6A2"/>
                <w:sz w:val="19"/>
                <w:szCs w:val="19"/>
              </w:rPr>
              <w:t xml:space="preserve">Rule-based risk scoring</w:t>
            </w:r>
          </w:p>
          <w:p>
            <w:pPr>
              <w:spacing w:after="24"/>
            </w:pPr>
            <w:r>
              <w:rPr>
                <w:rFonts w:ascii="Inter" w:cs="Inter" w:eastAsia="Inter" w:hAnsi="Inter"/>
                <w:color w:val="13202E"/>
                <w:sz w:val="19"/>
                <w:szCs w:val="19"/>
              </w:rPr>
              <w:t xml:space="preserve">✓  Correlation analysis</w:t>
            </w:r>
          </w:p>
          <w:p>
            <w:pPr>
              <w:spacing w:after="24"/>
            </w:pPr>
            <w:r>
              <w:rPr>
                <w:rFonts w:ascii="Inter" w:cs="Inter" w:eastAsia="Inter" w:hAnsi="Inter"/>
                <w:color w:val="13202E"/>
                <w:sz w:val="19"/>
                <w:szCs w:val="19"/>
              </w:rPr>
              <w:t xml:space="preserve">✓  Suspected contributor</w:t>
            </w:r>
          </w:p>
          <w:p>
            <w:pPr>
              <w:spacing w:after="24"/>
            </w:pPr>
            <w:r>
              <w:rPr>
                <w:rFonts w:ascii="Inter" w:cs="Inter" w:eastAsia="Inter" w:hAnsi="Inter"/>
                <w:color w:val="13202E"/>
                <w:sz w:val="19"/>
                <w:szCs w:val="19"/>
              </w:rPr>
              <w:t xml:space="preserve">✓  Statistical pattern</w:t>
            </w:r>
          </w:p>
          <w:p>
            <w:pPr>
              <w:spacing w:after="24"/>
            </w:pPr>
            <w:r>
              <w:rPr>
                <w:rFonts w:ascii="Inter" w:cs="Inter" w:eastAsia="Inter" w:hAnsi="Inter"/>
                <w:color w:val="13202E"/>
                <w:sz w:val="19"/>
                <w:szCs w:val="19"/>
              </w:rPr>
              <w:t xml:space="preserve">✓  Evidence-based investigation</w:t>
            </w:r>
          </w:p>
          <w:p>
            <w:pPr>
              <w:spacing w:after="24"/>
            </w:pPr>
            <w:r>
              <w:rPr>
                <w:rFonts w:ascii="Inter" w:cs="Inter" w:eastAsia="Inter" w:hAnsi="Inter"/>
                <w:color w:val="13202E"/>
                <w:sz w:val="19"/>
                <w:szCs w:val="19"/>
              </w:rPr>
              <w:t xml:space="preserve">✓  Read-only intelligence layer</w:t>
            </w:r>
          </w:p>
        </w:tc>
        <w:tc>
          <w:tcPr>
            <w:tcW w:type="dxa" w:w="46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30"/>
            </w:pPr>
            <w:r>
              <w:rPr>
                <w:rFonts w:ascii="Inter" w:cs="Inter" w:eastAsia="Inter" w:hAnsi="Inter"/>
                <w:b/>
                <w:bCs/>
                <w:color w:val="FF4D6D"/>
                <w:sz w:val="19"/>
                <w:szCs w:val="19"/>
              </w:rPr>
              <w:t xml:space="preserve">Guaranteed root cause</w:t>
            </w:r>
          </w:p>
          <w:p>
            <w:pPr>
              <w:spacing w:after="24"/>
            </w:pPr>
            <w:r>
              <w:rPr>
                <w:rFonts w:ascii="Inter" w:cs="Inter" w:eastAsia="Inter" w:hAnsi="Inter"/>
                <w:color w:val="13202E"/>
                <w:sz w:val="19"/>
                <w:szCs w:val="19"/>
              </w:rPr>
              <w:t xml:space="preserve">✕  AI-powered prediction</w:t>
            </w:r>
          </w:p>
          <w:p>
            <w:pPr>
              <w:spacing w:after="24"/>
            </w:pPr>
            <w:r>
              <w:rPr>
                <w:rFonts w:ascii="Inter" w:cs="Inter" w:eastAsia="Inter" w:hAnsi="Inter"/>
                <w:color w:val="13202E"/>
                <w:sz w:val="19"/>
                <w:szCs w:val="19"/>
              </w:rPr>
              <w:t xml:space="preserve">✕  Production-ready AI</w:t>
            </w:r>
          </w:p>
          <w:p>
            <w:pPr>
              <w:spacing w:after="24"/>
            </w:pPr>
            <w:r>
              <w:rPr>
                <w:rFonts w:ascii="Inter" w:cs="Inter" w:eastAsia="Inter" w:hAnsi="Inter"/>
                <w:color w:val="13202E"/>
                <w:sz w:val="19"/>
                <w:szCs w:val="19"/>
              </w:rPr>
              <w:t xml:space="preserve">✕  Live Oracle/MSSQL ready today</w:t>
            </w:r>
          </w:p>
          <w:p>
            <w:pPr>
              <w:spacing w:after="24"/>
            </w:pPr>
            <w:r>
              <w:rPr>
                <w:rFonts w:ascii="Inter" w:cs="Inter" w:eastAsia="Inter" w:hAnsi="Inter"/>
                <w:color w:val="13202E"/>
                <w:sz w:val="19"/>
                <w:szCs w:val="19"/>
              </w:rPr>
              <w:t xml:space="preserve">✕  We replace MES / L2 / SCADA / BI</w:t>
            </w:r>
          </w:p>
        </w:tc>
      </w:tr>
    </w:tbl>
    <w:p>
      <w:r>
        <w:br w:type="page"/>
      </w:r>
    </w:p>
    <w:p>
      <w:pPr>
        <w:pStyle w:val="Heading1"/>
      </w:pPr>
      <w:r>
        <w:t xml:space="preserve">2 · The Intelligence Architecture</w:t>
      </w:r>
    </w:p>
    <w:p>
      <w:pPr>
        <w:spacing w:after="130" w:before="0" w:line="268"/>
      </w:pPr>
      <w:r>
        <w:rPr>
          <w:rFonts w:ascii="Inter" w:cs="Inter" w:eastAsia="Inter" w:hAnsi="Inter"/>
          <w:color w:val="13202E"/>
          <w:sz w:val="21"/>
          <w:szCs w:val="21"/>
        </w:rPr>
        <w:t xml:space="preserve">This part is the architecture from v2, preserved in full. It answers one question in depth: </w:t>
      </w:r>
      <w:r>
        <w:rPr>
          <w:rFonts w:ascii="Inter" w:cs="Inter" w:eastAsia="Inter" w:hAnsi="Inter"/>
          <w:b/>
          <w:bCs/>
          <w:color w:val="13202E"/>
          <w:sz w:val="21"/>
          <w:szCs w:val="21"/>
        </w:rPr>
        <w:t xml:space="preserve">how does a row of plant data become a trustworthy, money-quantified suggestion?</w:t>
      </w:r>
      <w:r>
        <w:rPr>
          <w:rFonts w:ascii="Inter" w:cs="Inter" w:eastAsia="Inter" w:hAnsi="Inter"/>
          <w:color w:val="13202E"/>
          <w:sz w:val="21"/>
          <w:szCs w:val="21"/>
        </w:rPr>
        <w:t xml:space="preserve"> The single rule that governs everything below it — </w:t>
      </w:r>
      <w:r>
        <w:rPr>
          <w:rFonts w:ascii="Inter" w:cs="Inter" w:eastAsia="Inter" w:hAnsi="Inter"/>
          <w:b/>
          <w:bCs/>
          <w:color w:val="13202E"/>
          <w:sz w:val="21"/>
          <w:szCs w:val="21"/>
        </w:rPr>
        <w:t xml:space="preserve">computation flows up; language only appears at the very top</w:t>
      </w:r>
      <w:r>
        <w:rPr>
          <w:rFonts w:ascii="Inter" w:cs="Inter" w:eastAsia="Inter" w:hAnsi="Inter"/>
          <w:color w:val="13202E"/>
          <w:sz w:val="21"/>
          <w:szCs w:val="21"/>
        </w:rPr>
        <w:t xml:space="preserve"> — is what makes the product honest and air-gappable.</w:t>
      </w:r>
    </w:p>
    <w:p>
      <w:pPr>
        <w:pStyle w:val="Heading2"/>
      </w:pPr>
      <w:r>
        <w:t xml:space="preserve">2.0 The whole pipeline on one page</w:t>
      </w:r>
    </w:p>
    <w:p>
      <w:pPr>
        <w:spacing w:after="130" w:before="0" w:line="268"/>
      </w:pPr>
      <w:r>
        <w:rPr>
          <w:rFonts w:ascii="Inter" w:cs="Inter" w:eastAsia="Inter" w:hAnsi="Inter"/>
          <w:color w:val="13202E"/>
          <w:sz w:val="21"/>
          <w:szCs w:val="21"/>
        </w:rPr>
        <w:t xml:space="preserve">Plant data flows up through six layers. Each layer answers exactly one question and hands a more refined artifact to the next. Layers 1–5 are deterministic and testable — numbers come from SQL and C#, never a model. Only Layer 6 introduces a language model, and it may not invent a single figure; it phrases what Layers 4 and 5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Layer</w:t>
            </w:r>
          </w:p>
        </w:tc>
        <w:tc>
          <w:tcPr>
            <w:tcW w:type="dxa" w:w="30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Answers</w:t>
            </w:r>
          </w:p>
        </w:tc>
        <w:tc>
          <w:tcPr>
            <w:tcW w:type="dxa" w:w="48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Owner · honesty boundary</w:t>
            </w:r>
          </w:p>
        </w:tc>
      </w:tr>
      <w:tr>
        <w:tc>
          <w:tcPr>
            <w:tcW w:type="dxa" w:w="15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102A43"/>
                <w:sz w:val="19"/>
                <w:szCs w:val="19"/>
              </w:rPr>
              <w:t xml:space="preserve">L1 Ingest</w:t>
            </w:r>
          </w:p>
        </w:tc>
        <w:tc>
          <w:tcPr>
            <w:tcW w:type="dxa" w:w="30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Is the data here, faithful, and connected?</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Connectors + MappingExecutionService. No analysis — faithful copies and joins only.</w:t>
            </w:r>
          </w:p>
        </w:tc>
      </w:tr>
      <w:tr>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L2 Describe</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What happened?</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Dashboard/Widget query services, SafeSql-guarded. Pure description; never says one thing causes another.</w:t>
            </w:r>
          </w:p>
        </w:tc>
      </w:tr>
      <w:tr>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L3 Features</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What are the comparable signals per unit of production?</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Feature store SQL + FeatureEngineeringService. Deterministic math; no correlation or ranking.</w:t>
            </w:r>
          </w:p>
        </w:tc>
      </w:tr>
      <w:tr>
        <w:tc>
          <w:tcPr>
            <w:tcW w:type="dxa" w:w="15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r>
              <w:rPr>
                <w:rFonts w:ascii="Inter" w:cs="Inter" w:eastAsia="Inter" w:hAnsi="Inter"/>
                <w:b/>
                <w:bCs/>
                <w:color w:val="FF4D6D"/>
                <w:sz w:val="19"/>
                <w:szCs w:val="19"/>
              </w:rPr>
              <w:t xml:space="preserve">L4 Correlate</w:t>
            </w:r>
          </w:p>
        </w:tc>
        <w:tc>
          <w:tcPr>
            <w:tcW w:type="dxa" w:w="30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Which parameters are suspected contributors — how strongly, how reliably?</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204 learning core + CorrelationService. The brain. No LLM ever computes or ranks a correlation.</w:t>
            </w:r>
          </w:p>
        </w:tc>
      </w:tr>
      <w:tr>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L5 Reason</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How risky is this unit, and why?</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RiskScoreService (additive, decomposable) + inspection pages + knowledge base. Transparent; readiness-gated.</w:t>
            </w:r>
          </w:p>
        </w:tc>
      </w:tr>
      <w:tr>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L6 Advise</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What should we do, and what is it worth?</w:t>
            </w:r>
          </w:p>
        </w:tc>
        <w:tc>
          <w:tcPr>
            <w:tcW w:type="dxa" w:w="48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Suggestion engine + RAG agent over narrative providers. The LLM is the voice; every figure traces to a tool result.</w:t>
            </w:r>
          </w:p>
        </w:tc>
      </w:tr>
    </w:tbl>
    <w:p>
      <w:pPr>
        <w:pStyle w:val="Heading2"/>
      </w:pPr>
      <w:r>
        <w:t xml:space="preserve">2.1 Layer 1 — Ingestion &amp; Canonicalization</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“Is the data here, faithful, and connected?” Six source engines (MSSQL, PostgreSQL, MySQL, Oracle, Excel, CSV) are read by cursor-based, resumable delta imports into private dumps (zero-duplicate). The mapping engine then projects those dumps into the canonical model and derives the genealogy spine: heat → ladle → tundish → strand → slab → coil → defect → QA. Owners: the connector interface + factory, DeltaImportExecutionService, MappingExecutionService, and SafeSqlValidator at preview/materialize. </w:t>
      </w:r>
      <w:r>
        <w:rPr>
          <w:rFonts w:ascii="Inter" w:cs="Inter" w:eastAsia="Inter" w:hAnsi="Inter"/>
          <w:b/>
          <w:bCs/>
          <w:color w:val="13202E"/>
          <w:sz w:val="21"/>
          <w:szCs w:val="21"/>
        </w:rPr>
        <w:t xml:space="preserve">Forbidden here: </w:t>
      </w:r>
      <w:r>
        <w:rPr>
          <w:rFonts w:ascii="Inter" w:cs="Inter" w:eastAsia="Inter" w:hAnsi="Inter"/>
          <w:color w:val="13202E"/>
          <w:sz w:val="21"/>
          <w:szCs w:val="21"/>
        </w:rPr>
        <w:t xml:space="preserve">any analysis, scoring or inference — L1 only moves and joins data faithfully.</w:t>
      </w:r>
    </w:p>
    <w:p>
      <w:pPr>
        <w:pStyle w:val="Heading2"/>
      </w:pPr>
      <w:r>
        <w:t xml:space="preserve">2.2 Layer 2 — Descriptive Analytics (dashboards &amp; charts)</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“What happened?” Canonical data plus user-authored KPIs become interactive widgets, charts, the heat map (line × shift × day) and KPI tiles — all expressed as safe, validated SQL with no statistics and no model. Owners: DashboardWidgetQueryService + DashboardQueryService, WidgetQueryExpressionService (compiles each widget’s expression), and the safety registry + SafeSqlValidator. </w:t>
      </w:r>
      <w:r>
        <w:rPr>
          <w:rFonts w:ascii="Inter" w:cs="Inter" w:eastAsia="Inter" w:hAnsi="Inter"/>
          <w:b/>
          <w:bCs/>
          <w:color w:val="13202E"/>
          <w:sz w:val="21"/>
          <w:szCs w:val="21"/>
        </w:rPr>
        <w:t xml:space="preserve">Forbidden here: </w:t>
      </w:r>
      <w:r>
        <w:rPr>
          <w:rFonts w:ascii="Inter" w:cs="Inter" w:eastAsia="Inter" w:hAnsi="Inter"/>
          <w:color w:val="13202E"/>
          <w:sz w:val="21"/>
          <w:szCs w:val="21"/>
        </w:rPr>
        <w:t xml:space="preserve">causal language. A chart shows a trend; it never claims causation. Keeping L2 purely descriptive is deliberate — it means a chart can never accidentally imply causation, and the correlation engine can never be mistaken for “just another chart.”</w:t>
      </w:r>
    </w:p>
    <w:p>
      <w:pPr>
        <w:pStyle w:val="Heading2"/>
      </w:pPr>
      <w:r>
        <w:t xml:space="preserve">2.3 Layer 3 — The Feature Store (making data learnable)</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“What are the measurable, comparable signals per unit of production?” Genealogy-joined data is turned into features at four grains — heat, strand, coil, location — plus derived metallurgy (carbon-equivalent, true superheat, casting-speed mean/delta, residency minutes, shift bucket), each stored with provenance and grain. Outcomes are catalogued in parallel (defect rate/class/severity/position; KPI outcomes; cascade-downtime with equipment-vs-production-stoppage minutes). Owners: ppiq_ml_refresh_feature_store_v6 (SQL) + FeatureEngineeringService + QualityLabelBuilderService. </w:t>
      </w:r>
      <w:r>
        <w:rPr>
          <w:rFonts w:ascii="Inter" w:cs="Inter" w:eastAsia="Inter" w:hAnsi="Inter"/>
          <w:b/>
          <w:bCs/>
          <w:color w:val="13202E"/>
          <w:sz w:val="21"/>
          <w:szCs w:val="21"/>
        </w:rPr>
        <w:t xml:space="preserve">Forbidden here: </w:t>
      </w:r>
      <w:r>
        <w:rPr>
          <w:rFonts w:ascii="Inter" w:cs="Inter" w:eastAsia="Inter" w:hAnsi="Inter"/>
          <w:color w:val="13202E"/>
          <w:sz w:val="21"/>
          <w:szCs w:val="21"/>
        </w:rPr>
        <w:t xml:space="preserve">correlation or ranking — L3 prepares inputs, it never measures relationships.</w:t>
      </w:r>
    </w:p>
    <w:p>
      <w:pPr>
        <w:pStyle w:val="Heading2"/>
      </w:pPr>
      <w:r>
        <w:t xml:space="preserve">2.4 Layer 4 — Correlation: the ML / statistical core</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“Which parameters are suspected contributors to this outcome — and how strongly, how reliably?” This is where “ML” actually lives: classical, transparent, inspectable statistics over the feature store — not a neural net, not an LLM.</w:t>
      </w:r>
    </w:p>
    <w:p>
      <w:pPr>
        <w:pStyle w:val="ListParagraph"/>
        <w:numPr>
          <w:ilvl w:val="0"/>
          <w:numId w:val="2"/>
        </w:numPr>
        <w:spacing w:after="80" w:line="264"/>
      </w:pPr>
      <w:r>
        <w:rPr>
          <w:rFonts w:ascii="Inter" w:cs="Inter" w:eastAsia="Inter" w:hAnsi="Inter"/>
          <w:b/>
          <w:bCs/>
          <w:color w:val="13202E"/>
          <w:sz w:val="21"/>
          <w:szCs w:val="21"/>
        </w:rPr>
        <w:t xml:space="preserve">Type-aware method selection: </w:t>
      </w:r>
      <w:r>
        <w:rPr>
          <w:rFonts w:ascii="Inter" w:cs="Inter" w:eastAsia="Inter" w:hAnsi="Inter"/>
          <w:color w:val="13202E"/>
          <w:sz w:val="21"/>
          <w:szCs w:val="21"/>
        </w:rPr>
        <w:t xml:space="preserve">Pearson (continuous, linearity-checked), Spearman (monotonic), point-biserial (continuous–binary), chi-square + Cramér’s V (categorical), mutual information (non-linear), Lasso (multivariate screen).</w:t>
      </w:r>
    </w:p>
    <w:p>
      <w:pPr>
        <w:pStyle w:val="ListParagraph"/>
        <w:numPr>
          <w:ilvl w:val="0"/>
          <w:numId w:val="2"/>
        </w:numPr>
        <w:spacing w:after="80" w:line="264"/>
      </w:pPr>
      <w:r>
        <w:rPr>
          <w:rFonts w:ascii="Inter" w:cs="Inter" w:eastAsia="Inter" w:hAnsi="Inter"/>
          <w:b/>
          <w:bCs/>
          <w:color w:val="13202E"/>
          <w:sz w:val="21"/>
          <w:szCs w:val="21"/>
        </w:rPr>
        <w:t xml:space="preserve">Validity machinery: </w:t>
      </w:r>
      <w:r>
        <w:rPr>
          <w:rFonts w:ascii="Inter" w:cs="Inter" w:eastAsia="Inter" w:hAnsi="Inter"/>
          <w:color w:val="13202E"/>
          <w:sz w:val="21"/>
          <w:szCs w:val="21"/>
        </w:rPr>
        <w:t xml:space="preserve">Benjamini-Hochberg q-values (FDR control), effect-size-first ranking, statistical power, bootstrap stability, confounding/stratification, VIF for collinearity. Effective-n is counted by independent heat.</w:t>
      </w:r>
    </w:p>
    <w:p>
      <w:pPr>
        <w:pStyle w:val="ListParagraph"/>
        <w:numPr>
          <w:ilvl w:val="0"/>
          <w:numId w:val="2"/>
        </w:numPr>
        <w:spacing w:after="80" w:line="264"/>
      </w:pPr>
      <w:r>
        <w:rPr>
          <w:rFonts w:ascii="Inter" w:cs="Inter" w:eastAsia="Inter" w:hAnsi="Inter"/>
          <w:b/>
          <w:bCs/>
          <w:color w:val="13202E"/>
          <w:sz w:val="21"/>
          <w:szCs w:val="21"/>
        </w:rPr>
        <w:t xml:space="preserve">Output: </w:t>
      </w:r>
      <w:r>
        <w:rPr>
          <w:rFonts w:ascii="Inter" w:cs="Inter" w:eastAsia="Inter" w:hAnsi="Inter"/>
          <w:color w:val="13202E"/>
          <w:sz w:val="21"/>
          <w:szCs w:val="21"/>
        </w:rPr>
        <w:t xml:space="preserve">ranked, qualified associations persisted to ml_correlation_results_v2 (outcome_key, method, effect_size, q_value, power, stability, effective_n, finding_status). Findings below power/stability thresholds are flagged, not promoted.</w:t>
      </w:r>
    </w:p>
    <w:p>
      <w:pPr>
        <w:spacing w:after="130" w:before="40" w:line="268"/>
      </w:pPr>
      <w:r>
        <w:rPr>
          <w:rFonts w:ascii="Inter" w:cs="Inter" w:eastAsia="Inter" w:hAnsi="Inter"/>
          <w:b/>
          <w:bCs/>
          <w:color w:val="13202E"/>
          <w:sz w:val="21"/>
          <w:szCs w:val="21"/>
        </w:rPr>
        <w:t xml:space="preserve">Forbidden here: </w:t>
      </w:r>
      <w:r>
        <w:rPr>
          <w:rFonts w:ascii="Inter" w:cs="Inter" w:eastAsia="Inter" w:hAnsi="Inter"/>
          <w:color w:val="13202E"/>
          <w:sz w:val="21"/>
          <w:szCs w:val="21"/>
        </w:rPr>
        <w:t xml:space="preserve">any LLM. A language model never computes, ranks or judges a correlation. The intelligence is defensible precisely because you can show the method, the sample, the effect size and the q-value behind every result. Readiness governs everything in L4–L5: MlReadinessService refuses and reschedules under-powered analyses, so the engine never emits a confident-looking result from three heats.</w:t>
      </w:r>
    </w:p>
    <w:p>
      <w:pPr>
        <w:pStyle w:val="Heading2"/>
      </w:pPr>
      <w:r>
        <w:t xml:space="preserve">2.5 Layer 5 — Reasoning: risk, inspection pages, knowledge</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“Given the suspected drivers, how risky is this unit, what does the investigation look like, and what have we learned before?”</w:t>
      </w:r>
    </w:p>
    <w:p>
      <w:pPr>
        <w:pStyle w:val="ListParagraph"/>
        <w:numPr>
          <w:ilvl w:val="0"/>
          <w:numId w:val="2"/>
        </w:numPr>
        <w:spacing w:after="80" w:line="264"/>
      </w:pPr>
      <w:r>
        <w:rPr>
          <w:rFonts w:ascii="Inter" w:cs="Inter" w:eastAsia="Inter" w:hAnsi="Inter"/>
          <w:b/>
          <w:bCs/>
          <w:color w:val="13202E"/>
          <w:sz w:val="21"/>
          <w:szCs w:val="21"/>
        </w:rPr>
        <w:t xml:space="preserve">Risk scoring — RiskScoreService: </w:t>
      </w:r>
      <w:r>
        <w:rPr>
          <w:rFonts w:ascii="Inter" w:cs="Inter" w:eastAsia="Inter" w:hAnsi="Inter"/>
          <w:color w:val="13202E"/>
          <w:sz w:val="21"/>
          <w:szCs w:val="21"/>
        </w:rPr>
        <w:t xml:space="preserve">an additive score whose contributions decompose exactly into named, signed terms; calibrated and reliability-checked, with drift monitoring and champion/challenger promotion.</w:t>
      </w:r>
    </w:p>
    <w:p>
      <w:pPr>
        <w:pStyle w:val="ListParagraph"/>
        <w:numPr>
          <w:ilvl w:val="0"/>
          <w:numId w:val="2"/>
        </w:numPr>
        <w:spacing w:after="80" w:line="264"/>
      </w:pPr>
      <w:r>
        <w:rPr>
          <w:rFonts w:ascii="Inter" w:cs="Inter" w:eastAsia="Inter" w:hAnsi="Inter"/>
          <w:b/>
          <w:bCs/>
          <w:color w:val="13202E"/>
          <w:sz w:val="21"/>
          <w:szCs w:val="21"/>
        </w:rPr>
        <w:t xml:space="preserve">Inspection → generated pages: </w:t>
      </w:r>
      <w:r>
        <w:rPr>
          <w:rFonts w:ascii="Inter" w:cs="Inter" w:eastAsia="Inter" w:hAnsi="Inter"/>
          <w:color w:val="13202E"/>
          <w:sz w:val="21"/>
          <w:szCs w:val="21"/>
        </w:rPr>
        <w:t xml:space="preserve">an operator selects an outcome and window, names the inspection, and the runner executes the analysis and auto-generates a page of widgets explaining the influential parameters — no hardcoded page.</w:t>
      </w:r>
    </w:p>
    <w:p>
      <w:pPr>
        <w:pStyle w:val="ListParagraph"/>
        <w:numPr>
          <w:ilvl w:val="0"/>
          <w:numId w:val="2"/>
        </w:numPr>
        <w:spacing w:after="80" w:line="264"/>
      </w:pPr>
      <w:r>
        <w:rPr>
          <w:rFonts w:ascii="Inter" w:cs="Inter" w:eastAsia="Inter" w:hAnsi="Inter"/>
          <w:b/>
          <w:bCs/>
          <w:color w:val="13202E"/>
          <w:sz w:val="21"/>
          <w:szCs w:val="21"/>
        </w:rPr>
        <w:t xml:space="preserve">Knowledge base — DeterministicEmbeddingProvider: </w:t>
      </w:r>
      <w:r>
        <w:rPr>
          <w:rFonts w:ascii="Inter" w:cs="Inter" w:eastAsia="Inter" w:hAnsi="Inter"/>
          <w:color w:val="13202E"/>
          <w:sz w:val="21"/>
          <w:szCs w:val="21"/>
        </w:rPr>
        <w:t xml:space="preserve">findings, saved cases and domain documents are embedded into a vector + structured store for offline-safe retrieval.</w:t>
      </w:r>
    </w:p>
    <w:p>
      <w:pPr>
        <w:pStyle w:val="Heading2"/>
      </w:pPr>
      <w:r>
        <w:t xml:space="preserve">2.6 Layer 6 — the AI Assistant: high-end suggestions</w:t>
      </w:r>
    </w:p>
    <w:p>
      <w:pPr>
        <w:spacing w:after="130" w:before="0" w:line="268"/>
      </w:pPr>
      <w:r>
        <w:rPr>
          <w:rFonts w:ascii="Inter" w:cs="Inter" w:eastAsia="Inter" w:hAnsi="Inter"/>
          <w:b/>
          <w:bCs/>
          <w:color w:val="13202E"/>
          <w:sz w:val="21"/>
          <w:szCs w:val="21"/>
        </w:rPr>
        <w:t xml:space="preserve">Answers: </w:t>
      </w:r>
      <w:r>
        <w:rPr>
          <w:rFonts w:ascii="Inter" w:cs="Inter" w:eastAsia="Inter" w:hAnsi="Inter"/>
          <w:color w:val="13202E"/>
          <w:sz w:val="21"/>
          <w:szCs w:val="21"/>
        </w:rPr>
        <w:t xml:space="preserve">“What should we actually do to cut defects and downtime and lift KPIs — and what is it worth?” The assistant has two halves.</w:t>
      </w:r>
    </w:p>
    <w:p>
      <w:pPr>
        <w:pStyle w:val="Heading3"/>
      </w:pPr>
      <w:r>
        <w:t xml:space="preserve">2.6.1 Proactive half — Suggestions &amp; Recommendations</w:t>
      </w:r>
    </w:p>
    <w:p>
      <w:pPr>
        <w:spacing w:after="130" w:before="0" w:line="268"/>
      </w:pPr>
      <w:r>
        <w:rPr>
          <w:rFonts w:ascii="Inter" w:cs="Inter" w:eastAsia="Inter" w:hAnsi="Inter"/>
          <w:color w:val="13202E"/>
          <w:sz w:val="21"/>
          <w:szCs w:val="21"/>
        </w:rPr>
        <w:t xml:space="preserve">A deterministic, rule-based engine turns validated L4/L5 findings into ranked recommendations, each carrying the suspected contributor, effect size, reliability, sample, an evidence link, and — once the value model is in place — an estimated euro opportunity. The feed is ordered by value × confidence.</w:t>
      </w:r>
    </w:p>
    <w:p>
      <w:pPr>
        <w:pStyle w:val="Heading3"/>
      </w:pPr>
      <w:r>
        <w:t xml:space="preserve">2.6.2 Conversational half — the grounded RAG agent</w:t>
      </w:r>
    </w:p>
    <w:p>
      <w:pPr>
        <w:pStyle w:val="ListParagraph"/>
        <w:numPr>
          <w:ilvl w:val="0"/>
          <w:numId w:val="2"/>
        </w:numPr>
        <w:spacing w:after="80" w:line="264"/>
      </w:pPr>
      <w:r>
        <w:rPr>
          <w:rFonts w:ascii="Inter" w:cs="Inter" w:eastAsia="Inter" w:hAnsi="Inter"/>
          <w:b/>
          <w:bCs/>
          <w:color w:val="13202E"/>
          <w:sz w:val="21"/>
          <w:szCs w:val="21"/>
        </w:rPr>
        <w:t xml:space="preserve">Retrieve: </w:t>
      </w:r>
      <w:r>
        <w:rPr>
          <w:rFonts w:ascii="Inter" w:cs="Inter" w:eastAsia="Inter" w:hAnsi="Inter"/>
          <w:color w:val="13202E"/>
          <w:sz w:val="21"/>
          <w:szCs w:val="21"/>
        </w:rPr>
        <w:t xml:space="preserve">hybrid search (semantic via the embedding provider + structured filters: area, defect class, window) selects the relevant findings and cases.</w:t>
      </w:r>
    </w:p>
    <w:p>
      <w:pPr>
        <w:pStyle w:val="ListParagraph"/>
        <w:numPr>
          <w:ilvl w:val="0"/>
          <w:numId w:val="2"/>
        </w:numPr>
        <w:spacing w:after="80" w:line="264"/>
      </w:pPr>
      <w:r>
        <w:rPr>
          <w:rFonts w:ascii="Inter" w:cs="Inter" w:eastAsia="Inter" w:hAnsi="Inter"/>
          <w:b/>
          <w:bCs/>
          <w:color w:val="13202E"/>
          <w:sz w:val="21"/>
          <w:szCs w:val="21"/>
        </w:rPr>
        <w:t xml:space="preserve">Reason with tools: </w:t>
      </w:r>
      <w:r>
        <w:rPr>
          <w:rFonts w:ascii="Inter" w:cs="Inter" w:eastAsia="Inter" w:hAnsi="Inter"/>
          <w:color w:val="13202E"/>
          <w:sz w:val="21"/>
          <w:szCs w:val="21"/>
        </w:rPr>
        <w:t xml:space="preserve">the agent calls typed tools — query findings, run an inspection, fetch a KPI, walk genealogy, compute impact — each returning structured, computed results.</w:t>
      </w:r>
    </w:p>
    <w:p>
      <w:pPr>
        <w:pStyle w:val="ListParagraph"/>
        <w:numPr>
          <w:ilvl w:val="0"/>
          <w:numId w:val="2"/>
        </w:numPr>
        <w:spacing w:after="80" w:line="264"/>
      </w:pPr>
      <w:r>
        <w:rPr>
          <w:rFonts w:ascii="Inter" w:cs="Inter" w:eastAsia="Inter" w:hAnsi="Inter"/>
          <w:b/>
          <w:bCs/>
          <w:color w:val="13202E"/>
          <w:sz w:val="21"/>
          <w:szCs w:val="21"/>
        </w:rPr>
        <w:t xml:space="preserve">Phrase: </w:t>
      </w:r>
      <w:r>
        <w:rPr>
          <w:rFonts w:ascii="Inter" w:cs="Inter" w:eastAsia="Inter" w:hAnsi="Inter"/>
          <w:color w:val="13202E"/>
          <w:sz w:val="21"/>
          <w:szCs w:val="21"/>
        </w:rPr>
        <w:t xml:space="preserve">the LLM (behind the Api/Local/Configured narrative provider) turns those structured results into clear language — and only the abstracted findings ever cross an external boundary, never raw rows or PII.</w:t>
      </w:r>
    </w:p>
    <w:p>
      <w:pPr>
        <w:pStyle w:val="ListParagraph"/>
        <w:numPr>
          <w:ilvl w:val="0"/>
          <w:numId w:val="2"/>
        </w:numPr>
        <w:spacing w:after="80" w:line="264"/>
      </w:pPr>
      <w:r>
        <w:rPr>
          <w:rFonts w:ascii="Inter" w:cs="Inter" w:eastAsia="Inter" w:hAnsi="Inter"/>
          <w:b/>
          <w:bCs/>
          <w:color w:val="13202E"/>
          <w:sz w:val="21"/>
          <w:szCs w:val="21"/>
        </w:rPr>
        <w:t xml:space="preserve">Learn: </w:t>
      </w:r>
      <w:r>
        <w:rPr>
          <w:rFonts w:ascii="Inter" w:cs="Inter" w:eastAsia="Inter" w:hAnsi="Inter"/>
          <w:color w:val="13202E"/>
          <w:sz w:val="21"/>
          <w:szCs w:val="21"/>
        </w:rPr>
        <w:t xml:space="preserve">operator feedback (useful / acted / dismissed + outcome) is written back to the knowledge base — the “experience” that compounds while the model stays stateless.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The line you can point to in a customer security review</w:t>
            </w:r>
          </w:p>
          <w:p>
            <w:pPr>
              <w:spacing w:after="30" w:line="258"/>
            </w:pPr>
            <w:r>
              <w:rPr>
                <w:rFonts w:ascii="Inter" w:cs="Inter" w:eastAsia="Inter" w:hAnsi="Inter"/>
                <w:color w:val="EAF6FF"/>
                <w:sz w:val="19"/>
                <w:szCs w:val="19"/>
              </w:rPr>
              <w:t xml:space="preserve">Exactly one component may use a language model — the narrative providers — and its job is phrasing, not computation. Everything that produces a number is deterministic SQL or C#. That single fact is the strongest answer to “is your AI a black box?” — no, and here is the table.</w:t>
            </w:r>
          </w:p>
        </w:tc>
      </w:tr>
    </w:tbl>
    <w:p>
      <w:pPr>
        <w:pStyle w:val="Heading2"/>
      </w:pPr>
      <w:r>
        <w:t xml:space="preserve">2.7 Component responsibility matrix</w:t>
      </w:r>
    </w:p>
    <w:p>
      <w:pPr>
        <w:spacing w:after="130" w:before="0" w:line="268"/>
      </w:pPr>
      <w:r>
        <w:rPr>
          <w:rFonts w:ascii="Inter" w:cs="Inter" w:eastAsia="Inter" w:hAnsi="Inter"/>
          <w:color w:val="13202E"/>
          <w:sz w:val="21"/>
          <w:szCs w:val="21"/>
        </w:rPr>
        <w:t xml:space="preserve">Every component in the intelligence path, what it owns, where it runs, and whether it may use a language model. Exactly one row may — for phrasing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60"/>
        <w:gridCol w:w="980"/>
        <w:gridCol w:w="3300"/>
        <w:gridCol w:w="1620"/>
      </w:tblGrid>
      <w:tr>
        <w:trPr>
          <w:tblHeader/>
        </w:trPr>
        <w:tc>
          <w:tcPr>
            <w:tcW w:type="dxa" w:w="27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Component</w:t>
            </w:r>
          </w:p>
        </w:tc>
        <w:tc>
          <w:tcPr>
            <w:tcW w:type="dxa" w:w="7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Layer</w:t>
            </w:r>
          </w:p>
        </w:tc>
        <w:tc>
          <w:tcPr>
            <w:tcW w:type="dxa" w:w="9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Runs in</w:t>
            </w:r>
          </w:p>
        </w:tc>
        <w:tc>
          <w:tcPr>
            <w:tcW w:type="dxa" w:w="33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Owns</w:t>
            </w:r>
          </w:p>
        </w:tc>
        <w:tc>
          <w:tcPr>
            <w:tcW w:type="dxa" w:w="16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LLM?</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Connectors (×6) + factory</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L1</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Infra</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Read each source; typed, bounded failures</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DeltaImportExecutionService</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L1</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Infra</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Resumable, zero-duplicate delta import</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MappingExecutionService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L1</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Project dumps → canonical; genealogy</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SafeSqlValidator</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L1/L2</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Block DDL / cross-tenant / injection</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DashboardWidgetQueryService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L2</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Run widget queries; aggregation/sort/filter</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WidgetQueryExpressionService</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L2</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Compile per-widget expression → safe SQL</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ppiq_ml_refresh_feature_store_v6</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L3</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Postgres</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Build multi-grain feature store</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FeatureEngineeringService</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L3</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Derived metallurgy features</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QualityLabelBuilderService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L3</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Outcome labels (defect/KPI/downtime)</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204_ml_learning_core (SQL)</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L4</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Postgres</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Statistical sweep + FDR + effect size</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CorrelationService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L4</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Orchestrate sweeps; assemble results</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MlReadinessService</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L4/L5</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Readiness gate before any learning/score</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RiskScoreService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L5</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Additive, decomposable risk score</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DeterministicEmbeddingProvider</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L5/L6</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Offline-safe embeddings for retrieval</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Suggestion engine</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L6</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Rank findings → evidence-linked advice</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No (rules)</w:t>
            </w:r>
          </w:p>
        </w:tc>
      </w:tr>
      <w:tr>
        <w:tc>
          <w:tcPr>
            <w:tcW w:type="dxa" w:w="27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RAG agent + tools</w:t>
            </w:r>
          </w:p>
        </w:tc>
        <w:tc>
          <w:tcPr>
            <w:tcW w:type="dxa" w:w="7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L6</w:t>
            </w:r>
          </w:p>
        </w:tc>
        <w:tc>
          <w:tcPr>
            <w:tcW w:type="dxa" w:w="9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App</w:t>
            </w:r>
          </w:p>
        </w:tc>
        <w:tc>
          <w:tcPr>
            <w:tcW w:type="dxa" w:w="3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Retrieve + call typed tools + ground</w:t>
            </w:r>
          </w:p>
        </w:tc>
        <w:tc>
          <w:tcPr>
            <w:tcW w:type="dxa" w:w="1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FFB020"/>
                <w:sz w:val="18"/>
                <w:szCs w:val="18"/>
              </w:rPr>
              <w:t xml:space="preserve">Orchestrates</w:t>
            </w:r>
          </w:p>
        </w:tc>
      </w:tr>
      <w:tr>
        <w:tc>
          <w:tcPr>
            <w:tcW w:type="dxa" w:w="2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Narrative providers (Api/Local/Configured)</w:t>
            </w:r>
          </w:p>
        </w:tc>
        <w:tc>
          <w:tcPr>
            <w:tcW w:type="dxa" w:w="7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13202E"/>
                <w:sz w:val="18"/>
                <w:szCs w:val="18"/>
              </w:rPr>
              <w:t xml:space="preserve">L6</w:t>
            </w:r>
          </w:p>
        </w:tc>
        <w:tc>
          <w:tcPr>
            <w:tcW w:type="dxa" w:w="9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color w:val="8EA7C1"/>
                <w:sz w:val="18"/>
                <w:szCs w:val="18"/>
              </w:rPr>
              <w:t xml:space="preserve">Infra</w:t>
            </w:r>
          </w:p>
        </w:tc>
        <w:tc>
          <w:tcPr>
            <w:tcW w:type="dxa" w:w="3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Phrase structured results as language</w:t>
            </w:r>
          </w:p>
        </w:tc>
        <w:tc>
          <w:tcPr>
            <w:tcW w:type="dxa" w:w="1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FF4D6D"/>
                <w:sz w:val="18"/>
                <w:szCs w:val="18"/>
              </w:rPr>
              <w:t xml:space="preserve">Yes — voice</w:t>
            </w:r>
          </w:p>
        </w:tc>
      </w:tr>
    </w:tbl>
    <w:p>
      <w:pPr>
        <w:pStyle w:val="Heading2"/>
      </w:pPr>
      <w:r>
        <w:t xml:space="preserve">2.8 The widget &amp; SQL engine</w:t>
      </w:r>
    </w:p>
    <w:p>
      <w:pPr>
        <w:spacing w:after="130" w:before="0" w:line="268"/>
      </w:pPr>
      <w:r>
        <w:rPr>
          <w:rFonts w:ascii="Inter" w:cs="Inter" w:eastAsia="Inter" w:hAnsi="Inter"/>
          <w:color w:val="13202E"/>
          <w:sz w:val="21"/>
          <w:szCs w:val="21"/>
        </w:rPr>
        <w:t xml:space="preserve">A generic product cannot ship a bespoke endpoint per chart, so a widget carries its own query logic — safely. The expression gives infinite flexibility; the compile-and-validate pipeline gives zero unsafe SQL. (The administrator-facing design of this engine is in Part 3.7.)</w:t>
      </w:r>
    </w:p>
    <w:p>
      <w:pPr>
        <w:spacing w:after="130" w:before="0" w:line="268"/>
      </w:pPr>
      <w:r>
        <w:rPr>
          <w:rFonts w:ascii="Inter" w:cs="Inter" w:eastAsia="Inter" w:hAnsi="Inter"/>
          <w:b/>
          <w:bCs/>
          <w:color w:val="13202E"/>
          <w:sz w:val="21"/>
          <w:szCs w:val="21"/>
        </w:rPr>
        <w:t xml:space="preserve">Compile-and-guard: </w:t>
      </w:r>
      <w:r>
        <w:rPr>
          <w:rFonts w:ascii="Inter" w:cs="Inter" w:eastAsia="Inter" w:hAnsi="Inter"/>
          <w:color w:val="13202E"/>
          <w:sz w:val="21"/>
          <w:szCs w:val="21"/>
        </w:rPr>
        <w:t xml:space="preserve">Author → Compile (WidgetQueryExpressionService turns the expression + binding into a parameterized query, never string-concatenated) → Validate (the safety registry + SafeSqlValidator reject DDL, multiple statements and cross-tenant references at preview AND save AND execute; typed errors: NoSuchView / NoSuchColumn / InvalidAggregateForType) → Execute &amp; render (parameterized query runs with a timeout and row cap; results render as an interactive chart/table/heat map).</w:t>
      </w:r>
    </w:p>
    <w:p>
      <w:pPr>
        <w:pStyle w:val="Heading2"/>
      </w:pPr>
      <w:r>
        <w:t xml:space="preserve">2.9 The value model — proving the money</w:t>
      </w:r>
    </w:p>
    <w:p>
      <w:pPr>
        <w:spacing w:after="130" w:before="0" w:line="268"/>
      </w:pPr>
      <w:r>
        <w:rPr>
          <w:rFonts w:ascii="Inter" w:cs="Inter" w:eastAsia="Inter" w:hAnsi="Inter"/>
          <w:color w:val="13202E"/>
          <w:sz w:val="21"/>
          <w:szCs w:val="21"/>
        </w:rPr>
        <w:t xml:space="preserve">A customer buys when they can see the number. PPIQ never promises a guaranteed saving — it presents an evidence-based opportunity: “this suspected contributor is associated with X% of this defect at this effect size and reliability; closing it is worth approximately € Y/month at your volumes.” The customer supplies the cost inputs; PPIQ supplies the linkage and the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80"/>
        <w:gridCol w:w="4280"/>
      </w:tblGrid>
      <w:tr>
        <w:trPr>
          <w:tblHeader/>
        </w:trPr>
        <w:tc>
          <w:tcPr>
            <w:tcW w:type="dxa" w:w="17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Lever</w:t>
            </w:r>
          </w:p>
        </w:tc>
        <w:tc>
          <w:tcPr>
            <w:tcW w:type="dxa" w:w="33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What PPIQ surfaces</w:t>
            </w:r>
          </w:p>
        </w:tc>
        <w:tc>
          <w:tcPr>
            <w:tcW w:type="dxa" w:w="42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How it converts to money</w:t>
            </w:r>
          </w:p>
        </w:tc>
      </w:tr>
      <w:tr>
        <w:tc>
          <w:tcPr>
            <w:tcW w:type="dxa" w:w="17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Quality / defects</w:t>
            </w:r>
          </w:p>
        </w:tc>
        <w:tc>
          <w:tcPr>
            <w:tcW w:type="dxa" w:w="338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Suspected process contributors to each defect class, ranked by effect size.</w:t>
            </w:r>
          </w:p>
        </w:tc>
        <w:tc>
          <w:tcPr>
            <w:tcW w:type="dxa" w:w="4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Fewer defective coils → less downgrade/scrap/rework; each avoided defect = recovered prime value per ton.</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Downtime</w:t>
            </w:r>
          </w:p>
        </w:tc>
        <w:tc>
          <w:tcPr>
            <w:tcW w:type="dxa" w:w="3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Process conditions associated with production-stoppage (not just equipment-stoppage) minutes.</w:t>
            </w:r>
          </w:p>
        </w:tc>
        <w:tc>
          <w:tcPr>
            <w:tcW w:type="dxa" w:w="4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Each avoided production-stoppage hour = recovered throughput × contribution margin per ton.</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Productivity</w:t>
            </w:r>
          </w:p>
        </w:tc>
        <w:tc>
          <w:tcPr>
            <w:tcW w:type="dxa" w:w="3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Parameters associated with throughput/yield KPIs; bottleneck patterns by line × shift.</w:t>
            </w:r>
          </w:p>
        </w:tc>
        <w:tc>
          <w:tcPr>
            <w:tcW w:type="dxa" w:w="4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Higher prime yield and uptime → more saleable tons from the same inputs.</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Loss / waste</w:t>
            </w:r>
          </w:p>
        </w:tc>
        <w:tc>
          <w:tcPr>
            <w:tcW w:type="dxa" w:w="33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Energy-per-ton and additive-usage outliers correlated with conditions.</w:t>
            </w:r>
          </w:p>
        </w:tc>
        <w:tc>
          <w:tcPr>
            <w:tcW w:type="dxa" w:w="4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Tighter operating windows → lower energy and consumable cost per ton.</w:t>
            </w:r>
          </w:p>
        </w:tc>
      </w:tr>
    </w:tbl>
    <w:p>
      <w:pPr>
        <w:spacing w:after="130" w:before="40" w:line="268"/>
      </w:pPr>
      <w:r>
        <w:rPr>
          <w:rFonts w:ascii="Inter" w:cs="Inter" w:eastAsia="Inter" w:hAnsi="Inter"/>
          <w:b/>
          <w:bCs/>
          <w:color w:val="13202E"/>
          <w:sz w:val="21"/>
          <w:szCs w:val="21"/>
        </w:rPr>
        <w:t xml:space="preserve">At demo scale </w:t>
      </w:r>
      <w:r>
        <w:rPr>
          <w:rFonts w:ascii="Inter" w:cs="Inter" w:eastAsia="Inter" w:hAnsi="Inter"/>
          <w:color w:val="13202E"/>
          <w:sz w:val="21"/>
          <w:szCs w:val="21"/>
        </w:rPr>
        <w:t xml:space="preserve">(~630 heats/month, ~160 t/heat ≈ 100,000 t/month, ~5,600 coils/month), each lever is small in percent and large in euros: cut a surface-defect class 20%, avoid two production-stoppage hours, lift prime yield half a point, trim energy/ton 1% — each is a material number, and several compound. Against a license fee, payback is typically a single avoided incident. PPIQ’s job is to make that case visible and auditable, not to assert it. Presentation is always evidence-first, always on the customer’s own cost inputs, always ranked by value × confidence, and never a promise.</w:t>
      </w:r>
    </w:p>
    <w:p>
      <w:pPr>
        <w:pStyle w:val="Heading2"/>
      </w:pPr>
      <w:r>
        <w:t xml:space="preserve">2.10 AI/ML design principles</w:t>
      </w:r>
    </w:p>
    <w:p>
      <w:pPr>
        <w:pStyle w:val="ListParagraph"/>
        <w:numPr>
          <w:ilvl w:val="0"/>
          <w:numId w:val="2"/>
        </w:numPr>
        <w:spacing w:after="80" w:line="264"/>
      </w:pPr>
      <w:r>
        <w:rPr>
          <w:rFonts w:ascii="Inter" w:cs="Inter" w:eastAsia="Inter" w:hAnsi="Inter"/>
          <w:b/>
          <w:bCs/>
          <w:color w:val="102A43"/>
          <w:sz w:val="21"/>
          <w:szCs w:val="21"/>
        </w:rPr>
        <w:t xml:space="preserve">1. Deterministic compute, generative narration only. </w:t>
      </w:r>
      <w:r>
        <w:rPr>
          <w:rFonts w:ascii="Inter" w:cs="Inter" w:eastAsia="Inter" w:hAnsi="Inter"/>
          <w:color w:val="13202E"/>
          <w:sz w:val="21"/>
          <w:szCs w:val="21"/>
        </w:rPr>
        <w:t xml:space="preserve">Numbers come from SQL and C#. The LLM phrases; it never computes.</w:t>
      </w:r>
    </w:p>
    <w:p>
      <w:pPr>
        <w:pStyle w:val="ListParagraph"/>
        <w:numPr>
          <w:ilvl w:val="0"/>
          <w:numId w:val="2"/>
        </w:numPr>
        <w:spacing w:after="80" w:line="264"/>
      </w:pPr>
      <w:r>
        <w:rPr>
          <w:rFonts w:ascii="Inter" w:cs="Inter" w:eastAsia="Inter" w:hAnsi="Inter"/>
          <w:b/>
          <w:bCs/>
          <w:color w:val="102A43"/>
          <w:sz w:val="21"/>
          <w:szCs w:val="21"/>
        </w:rPr>
        <w:t xml:space="preserve">2. Every finding is qualified. </w:t>
      </w:r>
      <w:r>
        <w:rPr>
          <w:rFonts w:ascii="Inter" w:cs="Inter" w:eastAsia="Inter" w:hAnsi="Inter"/>
          <w:color w:val="13202E"/>
          <w:sz w:val="21"/>
          <w:szCs w:val="21"/>
        </w:rPr>
        <w:t xml:space="preserve">Effective-n (by heat), q-value (FDR), effect size, stability, and an evidence link — or it is not shown.</w:t>
      </w:r>
    </w:p>
    <w:p>
      <w:pPr>
        <w:pStyle w:val="ListParagraph"/>
        <w:numPr>
          <w:ilvl w:val="0"/>
          <w:numId w:val="2"/>
        </w:numPr>
        <w:spacing w:after="80" w:line="264"/>
      </w:pPr>
      <w:r>
        <w:rPr>
          <w:rFonts w:ascii="Inter" w:cs="Inter" w:eastAsia="Inter" w:hAnsi="Inter"/>
          <w:b/>
          <w:bCs/>
          <w:color w:val="102A43"/>
          <w:sz w:val="21"/>
          <w:szCs w:val="21"/>
        </w:rPr>
        <w:t xml:space="preserve">3. Readiness gates inference. </w:t>
      </w:r>
      <w:r>
        <w:rPr>
          <w:rFonts w:ascii="Inter" w:cs="Inter" w:eastAsia="Inter" w:hAnsi="Inter"/>
          <w:color w:val="13202E"/>
          <w:sz w:val="21"/>
          <w:szCs w:val="21"/>
        </w:rPr>
        <w:t xml:space="preserve">Under-powered data yields no confident result; it reschedules with backoff.</w:t>
      </w:r>
    </w:p>
    <w:p>
      <w:pPr>
        <w:pStyle w:val="ListParagraph"/>
        <w:numPr>
          <w:ilvl w:val="0"/>
          <w:numId w:val="2"/>
        </w:numPr>
        <w:spacing w:after="80" w:line="264"/>
      </w:pPr>
      <w:r>
        <w:rPr>
          <w:rFonts w:ascii="Inter" w:cs="Inter" w:eastAsia="Inter" w:hAnsi="Inter"/>
          <w:b/>
          <w:bCs/>
          <w:color w:val="102A43"/>
          <w:sz w:val="21"/>
          <w:szCs w:val="21"/>
        </w:rPr>
        <w:t xml:space="preserve">4. Descriptive and inferential are separate layers. </w:t>
      </w:r>
      <w:r>
        <w:rPr>
          <w:rFonts w:ascii="Inter" w:cs="Inter" w:eastAsia="Inter" w:hAnsi="Inter"/>
          <w:color w:val="13202E"/>
          <w:sz w:val="21"/>
          <w:szCs w:val="21"/>
        </w:rPr>
        <w:t xml:space="preserve">Charts state facts; only the correlation engine speaks of association.</w:t>
      </w:r>
    </w:p>
    <w:p>
      <w:pPr>
        <w:pStyle w:val="ListParagraph"/>
        <w:numPr>
          <w:ilvl w:val="0"/>
          <w:numId w:val="2"/>
        </w:numPr>
        <w:spacing w:after="80" w:line="264"/>
      </w:pPr>
      <w:r>
        <w:rPr>
          <w:rFonts w:ascii="Inter" w:cs="Inter" w:eastAsia="Inter" w:hAnsi="Inter"/>
          <w:b/>
          <w:bCs/>
          <w:color w:val="102A43"/>
          <w:sz w:val="21"/>
          <w:szCs w:val="21"/>
        </w:rPr>
        <w:t xml:space="preserve">5. Experience lives in the knowledge base. </w:t>
      </w:r>
      <w:r>
        <w:rPr>
          <w:rFonts w:ascii="Inter" w:cs="Inter" w:eastAsia="Inter" w:hAnsi="Inter"/>
          <w:color w:val="13202E"/>
          <w:sz w:val="21"/>
          <w:szCs w:val="21"/>
        </w:rPr>
        <w:t xml:space="preserve">Findings and feedback compound over time; the model stays stateless.</w:t>
      </w:r>
    </w:p>
    <w:p>
      <w:pPr>
        <w:pStyle w:val="ListParagraph"/>
        <w:numPr>
          <w:ilvl w:val="0"/>
          <w:numId w:val="2"/>
        </w:numPr>
        <w:spacing w:after="80" w:line="264"/>
      </w:pPr>
      <w:r>
        <w:rPr>
          <w:rFonts w:ascii="Inter" w:cs="Inter" w:eastAsia="Inter" w:hAnsi="Inter"/>
          <w:b/>
          <w:bCs/>
          <w:color w:val="102A43"/>
          <w:sz w:val="21"/>
          <w:szCs w:val="21"/>
        </w:rPr>
        <w:t xml:space="preserve">6. Air-gappable by design. </w:t>
      </w:r>
      <w:r>
        <w:rPr>
          <w:rFonts w:ascii="Inter" w:cs="Inter" w:eastAsia="Inter" w:hAnsi="Inter"/>
          <w:color w:val="13202E"/>
          <w:sz w:val="21"/>
          <w:szCs w:val="21"/>
        </w:rPr>
        <w:t xml:space="preserve">The brain needs no external service; narration is a swappable, self-hostable provider; only abstracted findings ever leave.</w:t>
      </w:r>
    </w:p>
    <w:p>
      <w:pPr>
        <w:pStyle w:val="ListParagraph"/>
        <w:numPr>
          <w:ilvl w:val="0"/>
          <w:numId w:val="2"/>
        </w:numPr>
        <w:spacing w:after="80" w:line="264"/>
      </w:pPr>
      <w:r>
        <w:rPr>
          <w:rFonts w:ascii="Inter" w:cs="Inter" w:eastAsia="Inter" w:hAnsi="Inter"/>
          <w:b/>
          <w:bCs/>
          <w:color w:val="102A43"/>
          <w:sz w:val="21"/>
          <w:szCs w:val="21"/>
        </w:rPr>
        <w:t xml:space="preserve">7. Generic, never bespoke. </w:t>
      </w:r>
      <w:r>
        <w:rPr>
          <w:rFonts w:ascii="Inter" w:cs="Inter" w:eastAsia="Inter" w:hAnsi="Inter"/>
          <w:color w:val="13202E"/>
          <w:sz w:val="21"/>
          <w:szCs w:val="21"/>
        </w:rPr>
        <w:t xml:space="preserve">Features, outcomes, KPIs and widgets are data and configuration — nothing in the engine is hardcoded to one plant.</w:t>
      </w:r>
    </w:p>
    <w:p>
      <w:pPr>
        <w:pStyle w:val="ListParagraph"/>
        <w:numPr>
          <w:ilvl w:val="0"/>
          <w:numId w:val="2"/>
        </w:numPr>
        <w:spacing w:after="80" w:line="264"/>
      </w:pPr>
      <w:r>
        <w:rPr>
          <w:rFonts w:ascii="Inter" w:cs="Inter" w:eastAsia="Inter" w:hAnsi="Inter"/>
          <w:b/>
          <w:bCs/>
          <w:color w:val="102A43"/>
          <w:sz w:val="21"/>
          <w:szCs w:val="21"/>
        </w:rPr>
        <w:t xml:space="preserve">8. Value is shown, not promised. </w:t>
      </w:r>
      <w:r>
        <w:rPr>
          <w:rFonts w:ascii="Inter" w:cs="Inter" w:eastAsia="Inter" w:hAnsi="Inter"/>
          <w:color w:val="13202E"/>
          <w:sz w:val="21"/>
          <w:szCs w:val="21"/>
        </w:rPr>
        <w:t xml:space="preserve">PPIQ links a driver to an outcome and does the arithmetic on the customer’s own costs; it never guarantees a saving.</w:t>
      </w:r>
    </w:p>
    <w:p>
      <w:r>
        <w:br w:type="page"/>
      </w:r>
    </w:p>
    <w:p>
      <w:pPr>
        <w:pStyle w:val="Heading1"/>
      </w:pPr>
      <w:r>
        <w:t xml:space="preserve">3 · The Operational Platform &amp; Administrator Experience</w:t>
      </w:r>
    </w:p>
    <w:p>
      <w:pPr>
        <w:spacing w:after="130" w:before="0" w:line="268"/>
      </w:pPr>
      <w:r>
        <w:rPr>
          <w:rFonts w:ascii="Inter" w:cs="Inter" w:eastAsia="Inter" w:hAnsi="Inter"/>
          <w:color w:val="13202E"/>
          <w:sz w:val="21"/>
          <w:szCs w:val="21"/>
        </w:rPr>
        <w:t xml:space="preserve">Part 2 is the brain. Part 3 is how a real administrator stands the brain up in a real plant — generically, safely, and without an engineer writing a line of application code. Every screen here is built so the demo can be run end-to-end from the HMI: no hardcoded pages, no bespoke endpoints (Part 7). The five areas you asked to see designed are 3.2, 3.3, 3.5, 3.6 and 3.8.</w:t>
      </w:r>
    </w:p>
    <w:p>
      <w:pPr>
        <w:pStyle w:val="Heading2"/>
      </w:pPr>
      <w:r>
        <w:t xml:space="preserve">3.1 The configuration journey — from raw plant DBs to a live dashboard</w:t>
      </w:r>
    </w:p>
    <w:p>
      <w:pPr>
        <w:spacing w:after="130" w:before="0" w:line="268"/>
      </w:pPr>
      <w:r>
        <w:rPr>
          <w:rFonts w:ascii="Inter" w:cs="Inter" w:eastAsia="Inter" w:hAnsi="Inter"/>
          <w:color w:val="13202E"/>
          <w:sz w:val="21"/>
          <w:szCs w:val="21"/>
        </w:rPr>
        <w:t xml:space="preserve">The administrator follows one linear journey. Each stage is generic (configuration, not code), each produces an auditable artifact, and each is governed by a job that the Job Monitor watches.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120"/>
        <w:gridCol w:w="3320"/>
      </w:tblGrid>
      <w:tr>
        <w:trPr>
          <w:tblHeader/>
        </w:trPr>
        <w:tc>
          <w:tcPr>
            <w:tcW w:type="dxa" w:w="6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t>
            </w:r>
          </w:p>
        </w:tc>
        <w:tc>
          <w:tcPr>
            <w:tcW w:type="dxa" w:w="23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Stage</w:t>
            </w:r>
          </w:p>
        </w:tc>
        <w:tc>
          <w:tcPr>
            <w:tcW w:type="dxa" w:w="31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What the admin does</w:t>
            </w:r>
          </w:p>
        </w:tc>
        <w:tc>
          <w:tcPr>
            <w:tcW w:type="dxa" w:w="33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Artifact produced</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w:t>
            </w:r>
          </w:p>
        </w:tc>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DB Link Configuration (3.2)</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Connect each source (MSSQL/PostgreSQL/MySQL/Oracle/Excel/CSV); choose tables; set the read rate.</w:t>
            </w:r>
          </w:p>
        </w:tc>
        <w:tc>
          <w:tcPr>
            <w:tcW w:type="dxa" w:w="33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A connection profile + an ingest job per source → a faithful private dump.</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2</w:t>
            </w:r>
          </w:p>
        </w:tc>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Schema Mapping (3.3)</w:t>
            </w:r>
          </w:p>
        </w:tc>
        <w:tc>
          <w:tcPr>
            <w:tcW w:type="dxa" w:w="31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Map dump tables into the generic canonical model; build the genealogy spine; author KPIs/views.</w:t>
            </w:r>
          </w:p>
        </w:tc>
        <w:tc>
          <w:tcPr>
            <w:tcW w:type="dxa" w:w="33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A versioned, published schema mapping (a set of SafeSql canonical views).</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3</w:t>
            </w:r>
          </w:p>
        </w:tc>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Importing Data (3.4)</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Set the refresh rate that projects dumps → the canonical app DB (the HMI ‘new data ready’ rate).</w:t>
            </w:r>
          </w:p>
        </w:tc>
        <w:tc>
          <w:tcPr>
            <w:tcW w:type="dxa" w:w="33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A refresh job per mapping → canonical rows the app reads.</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4</w:t>
            </w:r>
          </w:p>
        </w:tc>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Page &amp; Widget building (3.6–3.7)</w:t>
            </w:r>
          </w:p>
        </w:tc>
        <w:tc>
          <w:tcPr>
            <w:tcW w:type="dxa" w:w="31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Create pages; drag widgets; bind each widget to canonical data; add the optional script layer.</w:t>
            </w:r>
          </w:p>
        </w:tc>
        <w:tc>
          <w:tcPr>
            <w:tcW w:type="dxa" w:w="33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Saved pages and widget definitions (data, not code).</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5</w:t>
            </w:r>
          </w:p>
        </w:tc>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Learning &amp; inspection (Part 2 L4–L6)</w:t>
            </w:r>
          </w:p>
        </w:tc>
        <w:tc>
          <w:tcPr>
            <w:tcW w:type="dxa" w:w="31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Schedule the correlation jobs; run inspections; read suggestions.</w:t>
            </w:r>
          </w:p>
        </w:tc>
        <w:tc>
          <w:tcPr>
            <w:tcW w:type="dxa" w:w="33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Findings, generated inspection pages, ranked suggestions.</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w:t>
            </w:r>
          </w:p>
        </w:tc>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Job Monitor (3.5)</w:t>
            </w:r>
          </w:p>
        </w:tc>
        <w:tc>
          <w:tcPr>
            <w:tcW w:type="dxa" w:w="31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Watch every job above — import and ML alike — status, last run, duration, next run.</w:t>
            </w:r>
          </w:p>
        </w:tc>
        <w:tc>
          <w:tcPr>
            <w:tcW w:type="dxa" w:w="33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One operational pane over the entire platform.</w:t>
            </w:r>
          </w:p>
        </w:tc>
      </w:tr>
    </w:tbl>
    <w:p>
      <w:r>
        <w:br w:type="page"/>
      </w:r>
    </w:p>
    <w:p>
      <w:pPr>
        <w:pStyle w:val="Heading2"/>
      </w:pPr>
      <w:r>
        <w:t xml:space="preserve">3.2 Secure DB Link Configuration &amp; Credential Management</w:t>
      </w:r>
    </w:p>
    <w:p>
      <w:pPr>
        <w:spacing w:after="130" w:before="0" w:line="268"/>
      </w:pPr>
      <w:r>
        <w:rPr>
          <w:rFonts w:ascii="Inter" w:cs="Inter" w:eastAsia="Inter" w:hAnsi="Inter"/>
          <w:b/>
          <w:bCs/>
          <w:color w:val="13202E"/>
          <w:sz w:val="21"/>
          <w:szCs w:val="21"/>
        </w:rPr>
        <w:t xml:space="preserve">Goal. </w:t>
      </w:r>
      <w:r>
        <w:rPr>
          <w:rFonts w:ascii="Inter" w:cs="Inter" w:eastAsia="Inter" w:hAnsi="Inter"/>
          <w:color w:val="13202E"/>
          <w:sz w:val="21"/>
          <w:szCs w:val="21"/>
        </w:rPr>
        <w:t xml:space="preserve">Connect to any plant’s heterogeneous sources without code, set how often each is read, and hold credentials safely enough to pass an enterprise security review. This is the front door of the generic thesis: the application is installed in any plant, and every plant brings its own database types, structures and tables.</w:t>
      </w:r>
    </w:p>
    <w:p>
      <w:pPr>
        <w:pStyle w:val="Heading3"/>
      </w:pPr>
      <w:r>
        <w:t xml:space="preserve">3.2.1 Where it lives &amp; what it looks like</w:t>
      </w:r>
    </w:p>
    <w:p>
      <w:pPr>
        <w:spacing w:after="130" w:before="0" w:line="268"/>
      </w:pPr>
      <w:r>
        <w:rPr>
          <w:rFonts w:ascii="Inter" w:cs="Inter" w:eastAsia="Inter" w:hAnsi="Inter"/>
          <w:color w:val="13202E"/>
          <w:sz w:val="21"/>
          <w:szCs w:val="21"/>
        </w:rPr>
        <w:t xml:space="preserve">Admin → </w:t>
      </w:r>
      <w:r>
        <w:rPr>
          <w:rFonts w:ascii="Inter" w:cs="Inter" w:eastAsia="Inter" w:hAnsi="Inter"/>
          <w:b/>
          <w:bCs/>
          <w:color w:val="13202E"/>
          <w:sz w:val="21"/>
          <w:szCs w:val="21"/>
        </w:rPr>
        <w:t xml:space="preserve">Data Configuration</w:t>
      </w:r>
      <w:r>
        <w:rPr>
          <w:rFonts w:ascii="Inter" w:cs="Inter" w:eastAsia="Inter" w:hAnsi="Inter"/>
          <w:color w:val="13202E"/>
          <w:sz w:val="21"/>
          <w:szCs w:val="21"/>
        </w:rPr>
        <w:t xml:space="preserve"> → the </w:t>
      </w:r>
      <w:r>
        <w:rPr>
          <w:rFonts w:ascii="Inter" w:cs="Inter" w:eastAsia="Inter" w:hAnsi="Inter"/>
          <w:b/>
          <w:bCs/>
          <w:color w:val="13202E"/>
          <w:sz w:val="21"/>
          <w:szCs w:val="21"/>
        </w:rPr>
        <w:t xml:space="preserve">DB Links</w:t>
      </w:r>
      <w:r>
        <w:rPr>
          <w:rFonts w:ascii="Inter" w:cs="Inter" w:eastAsia="Inter" w:hAnsi="Inter"/>
          <w:color w:val="13202E"/>
          <w:sz w:val="21"/>
          <w:szCs w:val="21"/>
        </w:rPr>
        <w:t xml:space="preserve"> tab. The tab shows a table of configured links, each with a live health badge, and a </w:t>
      </w:r>
      <w:r>
        <w:rPr>
          <w:rFonts w:ascii="Inter" w:cs="Inter" w:eastAsia="Inter" w:hAnsi="Inter"/>
          <w:b/>
          <w:bCs/>
          <w:color w:val="13202E"/>
          <w:sz w:val="21"/>
          <w:szCs w:val="21"/>
        </w:rPr>
        <w:t xml:space="preserve">New Connection</w:t>
      </w:r>
      <w:r>
        <w:rPr>
          <w:rFonts w:ascii="Inter" w:cs="Inter" w:eastAsia="Inter" w:hAnsi="Inter"/>
          <w:color w:val="13202E"/>
          <w:sz w:val="21"/>
          <w:szCs w:val="21"/>
        </w:rPr>
        <w:t xml:space="preserve"> button that opens a guided wizard. Health badges use the brand status colors: </w:t>
      </w:r>
      <w:r>
        <w:rPr>
          <w:rFonts w:ascii="Inter" w:cs="Inter" w:eastAsia="Inter" w:hAnsi="Inter"/>
          <w:b/>
          <w:bCs/>
          <w:color w:val="2CE6A2"/>
          <w:sz w:val="21"/>
          <w:szCs w:val="21"/>
        </w:rPr>
        <w:t xml:space="preserve">Connected</w:t>
      </w:r>
      <w:r>
        <w:rPr>
          <w:rFonts w:ascii="Inter" w:cs="Inter" w:eastAsia="Inter" w:hAnsi="Inter"/>
          <w:color w:val="13202E"/>
          <w:sz w:val="21"/>
          <w:szCs w:val="21"/>
        </w:rPr>
        <w:t xml:space="preserve"> · </w:t>
      </w:r>
      <w:r>
        <w:rPr>
          <w:rFonts w:ascii="Inter" w:cs="Inter" w:eastAsia="Inter" w:hAnsi="Inter"/>
          <w:b/>
          <w:bCs/>
          <w:color w:val="FFB020"/>
          <w:sz w:val="21"/>
          <w:szCs w:val="21"/>
        </w:rPr>
        <w:t xml:space="preserve">Degraded</w:t>
      </w:r>
      <w:r>
        <w:rPr>
          <w:rFonts w:ascii="Inter" w:cs="Inter" w:eastAsia="Inter" w:hAnsi="Inter"/>
          <w:color w:val="13202E"/>
          <w:sz w:val="21"/>
          <w:szCs w:val="21"/>
        </w:rPr>
        <w:t xml:space="preserve"> · </w:t>
      </w:r>
      <w:r>
        <w:rPr>
          <w:rFonts w:ascii="Inter" w:cs="Inter" w:eastAsia="Inter" w:hAnsi="Inter"/>
          <w:b/>
          <w:bCs/>
          <w:color w:val="FF4D6D"/>
          <w:sz w:val="21"/>
          <w:szCs w:val="21"/>
        </w:rPr>
        <w:t xml:space="preserve">Unreachable</w:t>
      </w:r>
      <w:r>
        <w:rPr>
          <w:rFonts w:ascii="Inter" w:cs="Inter" w:eastAsia="Inter" w:hAnsi="Inter"/>
          <w:color w:val="13202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Wizard step</w:t>
            </w:r>
          </w:p>
        </w:tc>
        <w:tc>
          <w:tcPr>
            <w:tcW w:type="dxa" w:w="1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For</w:t>
            </w:r>
          </w:p>
        </w:tc>
        <w:tc>
          <w:tcPr>
            <w:tcW w:type="dxa" w:w="61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Detail</w:t>
            </w:r>
          </w:p>
        </w:tc>
      </w:tr>
      <w:tr>
        <w:tc>
          <w:tcPr>
            <w:tcW w:type="dxa" w:w="17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1 · Provider</w:t>
            </w:r>
          </w:p>
        </w:tc>
        <w:tc>
          <w:tcPr>
            <w:tcW w:type="dxa" w:w="15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All</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Pick one of MSSQL, PostgreSQL, MySQL, Oracle, Excel, CSV. The form adapts to the provider; the icon and default port are pre-filled.</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2 · Connection</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DB sources</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Host, port, database / service name / SID, schema, encryption mode. Oracle supports SID or service name + optional wallet; SQL Server supports instance + integrated or SQL auth.</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2 · File source</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Excel / CSV</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 watched folder or uploaded file, sheet name(s) or delimiter/encoding, header row, and a type inference preview. The file source is treated as a read-only table set.</w:t>
            </w:r>
          </w:p>
        </w:tc>
      </w:tr>
      <w:tr>
        <w:tc>
          <w:tcPr>
            <w:tcW w:type="dxa" w:w="17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3 · Credentials</w:t>
            </w:r>
          </w:p>
        </w:tc>
        <w:tc>
          <w:tcPr>
            <w:tcW w:type="dxa" w:w="15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All</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Username / password, full connection string, or key/wallet file. Write-only fields (see 3.2.3). A least-privilege, read-only account is recommended inline.</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4 · Test</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All</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 live probe returns a typed result (Connected / AuthFailed / Unreachable / TimedOut) with latency. No table is imported yet.</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5 · Discover</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All</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Browse the source catalog (schemas → tables → columns with sample rows in JetBrains Mono). Multi-select the tables to import.</w:t>
            </w:r>
          </w:p>
        </w:tc>
      </w:tr>
      <w:tr>
        <w:tc>
          <w:tcPr>
            <w:tcW w:type="dxa" w:w="17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6 · Import policy</w:t>
            </w:r>
          </w:p>
        </w:tc>
        <w:tc>
          <w:tcPr>
            <w:tcW w:type="dxa" w:w="15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Per table</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Choose the cursor/delta key (e.g. an autoincrement id or a modified-timestamp), batch size, and an optional row filter. This drives the zero-duplicate delta import.</w:t>
            </w:r>
          </w:p>
        </w:tc>
      </w:tr>
      <w:tr>
        <w:tc>
          <w:tcPr>
            <w:tcW w:type="dxa" w:w="17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7 · Schedule</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Per link</w:t>
            </w:r>
          </w:p>
        </w:tc>
        <w:tc>
          <w:tcPr>
            <w:tcW w:type="dxa" w:w="61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Set the read cycle — anywhere from every 2 minutes to every few days. This becomes a named ingest job in the Job Monitor.</w:t>
            </w:r>
          </w:p>
        </w:tc>
      </w:tr>
    </w:tbl>
    <w:p>
      <w:pPr>
        <w:pStyle w:val="Heading3"/>
      </w:pPr>
      <w:r>
        <w:t xml:space="preserve">3.2.2 The dump model &amp; delta semantics</w:t>
      </w:r>
    </w:p>
    <w:p>
      <w:pPr>
        <w:spacing w:after="130" w:before="0" w:line="268"/>
      </w:pPr>
      <w:r>
        <w:rPr>
          <w:rFonts w:ascii="Inter" w:cs="Inter" w:eastAsia="Inter" w:hAnsi="Inter"/>
          <w:color w:val="13202E"/>
          <w:sz w:val="21"/>
          <w:szCs w:val="21"/>
        </w:rPr>
        <w:t xml:space="preserve">Each configured table is mirrored into a </w:t>
      </w:r>
      <w:r>
        <w:rPr>
          <w:rFonts w:ascii="Inter" w:cs="Inter" w:eastAsia="Inter" w:hAnsi="Inter"/>
          <w:b/>
          <w:bCs/>
          <w:color w:val="13202E"/>
          <w:sz w:val="21"/>
          <w:szCs w:val="21"/>
        </w:rPr>
        <w:t xml:space="preserve">faithful private dump</w:t>
      </w:r>
      <w:r>
        <w:rPr>
          <w:rFonts w:ascii="Inter" w:cs="Inter" w:eastAsia="Inter" w:hAnsi="Inter"/>
          <w:color w:val="13202E"/>
          <w:sz w:val="21"/>
          <w:szCs w:val="21"/>
        </w:rPr>
        <w:t xml:space="preserve"> — the latest copy-state of the customer’s source, in the source’s own shape, not ours. On each cycle the engine compares the last cursor value in the dump against the source and pulls only the new rows, upserting on the delta key so re-runs are idempotent (zero duplicates) and resumable after a failure. This is exactly what DeltaImportExecutionService does today. Decoupling the dump from the canonical model (Part 3.3) is what lets mapping change without re-reading the source, and lets the source schema drift be detected rather than silently corrupting analysis.</w:t>
      </w:r>
    </w:p>
    <w:p>
      <w:pPr>
        <w:pStyle w:val="Heading3"/>
      </w:pPr>
      <w:r>
        <w:t xml:space="preserve">3.2.3 Credential management — the security contract</w:t>
      </w:r>
    </w:p>
    <w:p>
      <w:pPr>
        <w:pStyle w:val="ListParagraph"/>
        <w:numPr>
          <w:ilvl w:val="0"/>
          <w:numId w:val="2"/>
        </w:numPr>
        <w:spacing w:after="80" w:line="264"/>
      </w:pPr>
      <w:r>
        <w:rPr>
          <w:rFonts w:ascii="Inter" w:cs="Inter" w:eastAsia="Inter" w:hAnsi="Inter"/>
          <w:b/>
          <w:bCs/>
          <w:color w:val="13202E"/>
          <w:sz w:val="21"/>
          <w:szCs w:val="21"/>
        </w:rPr>
        <w:t xml:space="preserve">Encrypted at rest, never in appsettings. </w:t>
      </w:r>
      <w:r>
        <w:rPr>
          <w:rFonts w:ascii="Inter" w:cs="Inter" w:eastAsia="Inter" w:hAnsi="Inter"/>
          <w:color w:val="13202E"/>
          <w:sz w:val="21"/>
          <w:szCs w:val="21"/>
        </w:rPr>
        <w:t xml:space="preserve">Secrets are stored using envelope encryption (a per-tenant data key wrapped by a master key held in the OS/secret store or a KMS), never in plaintext and never in source-controlled configuration.</w:t>
      </w:r>
    </w:p>
    <w:p>
      <w:pPr>
        <w:pStyle w:val="ListParagraph"/>
        <w:numPr>
          <w:ilvl w:val="0"/>
          <w:numId w:val="2"/>
        </w:numPr>
        <w:spacing w:after="80" w:line="264"/>
      </w:pPr>
      <w:r>
        <w:rPr>
          <w:rFonts w:ascii="Inter" w:cs="Inter" w:eastAsia="Inter" w:hAnsi="Inter"/>
          <w:b/>
          <w:bCs/>
          <w:color w:val="13202E"/>
          <w:sz w:val="21"/>
          <w:szCs w:val="21"/>
        </w:rPr>
        <w:t xml:space="preserve">Write-only in the UI. </w:t>
      </w:r>
      <w:r>
        <w:rPr>
          <w:rFonts w:ascii="Inter" w:cs="Inter" w:eastAsia="Inter" w:hAnsi="Inter"/>
          <w:color w:val="13202E"/>
          <w:sz w:val="21"/>
          <w:szCs w:val="21"/>
        </w:rPr>
        <w:t xml:space="preserve">After save, a secret is never returned to the client — the field shows a masked placeholder and can only be replaced, not read back. This closes the most common credential-leak path.</w:t>
      </w:r>
    </w:p>
    <w:p>
      <w:pPr>
        <w:pStyle w:val="ListParagraph"/>
        <w:numPr>
          <w:ilvl w:val="0"/>
          <w:numId w:val="2"/>
        </w:numPr>
        <w:spacing w:after="80" w:line="264"/>
      </w:pPr>
      <w:r>
        <w:rPr>
          <w:rFonts w:ascii="Inter" w:cs="Inter" w:eastAsia="Inter" w:hAnsi="Inter"/>
          <w:b/>
          <w:bCs/>
          <w:color w:val="13202E"/>
          <w:sz w:val="21"/>
          <w:szCs w:val="21"/>
        </w:rPr>
        <w:t xml:space="preserve">Never logged, never echoed. </w:t>
      </w:r>
      <w:r>
        <w:rPr>
          <w:rFonts w:ascii="Inter" w:cs="Inter" w:eastAsia="Inter" w:hAnsi="Inter"/>
          <w:color w:val="13202E"/>
          <w:sz w:val="21"/>
          <w:szCs w:val="21"/>
        </w:rPr>
        <w:t xml:space="preserve">Connection strings are redacted in logs, errors and the audit trail; the Test step reports a typed status, not the raw driver message that might contain the DSN.</w:t>
      </w:r>
    </w:p>
    <w:p>
      <w:pPr>
        <w:pStyle w:val="ListParagraph"/>
        <w:numPr>
          <w:ilvl w:val="0"/>
          <w:numId w:val="2"/>
        </w:numPr>
        <w:spacing w:after="80" w:line="264"/>
      </w:pPr>
      <w:r>
        <w:rPr>
          <w:rFonts w:ascii="Inter" w:cs="Inter" w:eastAsia="Inter" w:hAnsi="Inter"/>
          <w:b/>
          <w:bCs/>
          <w:color w:val="13202E"/>
          <w:sz w:val="21"/>
          <w:szCs w:val="21"/>
        </w:rPr>
        <w:t xml:space="preserve">Least privilege, per tenant. </w:t>
      </w:r>
      <w:r>
        <w:rPr>
          <w:rFonts w:ascii="Inter" w:cs="Inter" w:eastAsia="Inter" w:hAnsi="Inter"/>
          <w:color w:val="13202E"/>
          <w:sz w:val="21"/>
          <w:szCs w:val="21"/>
        </w:rPr>
        <w:t xml:space="preserve">The recommended account is read-only; every link, dump and credential is scoped to one tenant (Part 3.8), so one plant can never read another’s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High-tech hardening built in</w:t>
            </w:r>
          </w:p>
          <w:p>
            <w:pPr>
              <w:spacing w:after="30" w:line="258"/>
            </w:pPr>
            <w:r>
              <w:rPr>
                <w:rFonts w:ascii="Inter" w:cs="Inter" w:eastAsia="Inter" w:hAnsi="Inter"/>
                <w:color w:val="EAF6FF"/>
                <w:sz w:val="19"/>
                <w:szCs w:val="19"/>
              </w:rPr>
              <w:t xml:space="preserve">Connection pooling per link with a circuit-breaker: a source that starts failing is isolated and retried with exponential backoff rather than hammered. A schema-change detector compares each source table’s column set against the last import and raises a non-blocking alert (“source changed — review affected mappings”) instead of letting a renamed column silently break analysis. A dry-run returns expected row counts before the first real pull.</w:t>
            </w:r>
          </w:p>
        </w:tc>
      </w:tr>
    </w:tbl>
    <w:p>
      <w:r>
        <w:br w:type="page"/>
      </w:r>
    </w:p>
    <w:p>
      <w:pPr>
        <w:pStyle w:val="Heading2"/>
      </w:pPr>
      <w:r>
        <w:t xml:space="preserve">3.3 The Schema Mapping Engine — UI/UX deep design</w:t>
      </w:r>
    </w:p>
    <w:p>
      <w:pPr>
        <w:spacing w:after="130" w:before="0" w:line="268"/>
      </w:pPr>
      <w:r>
        <w:rPr>
          <w:rFonts w:ascii="Inter" w:cs="Inter" w:eastAsia="Inter" w:hAnsi="Inter"/>
          <w:color w:val="13202E"/>
          <w:sz w:val="21"/>
          <w:szCs w:val="21"/>
        </w:rPr>
        <w:t xml:space="preserve">This is the screen you asked to design — “effective, advanced, professional, detailed and generic.” It is the bridge that turns a heap of vendor-specific dumps into the one canonical model the whole product reads. Get this right and everything above it (features, correlation, risk, suggestions) is automatically generic; get it wrong and the product becomes bespoke per plant.</w:t>
      </w:r>
    </w:p>
    <w:p>
      <w:pPr>
        <w:pStyle w:val="Heading3"/>
      </w:pPr>
      <w:r>
        <w:t xml:space="preserve">3.3.1 The mental model — three planes</w:t>
      </w:r>
    </w:p>
    <w:p>
      <w:pPr>
        <w:spacing w:after="130" w:before="0" w:line="268"/>
      </w:pPr>
      <w:r>
        <w:rPr>
          <w:rFonts w:ascii="Inter" w:cs="Inter" w:eastAsia="Inter" w:hAnsi="Inter"/>
          <w:color w:val="13202E"/>
          <w:sz w:val="21"/>
          <w:szCs w:val="21"/>
        </w:rPr>
        <w:t xml:space="preserve">The engine moves data across three planes. The administrator never edits the plane below; they only declare how each plane maps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Plane</w:t>
            </w:r>
          </w:p>
        </w:tc>
        <w:tc>
          <w:tcPr>
            <w:tcW w:type="dxa" w:w="30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What it holds</w:t>
            </w:r>
          </w:p>
        </w:tc>
        <w:tc>
          <w:tcPr>
            <w:tcW w:type="dxa" w:w="42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Who writes it</w:t>
            </w:r>
          </w:p>
        </w:tc>
      </w:tr>
      <w:tr>
        <w:tc>
          <w:tcPr>
            <w:tcW w:type="dxa" w:w="21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1 · Sources</w:t>
            </w:r>
          </w:p>
        </w:tc>
        <w:tc>
          <w:tcPr>
            <w:tcW w:type="dxa" w:w="30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faithful private dumps — each source table in its own vendor shape.</w:t>
            </w:r>
          </w:p>
        </w:tc>
        <w:tc>
          <w:tcPr>
            <w:tcW w:type="dxa" w:w="4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DB Link delta import (3.2). Read-only here.</w:t>
            </w:r>
          </w:p>
        </w:tc>
      </w:tr>
      <w:tr>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2 · Canonical</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generic entities: Heat, Material/Piece, Sample, ProcessParameter, Defect, Downtime, GenealogyLink, KPI — each with a grain.</w:t>
            </w:r>
          </w:p>
        </w:tc>
        <w:tc>
          <w:tcPr>
            <w:tcW w:type="dxa" w:w="4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mapping (this screen): SafeSql views projecting plane 1 → plane 2.</w:t>
            </w:r>
          </w:p>
        </w:tc>
      </w:tr>
      <w:tr>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3 · Presentation</w:t>
            </w:r>
          </w:p>
        </w:tc>
        <w:tc>
          <w:tcPr>
            <w:tcW w:type="dxa" w:w="3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KPI views and derived views consumed by widgets (L2) and features (L3).</w:t>
            </w:r>
          </w:p>
        </w:tc>
        <w:tc>
          <w:tcPr>
            <w:tcW w:type="dxa" w:w="4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The KPI/View Studio (3.3.3) on top of the canonical plane.</w:t>
            </w:r>
          </w:p>
        </w:tc>
      </w:tr>
    </w:tbl>
    <w:p>
      <w:pPr>
        <w:pStyle w:val="Heading3"/>
      </w:pPr>
      <w:r>
        <w:t xml:space="preserve">3.3.2 The Schema Configuration page — the six tabs</w:t>
      </w:r>
    </w:p>
    <w:p>
      <w:pPr>
        <w:spacing w:after="130" w:before="0" w:line="268"/>
      </w:pPr>
      <w:r>
        <w:rPr>
          <w:rFonts w:ascii="Inter" w:cs="Inter" w:eastAsia="Inter" w:hAnsi="Inter"/>
          <w:color w:val="13202E"/>
          <w:sz w:val="21"/>
          <w:szCs w:val="21"/>
        </w:rPr>
        <w:t xml:space="preserve">The page is a workspace of six tabs that move the administrator from “here is my raw data” to “here is a published, validated canonical model.”</w:t>
      </w:r>
    </w:p>
    <w:p>
      <w:pPr>
        <w:pStyle w:val="ListParagraph"/>
        <w:numPr>
          <w:ilvl w:val="0"/>
          <w:numId w:val="3"/>
        </w:numPr>
        <w:spacing w:after="80" w:line="264"/>
      </w:pPr>
      <w:r>
        <w:rPr>
          <w:rFonts w:ascii="Inter" w:cs="Inter" w:eastAsia="Inter" w:hAnsi="Inter"/>
          <w:b/>
          <w:bCs/>
          <w:color w:val="13202E"/>
          <w:sz w:val="21"/>
          <w:szCs w:val="21"/>
        </w:rPr>
        <w:t xml:space="preserve">Canonical Model. </w:t>
      </w:r>
      <w:r>
        <w:rPr>
          <w:rFonts w:ascii="Inter" w:cs="Inter" w:eastAsia="Inter" w:hAnsi="Inter"/>
          <w:color w:val="13202E"/>
          <w:sz w:val="21"/>
          <w:szCs w:val="21"/>
        </w:rPr>
        <w:t xml:space="preserve">A reference view of the target generic schema — entities, required vs optional fields, grain, units. Read-mostly, with the ability to add custom optional fields a plant needs. This is the contract the other tabs map toward.</w:t>
      </w:r>
    </w:p>
    <w:p>
      <w:pPr>
        <w:pStyle w:val="ListParagraph"/>
        <w:numPr>
          <w:ilvl w:val="0"/>
          <w:numId w:val="3"/>
        </w:numPr>
        <w:spacing w:after="80" w:line="264"/>
      </w:pPr>
      <w:r>
        <w:rPr>
          <w:rFonts w:ascii="Inter" w:cs="Inter" w:eastAsia="Inter" w:hAnsi="Inter"/>
          <w:b/>
          <w:bCs/>
          <w:color w:val="13202E"/>
          <w:sz w:val="21"/>
          <w:szCs w:val="21"/>
        </w:rPr>
        <w:t xml:space="preserve">Source Explorer. </w:t>
      </w:r>
      <w:r>
        <w:rPr>
          <w:rFonts w:ascii="Inter" w:cs="Inter" w:eastAsia="Inter" w:hAnsi="Inter"/>
          <w:color w:val="13202E"/>
          <w:sz w:val="21"/>
          <w:szCs w:val="21"/>
        </w:rPr>
        <w:t xml:space="preserve">Browse every dump (per DB link): schemas → tables → columns, each with sample rows and inferred types shown in JetBrains Mono. This is where the admin understands what they have before mapping it.</w:t>
      </w:r>
    </w:p>
    <w:p>
      <w:pPr>
        <w:pStyle w:val="ListParagraph"/>
        <w:numPr>
          <w:ilvl w:val="0"/>
          <w:numId w:val="3"/>
        </w:numPr>
        <w:spacing w:after="80" w:line="264"/>
      </w:pPr>
      <w:r>
        <w:rPr>
          <w:rFonts w:ascii="Inter" w:cs="Inter" w:eastAsia="Inter" w:hAnsi="Inter"/>
          <w:b/>
          <w:bCs/>
          <w:color w:val="13202E"/>
          <w:sz w:val="21"/>
          <w:szCs w:val="21"/>
        </w:rPr>
        <w:t xml:space="preserve">Mapping Builder — the core. </w:t>
      </w:r>
      <w:r>
        <w:rPr>
          <w:rFonts w:ascii="Inter" w:cs="Inter" w:eastAsia="Inter" w:hAnsi="Inter"/>
          <w:color w:val="13202E"/>
          <w:sz w:val="21"/>
          <w:szCs w:val="21"/>
        </w:rPr>
        <w:t xml:space="preserve">A visual-and-SQL hybrid (3.3.4). Pick a canonical entity, map source columns onto its fields with type/unit coercion, declare the key, and join across dumps. Everything compiles to a named, SafeSql-validated canonical view.</w:t>
      </w:r>
    </w:p>
    <w:p>
      <w:pPr>
        <w:pStyle w:val="ListParagraph"/>
        <w:numPr>
          <w:ilvl w:val="0"/>
          <w:numId w:val="3"/>
        </w:numPr>
        <w:spacing w:after="80" w:line="264"/>
      </w:pPr>
      <w:r>
        <w:rPr>
          <w:rFonts w:ascii="Inter" w:cs="Inter" w:eastAsia="Inter" w:hAnsi="Inter"/>
          <w:b/>
          <w:bCs/>
          <w:color w:val="13202E"/>
          <w:sz w:val="21"/>
          <w:szCs w:val="21"/>
        </w:rPr>
        <w:t xml:space="preserve">Genealogy. </w:t>
      </w:r>
      <w:r>
        <w:rPr>
          <w:rFonts w:ascii="Inter" w:cs="Inter" w:eastAsia="Inter" w:hAnsi="Inter"/>
          <w:color w:val="13202E"/>
          <w:sz w:val="21"/>
          <w:szCs w:val="21"/>
        </w:rPr>
        <w:t xml:space="preserve">Define the spine that links units across sources — heat → ladle → tundish → mould → sequence → strand → slab → coil → defect → sample. A guided builder picks the entity pair and the linking keys; the engine validates that the path is walkable and flags orphans (e.g. slabs with no parent heat).</w:t>
      </w:r>
    </w:p>
    <w:p>
      <w:pPr>
        <w:pStyle w:val="ListParagraph"/>
        <w:numPr>
          <w:ilvl w:val="0"/>
          <w:numId w:val="3"/>
        </w:numPr>
        <w:spacing w:after="80" w:line="264"/>
      </w:pPr>
      <w:r>
        <w:rPr>
          <w:rFonts w:ascii="Inter" w:cs="Inter" w:eastAsia="Inter" w:hAnsi="Inter"/>
          <w:b/>
          <w:bCs/>
          <w:color w:val="13202E"/>
          <w:sz w:val="21"/>
          <w:szCs w:val="21"/>
        </w:rPr>
        <w:t xml:space="preserve">KPI / View Studio. </w:t>
      </w:r>
      <w:r>
        <w:rPr>
          <w:rFonts w:ascii="Inter" w:cs="Inter" w:eastAsia="Inter" w:hAnsi="Inter"/>
          <w:color w:val="13202E"/>
          <w:sz w:val="21"/>
          <w:szCs w:val="21"/>
        </w:rPr>
        <w:t xml:space="preserve">Author KPIs as SafeSql views, attach each to an equipment/area and grain, tag units, and publish it both to widgets (L2) and to the feature store (L3).</w:t>
      </w:r>
    </w:p>
    <w:p>
      <w:pPr>
        <w:pStyle w:val="ListParagraph"/>
        <w:numPr>
          <w:ilvl w:val="0"/>
          <w:numId w:val="3"/>
        </w:numPr>
        <w:spacing w:after="80" w:line="264"/>
      </w:pPr>
      <w:r>
        <w:rPr>
          <w:rFonts w:ascii="Inter" w:cs="Inter" w:eastAsia="Inter" w:hAnsi="Inter"/>
          <w:b/>
          <w:bCs/>
          <w:color w:val="13202E"/>
          <w:sz w:val="21"/>
          <w:szCs w:val="21"/>
        </w:rPr>
        <w:t xml:space="preserve">Validation &amp; Publish. </w:t>
      </w:r>
      <w:r>
        <w:rPr>
          <w:rFonts w:ascii="Inter" w:cs="Inter" w:eastAsia="Inter" w:hAnsi="Inter"/>
          <w:color w:val="13202E"/>
          <w:sz w:val="21"/>
          <w:szCs w:val="21"/>
        </w:rPr>
        <w:t xml:space="preserve">Run the full pre-flight suite — referential-integrity dry-run, type/unit checks, genealogy completeness, sample-size sanity — see a health report, then publish the whole mapping as a versioned schema config that can be rolled back.</w:t>
      </w:r>
    </w:p>
    <w:p>
      <w:pPr>
        <w:pStyle w:val="Heading3"/>
      </w:pPr>
      <w:r>
        <w:t xml:space="preserve">3.3.3 Worked examples (exactly the cases from the vision)</w:t>
      </w:r>
    </w:p>
    <w:p>
      <w:pPr>
        <w:spacing w:after="130" w:before="0" w:line="268"/>
      </w:pPr>
      <w:r>
        <w:rPr>
          <w:rFonts w:ascii="Inter" w:cs="Inter" w:eastAsia="Inter" w:hAnsi="Inter"/>
          <w:b/>
          <w:bCs/>
          <w:color w:val="13202E"/>
          <w:sz w:val="21"/>
          <w:szCs w:val="21"/>
        </w:rPr>
        <w:t xml:space="preserve">Cross-source join. </w:t>
      </w:r>
      <w:r>
        <w:rPr>
          <w:rFonts w:ascii="Inter" w:cs="Inter" w:eastAsia="Inter" w:hAnsi="Inter"/>
          <w:color w:val="13202E"/>
          <w:sz w:val="21"/>
          <w:szCs w:val="21"/>
        </w:rPr>
        <w:t xml:space="preserve">Join the piece id from the HSM Oracle dump with the material id from the Parsytec surface-inspection MySQL dump, so a coil’s process history and its surface defects become one canonical Material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F4F6F8" w:val="clear"/>
            <w:tcMar>
              <w:top w:type="dxa" w:w="90"/>
              <w:left w:type="dxa" w:w="160"/>
              <w:bottom w:type="dxa" w:w="90"/>
              <w:right w:type="dxa" w:w="120"/>
            </w:tcMar>
          </w:tcPr>
          <w:p>
            <w:pPr>
              <w:spacing w:after="16" w:line="240"/>
            </w:pPr>
            <w:r>
              <w:rPr>
                <w:rFonts w:ascii="JetBrains Mono" w:cs="JetBrains Mono" w:eastAsia="JetBrains Mono" w:hAnsi="JetBrains Mono"/>
                <w:color w:val="1C3A5E"/>
                <w:sz w:val="18"/>
                <w:szCs w:val="18"/>
              </w:rPr>
              <w:t xml:space="preserve">-- Canonical view: material  (grain = coil)</w:t>
            </w:r>
          </w:p>
          <w:p>
            <w:pPr>
              <w:spacing w:after="16" w:line="240"/>
            </w:pPr>
            <w:r>
              <w:rPr>
                <w:rFonts w:ascii="JetBrains Mono" w:cs="JetBrains Mono" w:eastAsia="JetBrains Mono" w:hAnsi="JetBrains Mono"/>
                <w:color w:val="1C3A5E"/>
                <w:sz w:val="18"/>
                <w:szCs w:val="18"/>
              </w:rPr>
              <w:t xml:space="preserve">CREATE VIEW canon.material AS</w:t>
            </w:r>
          </w:p>
          <w:p>
            <w:pPr>
              <w:spacing w:after="16" w:line="240"/>
            </w:pPr>
            <w:r>
              <w:rPr>
                <w:rFonts w:ascii="JetBrains Mono" w:cs="JetBrains Mono" w:eastAsia="JetBrains Mono" w:hAnsi="JetBrains Mono"/>
                <w:color w:val="1C3A5E"/>
                <w:sz w:val="18"/>
                <w:szCs w:val="18"/>
              </w:rPr>
              <w:t xml:space="preserve">SELECT  hsm.piece_id              AS material_id,</w:t>
            </w:r>
          </w:p>
          <w:p>
            <w:pPr>
              <w:spacing w:after="16" w:line="240"/>
            </w:pPr>
            <w:r>
              <w:rPr>
                <w:rFonts w:ascii="JetBrains Mono" w:cs="JetBrains Mono" w:eastAsia="JetBrains Mono" w:hAnsi="JetBrains Mono"/>
                <w:color w:val="1C3A5E"/>
                <w:sz w:val="18"/>
                <w:szCs w:val="18"/>
              </w:rPr>
              <w:t xml:space="preserve">        hsm.heat_id               AS heat_id,</w:t>
            </w:r>
          </w:p>
          <w:p>
            <w:pPr>
              <w:spacing w:after="16" w:line="240"/>
            </w:pPr>
            <w:r>
              <w:rPr>
                <w:rFonts w:ascii="JetBrains Mono" w:cs="JetBrains Mono" w:eastAsia="JetBrains Mono" w:hAnsi="JetBrains Mono"/>
                <w:color w:val="1C3A5E"/>
                <w:sz w:val="18"/>
                <w:szCs w:val="18"/>
              </w:rPr>
              <w:t xml:space="preserve">        hsm.coil_width_mm         AS width_mm,</w:t>
            </w:r>
          </w:p>
          <w:p>
            <w:pPr>
              <w:spacing w:after="16" w:line="240"/>
            </w:pPr>
            <w:r>
              <w:rPr>
                <w:rFonts w:ascii="JetBrains Mono" w:cs="JetBrains Mono" w:eastAsia="JetBrains Mono" w:hAnsi="JetBrains Mono"/>
                <w:color w:val="1C3A5E"/>
                <w:sz w:val="18"/>
                <w:szCs w:val="18"/>
              </w:rPr>
              <w:t xml:space="preserve">        insp.defect_class         AS surface_defect_class,</w:t>
            </w:r>
          </w:p>
          <w:p>
            <w:pPr>
              <w:spacing w:after="16" w:line="240"/>
            </w:pPr>
            <w:r>
              <w:rPr>
                <w:rFonts w:ascii="JetBrains Mono" w:cs="JetBrains Mono" w:eastAsia="JetBrains Mono" w:hAnsi="JetBrains Mono"/>
                <w:color w:val="1C3A5E"/>
                <w:sz w:val="18"/>
                <w:szCs w:val="18"/>
              </w:rPr>
              <w:t xml:space="preserve">        insp.defect_severity      AS surface_defect_severity</w:t>
            </w:r>
          </w:p>
          <w:p>
            <w:pPr>
              <w:spacing w:after="16" w:line="240"/>
            </w:pPr>
            <w:r>
              <w:rPr>
                <w:rFonts w:ascii="JetBrains Mono" w:cs="JetBrains Mono" w:eastAsia="JetBrains Mono" w:hAnsi="JetBrains Mono"/>
                <w:color w:val="1C3A5E"/>
                <w:sz w:val="18"/>
                <w:szCs w:val="18"/>
              </w:rPr>
              <w:t xml:space="preserve">FROM        dump_hsm_oracle.coils       AS hsm</w:t>
            </w:r>
          </w:p>
          <w:p>
            <w:pPr>
              <w:spacing w:after="16" w:line="240"/>
            </w:pPr>
            <w:r>
              <w:rPr>
                <w:rFonts w:ascii="JetBrains Mono" w:cs="JetBrains Mono" w:eastAsia="JetBrains Mono" w:hAnsi="JetBrains Mono"/>
                <w:color w:val="1C3A5E"/>
                <w:sz w:val="18"/>
                <w:szCs w:val="18"/>
              </w:rPr>
              <w:t xml:space="preserve">LEFT JOIN   dump_parsytec_mysql.defects AS insp</w:t>
            </w:r>
          </w:p>
          <w:p>
            <w:pPr>
              <w:spacing w:after="16" w:line="240"/>
            </w:pPr>
            <w:r>
              <w:rPr>
                <w:rFonts w:ascii="JetBrains Mono" w:cs="JetBrains Mono" w:eastAsia="JetBrains Mono" w:hAnsi="JetBrains Mono"/>
                <w:color w:val="1C3A5E"/>
                <w:sz w:val="18"/>
                <w:szCs w:val="18"/>
              </w:rPr>
              <w:t xml:space="preserve">       ON   insp.material_id = hsm.piece_id;   -- the cross-vendor link</w:t>
            </w:r>
          </w:p>
        </w:tc>
      </w:tr>
    </w:tbl>
    <w:p>
      <w:pPr>
        <w:spacing w:after="130" w:before="0" w:line="268"/>
      </w:pPr>
      <w:r>
        <w:rPr>
          <w:rFonts w:ascii="Inter" w:cs="Inter" w:eastAsia="Inter" w:hAnsi="Inter"/>
          <w:b/>
          <w:bCs/>
          <w:color w:val="13202E"/>
          <w:sz w:val="21"/>
          <w:szCs w:val="21"/>
        </w:rPr>
        <w:t xml:space="preserve">KPI as a view, attached to an area. </w:t>
      </w:r>
      <w:r>
        <w:rPr>
          <w:rFonts w:ascii="Inter" w:cs="Inter" w:eastAsia="Inter" w:hAnsi="Inter"/>
          <w:color w:val="13202E"/>
          <w:sz w:val="21"/>
          <w:szCs w:val="21"/>
        </w:rPr>
        <w:t xml:space="preserve">Create an EAF energy-per-ton KPI from the MeltShop dump and attach it to the EAF area at heat grain: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F4F6F8" w:val="clear"/>
            <w:tcMar>
              <w:top w:type="dxa" w:w="90"/>
              <w:left w:type="dxa" w:w="160"/>
              <w:bottom w:type="dxa" w:w="90"/>
              <w:right w:type="dxa" w:w="120"/>
            </w:tcMar>
          </w:tcPr>
          <w:p>
            <w:pPr>
              <w:spacing w:after="16" w:line="240"/>
            </w:pPr>
            <w:r>
              <w:rPr>
                <w:rFonts w:ascii="JetBrains Mono" w:cs="JetBrains Mono" w:eastAsia="JetBrains Mono" w:hAnsi="JetBrains Mono"/>
                <w:color w:val="1C3A5E"/>
                <w:sz w:val="18"/>
                <w:szCs w:val="18"/>
              </w:rPr>
              <w:t xml:space="preserve">-- KPI view: eaf_energy_per_ton  (area = EAF, grain = heat)</w:t>
            </w:r>
          </w:p>
          <w:p>
            <w:pPr>
              <w:spacing w:after="16" w:line="240"/>
            </w:pPr>
            <w:r>
              <w:rPr>
                <w:rFonts w:ascii="JetBrains Mono" w:cs="JetBrains Mono" w:eastAsia="JetBrains Mono" w:hAnsi="JetBrains Mono"/>
                <w:color w:val="1C3A5E"/>
                <w:sz w:val="18"/>
                <w:szCs w:val="18"/>
              </w:rPr>
              <w:t xml:space="preserve">CREATE VIEW kpi.eaf_energy_per_ton AS</w:t>
            </w:r>
          </w:p>
          <w:p>
            <w:pPr>
              <w:spacing w:after="16" w:line="240"/>
            </w:pPr>
            <w:r>
              <w:rPr>
                <w:rFonts w:ascii="JetBrains Mono" w:cs="JetBrains Mono" w:eastAsia="JetBrains Mono" w:hAnsi="JetBrains Mono"/>
                <w:color w:val="1C3A5E"/>
                <w:sz w:val="18"/>
                <w:szCs w:val="18"/>
              </w:rPr>
              <w:t xml:space="preserve">SELECT  h.heat_id,</w:t>
            </w:r>
          </w:p>
          <w:p>
            <w:pPr>
              <w:spacing w:after="16" w:line="240"/>
            </w:pPr>
            <w:r>
              <w:rPr>
                <w:rFonts w:ascii="JetBrains Mono" w:cs="JetBrains Mono" w:eastAsia="JetBrains Mono" w:hAnsi="JetBrains Mono"/>
                <w:color w:val="1C3A5E"/>
                <w:sz w:val="18"/>
                <w:szCs w:val="18"/>
              </w:rPr>
              <w:t xml:space="preserve">        h.total_kwh / NULLIF(h.tap_weight_t, 0)  AS kwh_per_ton</w:t>
            </w:r>
          </w:p>
          <w:p>
            <w:pPr>
              <w:spacing w:after="16" w:line="240"/>
            </w:pPr>
            <w:r>
              <w:rPr>
                <w:rFonts w:ascii="JetBrains Mono" w:cs="JetBrains Mono" w:eastAsia="JetBrains Mono" w:hAnsi="JetBrains Mono"/>
                <w:color w:val="1C3A5E"/>
                <w:sz w:val="18"/>
                <w:szCs w:val="18"/>
              </w:rPr>
              <w:t xml:space="preserve">FROM    canon.heat AS h</w:t>
            </w:r>
          </w:p>
          <w:p>
            <w:pPr>
              <w:spacing w:after="16" w:line="240"/>
            </w:pPr>
            <w:r>
              <w:rPr>
                <w:rFonts w:ascii="JetBrains Mono" w:cs="JetBrains Mono" w:eastAsia="JetBrains Mono" w:hAnsi="JetBrains Mono"/>
                <w:color w:val="1C3A5E"/>
                <w:sz w:val="18"/>
                <w:szCs w:val="18"/>
              </w:rPr>
              <w:t xml:space="preserve">WHERE   h.area = 'EAF';</w:t>
            </w:r>
          </w:p>
        </w:tc>
      </w:tr>
    </w:tbl>
    <w:p>
      <w:pPr>
        <w:spacing w:after="130" w:before="0" w:line="268"/>
      </w:pPr>
      <w:r>
        <w:rPr>
          <w:rFonts w:ascii="Inter" w:cs="Inter" w:eastAsia="Inter" w:hAnsi="Inter"/>
          <w:b/>
          <w:bCs/>
          <w:color w:val="13202E"/>
          <w:sz w:val="21"/>
          <w:szCs w:val="21"/>
        </w:rPr>
        <w:t xml:space="preserve">Process normalization (the EAF parameter case). </w:t>
      </w:r>
      <w:r>
        <w:rPr>
          <w:rFonts w:ascii="Inter" w:cs="Inter" w:eastAsia="Inter" w:hAnsi="Inter"/>
          <w:color w:val="13202E"/>
          <w:sz w:val="21"/>
          <w:szCs w:val="21"/>
        </w:rPr>
        <w:t xml:space="preserve">Normalize the EAF’s process-parameter shape — a definition table (process_id, name) and a values table (process_id, value, heat_id) — into the canonical ProcessParameter entity, either automatically (the engine recognizes the definition/values shape) or via the same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F4F6F8" w:val="clear"/>
            <w:tcMar>
              <w:top w:type="dxa" w:w="90"/>
              <w:left w:type="dxa" w:w="160"/>
              <w:bottom w:type="dxa" w:w="90"/>
              <w:right w:type="dxa" w:w="120"/>
            </w:tcMar>
          </w:tcPr>
          <w:p>
            <w:pPr>
              <w:spacing w:after="16" w:line="240"/>
            </w:pPr>
            <w:r>
              <w:rPr>
                <w:rFonts w:ascii="JetBrains Mono" w:cs="JetBrains Mono" w:eastAsia="JetBrains Mono" w:hAnsi="JetBrains Mono"/>
                <w:color w:val="1C3A5E"/>
                <w:sz w:val="18"/>
                <w:szCs w:val="18"/>
              </w:rPr>
              <w:t xml:space="preserve">-- Canonical view: process_parameter  (grain = heat)</w:t>
            </w:r>
          </w:p>
          <w:p>
            <w:pPr>
              <w:spacing w:after="16" w:line="240"/>
            </w:pPr>
            <w:r>
              <w:rPr>
                <w:rFonts w:ascii="JetBrains Mono" w:cs="JetBrains Mono" w:eastAsia="JetBrains Mono" w:hAnsi="JetBrains Mono"/>
                <w:color w:val="1C3A5E"/>
                <w:sz w:val="18"/>
                <w:szCs w:val="18"/>
              </w:rPr>
              <w:t xml:space="preserve">CREATE VIEW canon.process_parameter AS</w:t>
            </w:r>
          </w:p>
          <w:p>
            <w:pPr>
              <w:spacing w:after="16" w:line="240"/>
            </w:pPr>
            <w:r>
              <w:rPr>
                <w:rFonts w:ascii="JetBrains Mono" w:cs="JetBrains Mono" w:eastAsia="JetBrains Mono" w:hAnsi="JetBrains Mono"/>
                <w:color w:val="1C3A5E"/>
                <w:sz w:val="18"/>
                <w:szCs w:val="18"/>
              </w:rPr>
              <w:t xml:space="preserve">SELECT  v.heat_id,</w:t>
            </w:r>
          </w:p>
          <w:p>
            <w:pPr>
              <w:spacing w:after="16" w:line="240"/>
            </w:pPr>
            <w:r>
              <w:rPr>
                <w:rFonts w:ascii="JetBrains Mono" w:cs="JetBrains Mono" w:eastAsia="JetBrains Mono" w:hAnsi="JetBrains Mono"/>
                <w:color w:val="1C3A5E"/>
                <w:sz w:val="18"/>
                <w:szCs w:val="18"/>
              </w:rPr>
              <w:t xml:space="preserve">        d.process_name            AS parameter_name,   -- 'electricity','oxygen','argon'...</w:t>
            </w:r>
          </w:p>
          <w:p>
            <w:pPr>
              <w:spacing w:after="16" w:line="240"/>
            </w:pPr>
            <w:r>
              <w:rPr>
                <w:rFonts w:ascii="JetBrains Mono" w:cs="JetBrains Mono" w:eastAsia="JetBrains Mono" w:hAnsi="JetBrains Mono"/>
                <w:color w:val="1C3A5E"/>
                <w:sz w:val="18"/>
                <w:szCs w:val="18"/>
              </w:rPr>
              <w:t xml:space="preserve">        v.value                   AS parameter_value,</w:t>
            </w:r>
          </w:p>
          <w:p>
            <w:pPr>
              <w:spacing w:after="16" w:line="240"/>
            </w:pPr>
            <w:r>
              <w:rPr>
                <w:rFonts w:ascii="JetBrains Mono" w:cs="JetBrains Mono" w:eastAsia="JetBrains Mono" w:hAnsi="JetBrains Mono"/>
                <w:color w:val="1C3A5E"/>
                <w:sz w:val="18"/>
                <w:szCs w:val="18"/>
              </w:rPr>
              <w:t xml:space="preserve">        'EAF'                     AS area</w:t>
            </w:r>
          </w:p>
          <w:p>
            <w:pPr>
              <w:spacing w:after="16" w:line="240"/>
            </w:pPr>
            <w:r>
              <w:rPr>
                <w:rFonts w:ascii="JetBrains Mono" w:cs="JetBrains Mono" w:eastAsia="JetBrains Mono" w:hAnsi="JetBrains Mono"/>
                <w:color w:val="1C3A5E"/>
                <w:sz w:val="18"/>
                <w:szCs w:val="18"/>
              </w:rPr>
              <w:t xml:space="preserve">FROM       dump_meltshop_pg.process_values      AS v</w:t>
            </w:r>
          </w:p>
          <w:p>
            <w:pPr>
              <w:spacing w:after="16" w:line="240"/>
            </w:pPr>
            <w:r>
              <w:rPr>
                <w:rFonts w:ascii="JetBrains Mono" w:cs="JetBrains Mono" w:eastAsia="JetBrains Mono" w:hAnsi="JetBrains Mono"/>
                <w:color w:val="1C3A5E"/>
                <w:sz w:val="18"/>
                <w:szCs w:val="18"/>
              </w:rPr>
              <w:t xml:space="preserve">JOIN       dump_meltshop_pg.process_definition  AS d  ON d.process_id = v.process_id;</w:t>
            </w:r>
          </w:p>
        </w:tc>
      </w:tr>
    </w:tbl>
    <w:p>
      <w:pPr>
        <w:pStyle w:val="Heading3"/>
      </w:pPr>
      <w:r>
        <w:t xml:space="preserve">3.3.4 The Mapping Builder — visual ↔ SQL round-trip</w:t>
      </w:r>
    </w:p>
    <w:p>
      <w:pPr>
        <w:spacing w:after="130" w:before="0" w:line="268"/>
      </w:pPr>
      <w:r>
        <w:rPr>
          <w:rFonts w:ascii="Inter" w:cs="Inter" w:eastAsia="Inter" w:hAnsi="Inter"/>
          <w:color w:val="13202E"/>
          <w:sz w:val="21"/>
          <w:szCs w:val="21"/>
        </w:rPr>
        <w:t xml:space="preserve">The builder serves two audiences without forking the artifact:</w:t>
      </w:r>
    </w:p>
    <w:p>
      <w:pPr>
        <w:pStyle w:val="ListParagraph"/>
        <w:numPr>
          <w:ilvl w:val="0"/>
          <w:numId w:val="2"/>
        </w:numPr>
        <w:spacing w:after="80" w:line="264"/>
      </w:pPr>
      <w:r>
        <w:rPr>
          <w:rFonts w:ascii="Inter" w:cs="Inter" w:eastAsia="Inter" w:hAnsi="Inter"/>
          <w:b/>
          <w:bCs/>
          <w:color w:val="13202E"/>
          <w:sz w:val="21"/>
          <w:szCs w:val="21"/>
        </w:rPr>
        <w:t xml:space="preserve">Visual mode (the 80%): </w:t>
      </w:r>
      <w:r>
        <w:rPr>
          <w:rFonts w:ascii="Inter" w:cs="Inter" w:eastAsia="Inter" w:hAnsi="Inter"/>
          <w:color w:val="13202E"/>
          <w:sz w:val="21"/>
          <w:szCs w:val="21"/>
        </w:rPr>
        <w:t xml:space="preserve">a three-column canvas — canonical fields on the right, source columns on the left, a join designer in the middle. Drag a source column onto a canonical field; set its type coercion, unit and an optional transform; declare the key; add a join by picking the two dumps and their keys and the join type. A “mapping confidence” hint suggests likely matches by name/type similarity (heat_id ↔ HeatID), which the user accepts or overrides — suggestions, never silent magic.</w:t>
      </w:r>
    </w:p>
    <w:p>
      <w:pPr>
        <w:pStyle w:val="ListParagraph"/>
        <w:numPr>
          <w:ilvl w:val="0"/>
          <w:numId w:val="2"/>
        </w:numPr>
        <w:spacing w:after="80" w:line="264"/>
      </w:pPr>
      <w:r>
        <w:rPr>
          <w:rFonts w:ascii="Inter" w:cs="Inter" w:eastAsia="Inter" w:hAnsi="Inter"/>
          <w:b/>
          <w:bCs/>
          <w:color w:val="13202E"/>
          <w:sz w:val="21"/>
          <w:szCs w:val="21"/>
        </w:rPr>
        <w:t xml:space="preserve">SQL mode (the 20%): </w:t>
      </w:r>
      <w:r>
        <w:rPr>
          <w:rFonts w:ascii="Inter" w:cs="Inter" w:eastAsia="Inter" w:hAnsi="Inter"/>
          <w:color w:val="13202E"/>
          <w:sz w:val="21"/>
          <w:szCs w:val="21"/>
        </w:rPr>
        <w:t xml:space="preserve">the same mapping is, underneath, a SafeSql SELECT/VIEW. Power users edit it directly with autocomplete of dump tables/columns and live validation; the visual and SQL stay in sync so a change in one updates the other.</w:t>
      </w:r>
    </w:p>
    <w:p>
      <w:pPr>
        <w:pStyle w:val="ListParagraph"/>
        <w:numPr>
          <w:ilvl w:val="0"/>
          <w:numId w:val="2"/>
        </w:numPr>
        <w:spacing w:after="80" w:line="264"/>
      </w:pPr>
      <w:r>
        <w:rPr>
          <w:rFonts w:ascii="Inter" w:cs="Inter" w:eastAsia="Inter" w:hAnsi="Inter"/>
          <w:b/>
          <w:bCs/>
          <w:color w:val="13202E"/>
          <w:sz w:val="21"/>
          <w:szCs w:val="21"/>
        </w:rPr>
        <w:t xml:space="preserve">Always guarded, always previewable: </w:t>
      </w:r>
      <w:r>
        <w:rPr>
          <w:rFonts w:ascii="Inter" w:cs="Inter" w:eastAsia="Inter" w:hAnsi="Inter"/>
          <w:color w:val="13202E"/>
          <w:sz w:val="21"/>
          <w:szCs w:val="21"/>
        </w:rPr>
        <w:t xml:space="preserve">every expression is SafeSql-validated at preview, save and publish (typed errors NoSuchView / NoSuchColumn / InvalidAggregateForType); preview shows the resulting canonical rows with provenance (which source table each value came from).</w:t>
      </w:r>
    </w:p>
    <w:p>
      <w:pPr>
        <w:pStyle w:val="Heading3"/>
      </w:pPr>
      <w:r>
        <w:t xml:space="preserve">3.3.5 Versioning, drift &amp; why nothing breaks silently</w:t>
      </w:r>
    </w:p>
    <w:p>
      <w:pPr>
        <w:spacing w:after="130" w:before="0" w:line="268"/>
      </w:pPr>
      <w:r>
        <w:rPr>
          <w:rFonts w:ascii="Inter" w:cs="Inter" w:eastAsia="Inter" w:hAnsi="Inter"/>
          <w:color w:val="13202E"/>
          <w:sz w:val="21"/>
          <w:szCs w:val="21"/>
        </w:rPr>
        <w:t xml:space="preserve">A published mapping is </w:t>
      </w:r>
      <w:r>
        <w:rPr>
          <w:rFonts w:ascii="Inter" w:cs="Inter" w:eastAsia="Inter" w:hAnsi="Inter"/>
          <w:b/>
          <w:bCs/>
          <w:color w:val="13202E"/>
          <w:sz w:val="21"/>
          <w:szCs w:val="21"/>
        </w:rPr>
        <w:t xml:space="preserve">versioned</w:t>
      </w:r>
      <w:r>
        <w:rPr>
          <w:rFonts w:ascii="Inter" w:cs="Inter" w:eastAsia="Inter" w:hAnsi="Inter"/>
          <w:color w:val="13202E"/>
          <w:sz w:val="21"/>
          <w:szCs w:val="21"/>
        </w:rPr>
        <w:t xml:space="preserve">: every change is a new revision with an author and timestamp, and any revision can be rolled back. Because the whole application reads only canonical views — never raw source columns — a source schema change cannot silently corrupt analysis. Instead the schema-change detector (3.2) marks the affected mappings </w:t>
      </w:r>
      <w:r>
        <w:rPr>
          <w:rFonts w:ascii="Inter" w:cs="Inter" w:eastAsia="Inter" w:hAnsi="Inter"/>
          <w:b/>
          <w:bCs/>
          <w:color w:val="FF4D6D"/>
          <w:sz w:val="21"/>
          <w:szCs w:val="21"/>
        </w:rPr>
        <w:t xml:space="preserve">Invalid</w:t>
      </w:r>
      <w:r>
        <w:rPr>
          <w:rFonts w:ascii="Inter" w:cs="Inter" w:eastAsia="Inter" w:hAnsi="Inter"/>
          <w:color w:val="13202E"/>
          <w:sz w:val="21"/>
          <w:szCs w:val="21"/>
        </w:rPr>
        <w:t xml:space="preserve"> and the administrator re-maps. Mapping is data and configuration, never hardcoded — which is precisely what keeps the engine generic across plants and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Design summary — the Schema Mapping Engine in one breath</w:t>
            </w:r>
          </w:p>
          <w:p>
            <w:pPr>
              <w:spacing w:after="30" w:line="258"/>
            </w:pPr>
            <w:r>
              <w:rPr>
                <w:rFonts w:ascii="Inter" w:cs="Inter" w:eastAsia="Inter" w:hAnsi="Inter"/>
                <w:color w:val="EAF6FF"/>
                <w:sz w:val="19"/>
                <w:szCs w:val="19"/>
              </w:rPr>
              <w:t xml:space="preserve">Three planes (sources → canonical → presentation); six tabs (model, explore, map, genealogy, KPI, publish); a visual↔SQL builder that is always SafeSql-guarded, always previewable with provenance, and always versioned. Visual-first for the many, SQL-power for the few, generic for every plant.</w:t>
            </w:r>
          </w:p>
        </w:tc>
      </w:tr>
    </w:tbl>
    <w:p>
      <w:pPr>
        <w:pStyle w:val="Heading2"/>
      </w:pPr>
      <w:r>
        <w:t xml:space="preserve">3.4 The Importing Data stage — dump → canonical refresh</w:t>
      </w:r>
    </w:p>
    <w:p>
      <w:pPr>
        <w:spacing w:after="130" w:before="0" w:line="268"/>
      </w:pPr>
      <w:r>
        <w:rPr>
          <w:rFonts w:ascii="Inter" w:cs="Inter" w:eastAsia="Inter" w:hAnsi="Inter"/>
          <w:color w:val="13202E"/>
          <w:sz w:val="21"/>
          <w:szCs w:val="21"/>
        </w:rPr>
        <w:t xml:space="preserve">Mapping defines </w:t>
      </w:r>
      <w:r>
        <w:rPr>
          <w:rFonts w:ascii="Inter" w:cs="Inter" w:eastAsia="Inter" w:hAnsi="Inter"/>
          <w:b/>
          <w:bCs/>
          <w:color w:val="13202E"/>
          <w:sz w:val="21"/>
          <w:szCs w:val="21"/>
        </w:rPr>
        <w:t xml:space="preserve">how</w:t>
      </w:r>
      <w:r>
        <w:rPr>
          <w:rFonts w:ascii="Inter" w:cs="Inter" w:eastAsia="Inter" w:hAnsi="Inter"/>
          <w:color w:val="13202E"/>
          <w:sz w:val="21"/>
          <w:szCs w:val="21"/>
        </w:rPr>
        <w:t xml:space="preserve"> dumps become canonical rows; the Importing Data tab defines </w:t>
      </w:r>
      <w:r>
        <w:rPr>
          <w:rFonts w:ascii="Inter" w:cs="Inter" w:eastAsia="Inter" w:hAnsi="Inter"/>
          <w:b/>
          <w:bCs/>
          <w:color w:val="13202E"/>
          <w:sz w:val="21"/>
          <w:szCs w:val="21"/>
        </w:rPr>
        <w:t xml:space="preserve">how often</w:t>
      </w:r>
      <w:r>
        <w:rPr>
          <w:rFonts w:ascii="Inter" w:cs="Inter" w:eastAsia="Inter" w:hAnsi="Inter"/>
          <w:color w:val="13202E"/>
          <w:sz w:val="21"/>
          <w:szCs w:val="21"/>
        </w:rPr>
        <w:t xml:space="preserve">. A second rate — the “HMI new-data-ready” rate — projects the dumps through the published mapping into the canonical app database. The two rates are deliberately decoupled:</w:t>
      </w:r>
    </w:p>
    <w:p>
      <w:pPr>
        <w:pStyle w:val="ListParagraph"/>
        <w:numPr>
          <w:ilvl w:val="0"/>
          <w:numId w:val="2"/>
        </w:numPr>
        <w:spacing w:after="80" w:line="264"/>
      </w:pPr>
      <w:r>
        <w:rPr>
          <w:rFonts w:ascii="Inter" w:cs="Inter" w:eastAsia="Inter" w:hAnsi="Inter"/>
          <w:b/>
          <w:bCs/>
          <w:color w:val="13202E"/>
          <w:sz w:val="21"/>
          <w:szCs w:val="21"/>
        </w:rPr>
        <w:t xml:space="preserve">Ingest rate </w:t>
      </w:r>
      <w:r>
        <w:rPr>
          <w:rFonts w:ascii="Inter" w:cs="Inter" w:eastAsia="Inter" w:hAnsi="Inter"/>
          <w:color w:val="13202E"/>
          <w:sz w:val="21"/>
          <w:szCs w:val="21"/>
        </w:rPr>
        <w:t xml:space="preserve">(source → dump), per DB link — governed by how fast the source changes and how much load the plant tolerates.</w:t>
      </w:r>
    </w:p>
    <w:p>
      <w:pPr>
        <w:pStyle w:val="ListParagraph"/>
        <w:numPr>
          <w:ilvl w:val="0"/>
          <w:numId w:val="2"/>
        </w:numPr>
        <w:spacing w:after="80" w:line="264"/>
      </w:pPr>
      <w:r>
        <w:rPr>
          <w:rFonts w:ascii="Inter" w:cs="Inter" w:eastAsia="Inter" w:hAnsi="Inter"/>
          <w:b/>
          <w:bCs/>
          <w:color w:val="13202E"/>
          <w:sz w:val="21"/>
          <w:szCs w:val="21"/>
        </w:rPr>
        <w:t xml:space="preserve">Refresh rate </w:t>
      </w:r>
      <w:r>
        <w:rPr>
          <w:rFonts w:ascii="Inter" w:cs="Inter" w:eastAsia="Inter" w:hAnsi="Inter"/>
          <w:color w:val="13202E"/>
          <w:sz w:val="21"/>
          <w:szCs w:val="21"/>
        </w:rPr>
        <w:t xml:space="preserve">(dump → canonical), per mapping/import job — governed by how fresh the dashboards need to be.</w:t>
      </w:r>
    </w:p>
    <w:p>
      <w:pPr>
        <w:spacing w:after="130" w:before="0" w:line="268"/>
      </w:pPr>
      <w:r>
        <w:rPr>
          <w:rFonts w:ascii="Inter" w:cs="Inter" w:eastAsia="Inter" w:hAnsi="Inter"/>
          <w:color w:val="13202E"/>
          <w:sz w:val="21"/>
          <w:szCs w:val="21"/>
        </w:rPr>
        <w:t xml:space="preserve">Decoupling means a heavy hourly source read never blocks a fast dashboard refresh, and a fast refresh never forces a costly source read. Each refresh is a named import job (delta, idempotent) that appears in the Job Monitor with its cycle, last run and status.</w:t>
      </w:r>
    </w:p>
    <w:p>
      <w:r>
        <w:br w:type="page"/>
      </w:r>
    </w:p>
    <w:p>
      <w:pPr>
        <w:pStyle w:val="Heading2"/>
      </w:pPr>
      <w:r>
        <w:t xml:space="preserve">3.5 The Job Monitoring Dashboard</w:t>
      </w:r>
    </w:p>
    <w:p>
      <w:pPr>
        <w:spacing w:after="130" w:before="0" w:line="268"/>
      </w:pPr>
      <w:r>
        <w:rPr>
          <w:rFonts w:ascii="Inter" w:cs="Inter" w:eastAsia="Inter" w:hAnsi="Inter"/>
          <w:b/>
          <w:bCs/>
          <w:color w:val="13202E"/>
          <w:sz w:val="21"/>
          <w:szCs w:val="21"/>
        </w:rPr>
        <w:t xml:space="preserve">Goal. </w:t>
      </w:r>
      <w:r>
        <w:rPr>
          <w:rFonts w:ascii="Inter" w:cs="Inter" w:eastAsia="Inter" w:hAnsi="Inter"/>
          <w:color w:val="13202E"/>
          <w:sz w:val="21"/>
          <w:szCs w:val="21"/>
        </w:rPr>
        <w:t xml:space="preserve">One operational pane over everything that runs on a schedule — the data-import jobs (source→dump and dump→canonical) and the ML jobs (the four learning sweeps plus inspection jobs). The administrator must, at a glance, know what ran, what is running, what failed, and what runs next.</w:t>
      </w:r>
    </w:p>
    <w:p>
      <w:pPr>
        <w:pStyle w:val="Heading3"/>
      </w:pPr>
      <w:r>
        <w:t xml:space="preserve">3.5.1 What each job row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Field</w:t>
            </w:r>
          </w:p>
        </w:tc>
        <w:tc>
          <w:tcPr>
            <w:tcW w:type="dxa" w:w="7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Detail</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Job &amp; type</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Name + kind (Source→Dump import, Dump→Canonical refresh, Correlation-learning, Inspection).</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Status</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OK, Running, Crashed, Timeout, or Skipped (under-powered) — each a brand status color.</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Last run / duration</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Datetime of the last run and how long it took (import/copy/execution time).</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Rows / scope</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Rows processed or units covered last run.</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Next run / schedule</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The cycle and the next scheduled time; or ‘manual’.</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Owner &amp; tenant</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Who configured it; which tenant it belongs to.</w:t>
            </w:r>
          </w:p>
        </w:tc>
      </w:tr>
    </w:tbl>
    <w:p>
      <w:pPr>
        <w:pStyle w:val="Heading3"/>
      </w:pPr>
      <w:r>
        <w:t xml:space="preserve">3.5.2 Status model &amp; controls</w:t>
      </w:r>
    </w:p>
    <w:p>
      <w:pPr>
        <w:spacing w:after="130" w:before="0" w:line="268"/>
      </w:pPr>
      <w:r>
        <w:rPr>
          <w:rFonts w:ascii="Inter" w:cs="Inter" w:eastAsia="Inter" w:hAnsi="Inter"/>
          <w:color w:val="13202E"/>
          <w:sz w:val="21"/>
          <w:szCs w:val="21"/>
        </w:rPr>
        <w:t xml:space="preserve">Statuses are explicit and honest: </w:t>
      </w:r>
      <w:r>
        <w:rPr>
          <w:rFonts w:ascii="Inter" w:cs="Inter" w:eastAsia="Inter" w:hAnsi="Inter"/>
          <w:b/>
          <w:bCs/>
          <w:color w:val="2CE6A2"/>
          <w:sz w:val="21"/>
          <w:szCs w:val="21"/>
        </w:rPr>
        <w:t xml:space="preserve">OK</w:t>
      </w:r>
      <w:r>
        <w:rPr>
          <w:rFonts w:ascii="Inter" w:cs="Inter" w:eastAsia="Inter" w:hAnsi="Inter"/>
          <w:color w:val="13202E"/>
          <w:sz w:val="21"/>
          <w:szCs w:val="21"/>
        </w:rPr>
        <w:t xml:space="preserve"> · </w:t>
      </w:r>
      <w:r>
        <w:rPr>
          <w:rFonts w:ascii="Inter" w:cs="Inter" w:eastAsia="Inter" w:hAnsi="Inter"/>
          <w:b/>
          <w:bCs/>
          <w:color w:val="0A84FF"/>
          <w:sz w:val="21"/>
          <w:szCs w:val="21"/>
        </w:rPr>
        <w:t xml:space="preserve">Running</w:t>
      </w:r>
      <w:r>
        <w:rPr>
          <w:rFonts w:ascii="Inter" w:cs="Inter" w:eastAsia="Inter" w:hAnsi="Inter"/>
          <w:color w:val="13202E"/>
          <w:sz w:val="21"/>
          <w:szCs w:val="21"/>
        </w:rPr>
        <w:t xml:space="preserve"> · </w:t>
      </w:r>
      <w:r>
        <w:rPr>
          <w:rFonts w:ascii="Inter" w:cs="Inter" w:eastAsia="Inter" w:hAnsi="Inter"/>
          <w:b/>
          <w:bCs/>
          <w:color w:val="FF4D6D"/>
          <w:sz w:val="21"/>
          <w:szCs w:val="21"/>
        </w:rPr>
        <w:t xml:space="preserve">Crashed</w:t>
      </w:r>
      <w:r>
        <w:rPr>
          <w:rFonts w:ascii="Inter" w:cs="Inter" w:eastAsia="Inter" w:hAnsi="Inter"/>
          <w:color w:val="13202E"/>
          <w:sz w:val="21"/>
          <w:szCs w:val="21"/>
        </w:rPr>
        <w:t xml:space="preserve"> · </w:t>
      </w:r>
      <w:r>
        <w:rPr>
          <w:rFonts w:ascii="Inter" w:cs="Inter" w:eastAsia="Inter" w:hAnsi="Inter"/>
          <w:b/>
          <w:bCs/>
          <w:color w:val="FF4D6D"/>
          <w:sz w:val="21"/>
          <w:szCs w:val="21"/>
        </w:rPr>
        <w:t xml:space="preserve">Timeout</w:t>
      </w:r>
      <w:r>
        <w:rPr>
          <w:rFonts w:ascii="Inter" w:cs="Inter" w:eastAsia="Inter" w:hAnsi="Inter"/>
          <w:color w:val="13202E"/>
          <w:sz w:val="21"/>
          <w:szCs w:val="21"/>
        </w:rPr>
        <w:t xml:space="preserve"> · </w:t>
      </w:r>
      <w:r>
        <w:rPr>
          <w:rFonts w:ascii="Inter" w:cs="Inter" w:eastAsia="Inter" w:hAnsi="Inter"/>
          <w:b/>
          <w:bCs/>
          <w:color w:val="FFB020"/>
          <w:sz w:val="21"/>
          <w:szCs w:val="21"/>
        </w:rPr>
        <w:t xml:space="preserve">Skipped</w:t>
      </w:r>
      <w:r>
        <w:rPr>
          <w:rFonts w:ascii="Inter" w:cs="Inter" w:eastAsia="Inter" w:hAnsi="Inter"/>
          <w:color w:val="13202E"/>
          <w:sz w:val="21"/>
          <w:szCs w:val="21"/>
        </w:rPr>
        <w:t xml:space="preserve">. Per-row controls: run-now, pause/disable, view logs, view the last typed error, and retry with backoff. A run timeline (a small heat-strip per job) makes a flaky job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ML governance shows here, honestly</w:t>
            </w:r>
          </w:p>
          <w:p>
            <w:pPr>
              <w:spacing w:after="30" w:line="258"/>
            </w:pPr>
            <w:r>
              <w:rPr>
                <w:rFonts w:ascii="Inter" w:cs="Inter" w:eastAsia="Inter" w:hAnsi="Inter"/>
                <w:color w:val="EAF6FF"/>
                <w:sz w:val="19"/>
                <w:szCs w:val="19"/>
              </w:rPr>
              <w:t xml:space="preserve">ML jobs are gated by MlReadinessService. When a sweep has too little independent data, the row reads Skipped — insufficient independent units and reschedules with backoff — it never reports a green ‘OK’ over three heats. The Job Monitor is therefore also the place a customer sees that the engine refuses to fake confidence.</w:t>
            </w:r>
          </w:p>
        </w:tc>
      </w:tr>
    </w:tbl>
    <w:p>
      <w:r>
        <w:br w:type="page"/>
      </w:r>
    </w:p>
    <w:p>
      <w:pPr>
        <w:pStyle w:val="Heading2"/>
      </w:pPr>
      <w:r>
        <w:t xml:space="preserve">3.6 Page Composition &amp; Drag-and-Drop</w:t>
      </w:r>
    </w:p>
    <w:p>
      <w:pPr>
        <w:spacing w:after="130" w:before="0" w:line="268"/>
      </w:pPr>
      <w:r>
        <w:rPr>
          <w:rFonts w:ascii="Inter" w:cs="Inter" w:eastAsia="Inter" w:hAnsi="Inter"/>
          <w:b/>
          <w:bCs/>
          <w:color w:val="13202E"/>
          <w:sz w:val="21"/>
          <w:szCs w:val="21"/>
        </w:rPr>
        <w:t xml:space="preserve">Goal. </w:t>
      </w:r>
      <w:r>
        <w:rPr>
          <w:rFonts w:ascii="Inter" w:cs="Inter" w:eastAsia="Inter" w:hAnsi="Inter"/>
          <w:color w:val="13202E"/>
          <w:sz w:val="21"/>
          <w:szCs w:val="21"/>
        </w:rPr>
        <w:t xml:space="preserve">Let any user build, edit and save their own pages from a library of widgets — with no developer involvement and no hardcoded page — because every plant’s CEO and process engineer want to watch different parameters, KPIs and correlations.</w:t>
      </w:r>
    </w:p>
    <w:p>
      <w:pPr>
        <w:pStyle w:val="Heading3"/>
      </w:pPr>
      <w:r>
        <w:t xml:space="preserve">3.6.1 The model</w:t>
      </w:r>
    </w:p>
    <w:p>
      <w:pPr>
        <w:spacing w:after="130" w:before="0" w:line="268"/>
      </w:pPr>
      <w:r>
        <w:rPr>
          <w:rFonts w:ascii="Inter" w:cs="Inter" w:eastAsia="Inter" w:hAnsi="Inter"/>
          <w:color w:val="13202E"/>
          <w:sz w:val="21"/>
          <w:szCs w:val="21"/>
        </w:rPr>
        <w:t xml:space="preserve">A page is a layout of widget instances stored as data. Users create, rename, duplicate, delete and share pages; each page persists with ownership and license-gated widget availability. Editing an existing page is the same surface as creating one.</w:t>
      </w:r>
    </w:p>
    <w:p>
      <w:pPr>
        <w:pStyle w:val="Heading3"/>
      </w:pPr>
      <w:r>
        <w:t xml:space="preserve">3.6.2 The widget library</w:t>
      </w:r>
    </w:p>
    <w:p>
      <w:pPr>
        <w:pStyle w:val="ListParagraph"/>
        <w:numPr>
          <w:ilvl w:val="0"/>
          <w:numId w:val="2"/>
        </w:numPr>
        <w:spacing w:after="80" w:line="264"/>
      </w:pPr>
      <w:r>
        <w:rPr>
          <w:rFonts w:ascii="Inter" w:cs="Inter" w:eastAsia="Inter" w:hAnsi="Inter"/>
          <w:b/>
          <w:bCs/>
          <w:color w:val="13202E"/>
          <w:sz w:val="21"/>
          <w:szCs w:val="21"/>
        </w:rPr>
        <w:t xml:space="preserve">Charts: </w:t>
      </w:r>
      <w:r>
        <w:rPr>
          <w:rFonts w:ascii="Inter" w:cs="Inter" w:eastAsia="Inter" w:hAnsi="Inter"/>
          <w:color w:val="13202E"/>
          <w:sz w:val="21"/>
          <w:szCs w:val="21"/>
        </w:rPr>
        <w:t xml:space="preserve">bar, line, area, scatter, table, KPI tile, and the heat map (line × shift × day).</w:t>
      </w:r>
    </w:p>
    <w:p>
      <w:pPr>
        <w:pStyle w:val="ListParagraph"/>
        <w:numPr>
          <w:ilvl w:val="0"/>
          <w:numId w:val="2"/>
        </w:numPr>
        <w:spacing w:after="80" w:line="264"/>
      </w:pPr>
      <w:r>
        <w:rPr>
          <w:rFonts w:ascii="Inter" w:cs="Inter" w:eastAsia="Inter" w:hAnsi="Inter"/>
          <w:b/>
          <w:bCs/>
          <w:color w:val="13202E"/>
          <w:sz w:val="21"/>
          <w:szCs w:val="21"/>
        </w:rPr>
        <w:t xml:space="preserve">Controls: </w:t>
      </w:r>
      <w:r>
        <w:rPr>
          <w:rFonts w:ascii="Inter" w:cs="Inter" w:eastAsia="Inter" w:hAnsi="Inter"/>
          <w:color w:val="13202E"/>
          <w:sz w:val="21"/>
          <w:szCs w:val="21"/>
        </w:rPr>
        <w:t xml:space="preserve">date-range pickers, value-list filters, multi-selects — page-level filters that drive every widget on the page.</w:t>
      </w:r>
    </w:p>
    <w:p>
      <w:pPr>
        <w:pStyle w:val="ListParagraph"/>
        <w:numPr>
          <w:ilvl w:val="0"/>
          <w:numId w:val="2"/>
        </w:numPr>
        <w:spacing w:after="80" w:line="264"/>
      </w:pPr>
      <w:r>
        <w:rPr>
          <w:rFonts w:ascii="Inter" w:cs="Inter" w:eastAsia="Inter" w:hAnsi="Inter"/>
          <w:b/>
          <w:bCs/>
          <w:color w:val="13202E"/>
          <w:sz w:val="21"/>
          <w:szCs w:val="21"/>
        </w:rPr>
        <w:t xml:space="preserve">Content: </w:t>
      </w:r>
      <w:r>
        <w:rPr>
          <w:rFonts w:ascii="Inter" w:cs="Inter" w:eastAsia="Inter" w:hAnsi="Inter"/>
          <w:color w:val="13202E"/>
          <w:sz w:val="21"/>
          <w:szCs w:val="21"/>
        </w:rPr>
        <w:t xml:space="preserve">text/markdown panels for narrative context.</w:t>
      </w:r>
    </w:p>
    <w:p>
      <w:pPr>
        <w:pStyle w:val="Heading3"/>
      </w:pPr>
      <w:r>
        <w:t xml:space="preserve">3.6.3 Drag-and-drop mechanics</w:t>
      </w:r>
    </w:p>
    <w:p>
      <w:pPr>
        <w:pStyle w:val="ListParagraph"/>
        <w:numPr>
          <w:ilvl w:val="0"/>
          <w:numId w:val="2"/>
        </w:numPr>
        <w:spacing w:after="80" w:line="264"/>
      </w:pPr>
      <w:r>
        <w:rPr>
          <w:rFonts w:ascii="Inter" w:cs="Inter" w:eastAsia="Inter" w:hAnsi="Inter"/>
          <w:b/>
          <w:bCs/>
          <w:color w:val="13202E"/>
          <w:sz w:val="21"/>
          <w:szCs w:val="21"/>
        </w:rPr>
        <w:t xml:space="preserve">A snap grid canvas: </w:t>
      </w:r>
      <w:r>
        <w:rPr>
          <w:rFonts w:ascii="Inter" w:cs="Inter" w:eastAsia="Inter" w:hAnsi="Inter"/>
          <w:color w:val="13202E"/>
          <w:sz w:val="21"/>
          <w:szCs w:val="21"/>
        </w:rPr>
        <w:t xml:space="preserve">drag a widget from the library onto the grid; it snaps to columns; drag to move, drag a handle to resize; the layout reflows. Minimize and maximize are first-class.</w:t>
      </w:r>
    </w:p>
    <w:p>
      <w:pPr>
        <w:pStyle w:val="ListParagraph"/>
        <w:numPr>
          <w:ilvl w:val="0"/>
          <w:numId w:val="2"/>
        </w:numPr>
        <w:spacing w:after="80" w:line="264"/>
      </w:pPr>
      <w:r>
        <w:rPr>
          <w:rFonts w:ascii="Inter" w:cs="Inter" w:eastAsia="Inter" w:hAnsi="Inter"/>
          <w:b/>
          <w:bCs/>
          <w:color w:val="13202E"/>
          <w:sz w:val="21"/>
          <w:szCs w:val="21"/>
        </w:rPr>
        <w:t xml:space="preserve">Responsive by construction: </w:t>
      </w:r>
      <w:r>
        <w:rPr>
          <w:rFonts w:ascii="Inter" w:cs="Inter" w:eastAsia="Inter" w:hAnsi="Inter"/>
          <w:color w:val="13202E"/>
          <w:sz w:val="21"/>
          <w:szCs w:val="21"/>
        </w:rPr>
        <w:t xml:space="preserve">the grid defines breakpoints so a page that looks right on a 27″ control-room display also reflows correctly on a laptop (Part 5 makes this a hard requirement).</w:t>
      </w:r>
    </w:p>
    <w:p>
      <w:pPr>
        <w:pStyle w:val="ListParagraph"/>
        <w:numPr>
          <w:ilvl w:val="0"/>
          <w:numId w:val="2"/>
        </w:numPr>
        <w:spacing w:after="80" w:line="264"/>
      </w:pPr>
      <w:r>
        <w:rPr>
          <w:rFonts w:ascii="Inter" w:cs="Inter" w:eastAsia="Inter" w:hAnsi="Inter"/>
          <w:b/>
          <w:bCs/>
          <w:color w:val="13202E"/>
          <w:sz w:val="21"/>
          <w:szCs w:val="21"/>
        </w:rPr>
        <w:t xml:space="preserve">Safe editing: </w:t>
      </w:r>
      <w:r>
        <w:rPr>
          <w:rFonts w:ascii="Inter" w:cs="Inter" w:eastAsia="Inter" w:hAnsi="Inter"/>
          <w:color w:val="13202E"/>
          <w:sz w:val="21"/>
          <w:szCs w:val="21"/>
        </w:rPr>
        <w:t xml:space="preserve">optimistic placement with autosave of drafts, undo/redo, and last-write-wins on concurrent edits; keyboard-accessible drag for accessibility.</w:t>
      </w:r>
    </w:p>
    <w:p>
      <w:pPr>
        <w:spacing w:after="130" w:before="0" w:line="268"/>
      </w:pPr>
      <w:r>
        <w:rPr>
          <w:rFonts w:ascii="Inter" w:cs="Inter" w:eastAsia="Inter" w:hAnsi="Inter"/>
          <w:color w:val="13202E"/>
          <w:sz w:val="21"/>
          <w:szCs w:val="21"/>
        </w:rPr>
        <w:t xml:space="preserve">Each placed widget is then bound to data and optionally scripted — which is Part 3.7.</w:t>
      </w:r>
    </w:p>
    <w:p>
      <w:pPr>
        <w:pStyle w:val="Heading2"/>
      </w:pPr>
      <w:r>
        <w:t xml:space="preserve">3.7 The Widget Script Layer — why there are not 100,000 endpoints</w:t>
      </w:r>
    </w:p>
    <w:p>
      <w:pPr>
        <w:spacing w:after="130" w:before="0" w:line="268"/>
      </w:pPr>
      <w:r>
        <w:rPr>
          <w:rFonts w:ascii="Inter" w:cs="Inter" w:eastAsia="Inter" w:hAnsi="Inter"/>
          <w:color w:val="13202E"/>
          <w:sz w:val="21"/>
          <w:szCs w:val="21"/>
        </w:rPr>
        <w:t xml:space="preserve">The vision’s sharpest engineering instinct: “I shouldn’t create an endpoint for every thing — the logic should live in the widget.” That is exactly the design. A widget carries its own query expression; one generic query endpoint serves them all.</w:t>
      </w:r>
    </w:p>
    <w:p>
      <w:pPr>
        <w:pStyle w:val="ListParagraph"/>
        <w:numPr>
          <w:ilvl w:val="0"/>
          <w:numId w:val="2"/>
        </w:numPr>
        <w:spacing w:after="80" w:line="264"/>
      </w:pPr>
      <w:r>
        <w:rPr>
          <w:rFonts w:ascii="Inter" w:cs="Inter" w:eastAsia="Inter" w:hAnsi="Inter"/>
          <w:b/>
          <w:bCs/>
          <w:color w:val="13202E"/>
          <w:sz w:val="21"/>
          <w:szCs w:val="21"/>
        </w:rPr>
        <w:t xml:space="preserve">Edit → bind: </w:t>
      </w:r>
      <w:r>
        <w:rPr>
          <w:rFonts w:ascii="Inter" w:cs="Inter" w:eastAsia="Inter" w:hAnsi="Inter"/>
          <w:color w:val="13202E"/>
          <w:sz w:val="21"/>
          <w:szCs w:val="21"/>
        </w:rPr>
        <w:t xml:space="preserve">a widget’s edit button links it to a canonical entity or KPI view and to specific value lists.</w:t>
      </w:r>
    </w:p>
    <w:p>
      <w:pPr>
        <w:pStyle w:val="ListParagraph"/>
        <w:numPr>
          <w:ilvl w:val="0"/>
          <w:numId w:val="2"/>
        </w:numPr>
        <w:spacing w:after="80" w:line="264"/>
      </w:pPr>
      <w:r>
        <w:rPr>
          <w:rFonts w:ascii="Inter" w:cs="Inter" w:eastAsia="Inter" w:hAnsi="Inter"/>
          <w:b/>
          <w:bCs/>
          <w:color w:val="13202E"/>
          <w:sz w:val="21"/>
          <w:szCs w:val="21"/>
        </w:rPr>
        <w:t xml:space="preserve">The script layer: </w:t>
      </w:r>
      <w:r>
        <w:rPr>
          <w:rFonts w:ascii="Inter" w:cs="Inter" w:eastAsia="Inter" w:hAnsi="Inter"/>
          <w:color w:val="13202E"/>
          <w:sz w:val="21"/>
          <w:szCs w:val="21"/>
        </w:rPr>
        <w:t xml:space="preserve">an expression captures grouping, aggregation, filtering and time-bucketing — e.g. “defect rate grouped by shift, last 30 days.”</w:t>
      </w:r>
    </w:p>
    <w:p>
      <w:pPr>
        <w:pStyle w:val="ListParagraph"/>
        <w:numPr>
          <w:ilvl w:val="0"/>
          <w:numId w:val="2"/>
        </w:numPr>
        <w:spacing w:after="80" w:line="264"/>
      </w:pPr>
      <w:r>
        <w:rPr>
          <w:rFonts w:ascii="Inter" w:cs="Inter" w:eastAsia="Inter" w:hAnsi="Inter"/>
          <w:b/>
          <w:bCs/>
          <w:color w:val="13202E"/>
          <w:sz w:val="21"/>
          <w:szCs w:val="21"/>
        </w:rPr>
        <w:t xml:space="preserve">Compile-and-guard (shared with L2, Part 2.8): </w:t>
      </w:r>
      <w:r>
        <w:rPr>
          <w:rFonts w:ascii="Inter" w:cs="Inter" w:eastAsia="Inter" w:hAnsi="Inter"/>
          <w:color w:val="13202E"/>
          <w:sz w:val="21"/>
          <w:szCs w:val="21"/>
        </w:rPr>
        <w:t xml:space="preserve">WidgetQueryExpressionService compiles the expression to a parameterized query; the safety registry + SafeSqlValidator reject anything unsafe at preview, save and execute; the query runs with a timeout and row cap.</w:t>
      </w:r>
    </w:p>
    <w:p>
      <w:pPr>
        <w:spacing w:after="130" w:before="0" w:line="268"/>
      </w:pPr>
      <w:r>
        <w:rPr>
          <w:rFonts w:ascii="Inter" w:cs="Inter" w:eastAsia="Inter" w:hAnsi="Inter"/>
          <w:b/>
          <w:bCs/>
          <w:color w:val="13202E"/>
          <w:sz w:val="21"/>
          <w:szCs w:val="21"/>
        </w:rPr>
        <w:t xml:space="preserve">Example expression </w:t>
      </w:r>
      <w:r>
        <w:rPr>
          <w:rFonts w:ascii="Inter" w:cs="Inter" w:eastAsia="Inter" w:hAnsi="Inter"/>
          <w:color w:val="13202E"/>
          <w:sz w:val="21"/>
          <w:szCs w:val="21"/>
        </w:rPr>
        <w:t xml:space="preserve">for a grouped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F4F6F8" w:val="clear"/>
            <w:tcMar>
              <w:top w:type="dxa" w:w="90"/>
              <w:left w:type="dxa" w:w="160"/>
              <w:bottom w:type="dxa" w:w="90"/>
              <w:right w:type="dxa" w:w="120"/>
            </w:tcMar>
          </w:tcPr>
          <w:p>
            <w:pPr>
              <w:spacing w:after="16" w:line="240"/>
            </w:pPr>
            <w:r>
              <w:rPr>
                <w:rFonts w:ascii="JetBrains Mono" w:cs="JetBrains Mono" w:eastAsia="JetBrains Mono" w:hAnsi="JetBrains Mono"/>
                <w:color w:val="1C3A5E"/>
                <w:sz w:val="18"/>
                <w:szCs w:val="18"/>
              </w:rPr>
              <w:t xml:space="preserve">source:  canon.material            // bound entity</w:t>
            </w:r>
          </w:p>
          <w:p>
            <w:pPr>
              <w:spacing w:after="16" w:line="240"/>
            </w:pPr>
            <w:r>
              <w:rPr>
                <w:rFonts w:ascii="JetBrains Mono" w:cs="JetBrains Mono" w:eastAsia="JetBrains Mono" w:hAnsi="JetBrains Mono"/>
                <w:color w:val="1C3A5E"/>
                <w:sz w:val="18"/>
                <w:szCs w:val="18"/>
              </w:rPr>
              <w:t xml:space="preserve">metric:  defect_rate               // aggregation</w:t>
            </w:r>
          </w:p>
          <w:p>
            <w:pPr>
              <w:spacing w:after="16" w:line="240"/>
            </w:pPr>
            <w:r>
              <w:rPr>
                <w:rFonts w:ascii="JetBrains Mono" w:cs="JetBrains Mono" w:eastAsia="JetBrains Mono" w:hAnsi="JetBrains Mono"/>
                <w:color w:val="1C3A5E"/>
                <w:sz w:val="18"/>
                <w:szCs w:val="18"/>
              </w:rPr>
              <w:t xml:space="preserve">groupBy: shift                     // the ‘group by something like shift’ case</w:t>
            </w:r>
          </w:p>
          <w:p>
            <w:pPr>
              <w:spacing w:after="16" w:line="240"/>
            </w:pPr>
            <w:r>
              <w:rPr>
                <w:rFonts w:ascii="JetBrains Mono" w:cs="JetBrains Mono" w:eastAsia="JetBrains Mono" w:hAnsi="JetBrains Mono"/>
                <w:color w:val="1C3A5E"/>
                <w:sz w:val="18"/>
                <w:szCs w:val="18"/>
              </w:rPr>
              <w:t xml:space="preserve">window:  last_30_days</w:t>
            </w:r>
          </w:p>
          <w:p>
            <w:pPr>
              <w:spacing w:after="16" w:line="240"/>
            </w:pPr>
            <w:r>
              <w:rPr>
                <w:rFonts w:ascii="JetBrains Mono" w:cs="JetBrains Mono" w:eastAsia="JetBrains Mono" w:hAnsi="JetBrains Mono"/>
                <w:color w:val="1C3A5E"/>
                <w:sz w:val="18"/>
                <w:szCs w:val="18"/>
              </w:rPr>
              <w:t xml:space="preserve">// compiles to a parameterized, SafeSql-validated SELECT — no bespoke endpoint</w:t>
            </w:r>
          </w:p>
        </w:tc>
      </w:tr>
    </w:tbl>
    <w:p>
      <w:pPr>
        <w:spacing w:after="130" w:before="0" w:line="268"/>
      </w:pPr>
      <w:r>
        <w:rPr>
          <w:rFonts w:ascii="Inter" w:cs="Inter" w:eastAsia="Inter" w:hAnsi="Inter"/>
          <w:color w:val="13202E"/>
          <w:sz w:val="21"/>
          <w:szCs w:val="21"/>
        </w:rPr>
        <w:t xml:space="preserve">The result: infinite chart flexibility with zero unsafe SQL and zero endpoint sprawl — the engine stays generic.</w:t>
      </w:r>
    </w:p>
    <w:p>
      <w:r>
        <w:br w:type="page"/>
      </w:r>
    </w:p>
    <w:p>
      <w:pPr>
        <w:pStyle w:val="Heading2"/>
      </w:pPr>
      <w:r>
        <w:t xml:space="preserve">3.8 User, Role &amp; Access Management</w:t>
      </w:r>
    </w:p>
    <w:p>
      <w:pPr>
        <w:spacing w:after="130" w:before="0" w:line="268"/>
      </w:pPr>
      <w:r>
        <w:rPr>
          <w:rFonts w:ascii="Inter" w:cs="Inter" w:eastAsia="Inter" w:hAnsi="Inter"/>
          <w:b/>
          <w:bCs/>
          <w:color w:val="13202E"/>
          <w:sz w:val="21"/>
          <w:szCs w:val="21"/>
        </w:rPr>
        <w:t xml:space="preserve">Goal. </w:t>
      </w:r>
      <w:r>
        <w:rPr>
          <w:rFonts w:ascii="Inter" w:cs="Inter" w:eastAsia="Inter" w:hAnsi="Inter"/>
          <w:color w:val="13202E"/>
          <w:sz w:val="21"/>
          <w:szCs w:val="21"/>
        </w:rPr>
        <w:t xml:space="preserve">The governance layer the early draft left as a heading. It must support multiple plants on one deployment, give each person exactly the rights their job needs, and make every privileged action auditable.</w:t>
      </w:r>
    </w:p>
    <w:p>
      <w:pPr>
        <w:pStyle w:val="Heading3"/>
      </w:pPr>
      <w:r>
        <w:t xml:space="preserve">3.8.1 Tenancy</w:t>
      </w:r>
    </w:p>
    <w:p>
      <w:pPr>
        <w:spacing w:after="130" w:before="0" w:line="268"/>
      </w:pPr>
      <w:r>
        <w:rPr>
          <w:rFonts w:ascii="Inter" w:cs="Inter" w:eastAsia="Inter" w:hAnsi="Inter"/>
          <w:color w:val="13202E"/>
          <w:sz w:val="21"/>
          <w:szCs w:val="21"/>
        </w:rPr>
        <w:t xml:space="preserve">Each plant is a </w:t>
      </w:r>
      <w:r>
        <w:rPr>
          <w:rFonts w:ascii="Inter" w:cs="Inter" w:eastAsia="Inter" w:hAnsi="Inter"/>
          <w:b/>
          <w:bCs/>
          <w:color w:val="13202E"/>
          <w:sz w:val="21"/>
          <w:szCs w:val="21"/>
        </w:rPr>
        <w:t xml:space="preserve">tenant</w:t>
      </w:r>
      <w:r>
        <w:rPr>
          <w:rFonts w:ascii="Inter" w:cs="Inter" w:eastAsia="Inter" w:hAnsi="Inter"/>
          <w:color w:val="13202E"/>
          <w:sz w:val="21"/>
          <w:szCs w:val="21"/>
        </w:rPr>
        <w:t xml:space="preserve">. All data, dumps, credentials, mappings, pages, jobs and findings are scoped to a tenant; no query, mapping or credential can cross the tenant boundary. Multi-tenant operation is an Enterprise capability; single-tenant deployments are the common case.</w:t>
      </w:r>
    </w:p>
    <w:p>
      <w:pPr>
        <w:pStyle w:val="Heading3"/>
      </w:pPr>
      <w:r>
        <w:t xml:space="preserve">3.8.2 Roles &amp; the permission matrix</w:t>
      </w:r>
    </w:p>
    <w:p>
      <w:pPr>
        <w:spacing w:after="130" w:before="0" w:line="268"/>
      </w:pPr>
      <w:r>
        <w:rPr>
          <w:rFonts w:ascii="Inter" w:cs="Inter" w:eastAsia="Inter" w:hAnsi="Inter"/>
          <w:color w:val="13202E"/>
          <w:sz w:val="21"/>
          <w:szCs w:val="21"/>
        </w:rPr>
        <w:t xml:space="preserve">Role-based access control with a focused set of roles. Permissions are additive and checked server-side on every privileged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80"/>
        <w:gridCol w:w="1180"/>
        <w:gridCol w:w="1180"/>
        <w:gridCol w:w="1180"/>
        <w:gridCol w:w="1180"/>
        <w:gridCol w:w="1260"/>
      </w:tblGrid>
      <w:tr>
        <w:trPr>
          <w:tblHeader/>
        </w:trPr>
        <w:tc>
          <w:tcPr>
            <w:tcW w:type="dxa" w:w="22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Capability ↓ / Role →</w:t>
            </w:r>
          </w:p>
        </w:tc>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Plat. Admin</w:t>
            </w:r>
          </w:p>
        </w:tc>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Plant Admin</w:t>
            </w:r>
          </w:p>
        </w:tc>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Data Eng.</w:t>
            </w:r>
          </w:p>
        </w:tc>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Process Eng.</w:t>
            </w:r>
          </w:p>
        </w:tc>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Analyst</w:t>
            </w:r>
          </w:p>
        </w:tc>
        <w:tc>
          <w:tcPr>
            <w:tcW w:type="dxa" w:w="12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Auditor</w:t>
            </w:r>
          </w:p>
        </w:tc>
      </w:tr>
      <w:tr>
        <w:tc>
          <w:tcPr>
            <w:tcW w:type="dxa" w:w="22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Configure DB links &amp; credentials</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Author &amp; publish mappings / KPIs</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Run / schedule ML &amp; import jobs</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color w:val="FFB020"/>
                <w:sz w:val="16"/>
                <w:szCs w:val="16"/>
              </w:rPr>
              <w:t xml:space="preserve">partial</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Create pages &amp; widgets</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Run inspections / read suggestions</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color w:val="FFB020"/>
                <w:sz w:val="16"/>
                <w:szCs w:val="16"/>
              </w:rPr>
              <w:t xml:space="preserve">view</w:t>
            </w:r>
          </w:p>
        </w:tc>
        <w:tc>
          <w:tcPr>
            <w:tcW w:type="dxa" w:w="12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Manage users &amp; roles</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r>
      <w:tr>
        <w:tc>
          <w:tcPr>
            <w:tcW w:type="dxa" w:w="22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View audit log</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1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w:t>
            </w:r>
          </w:p>
        </w:tc>
        <w:tc>
          <w:tcPr>
            <w:tcW w:type="dxa" w:w="12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2CE6A2"/>
                <w:sz w:val="18"/>
                <w:szCs w:val="18"/>
              </w:rPr>
              <w:t xml:space="preserve">✓</w:t>
            </w:r>
          </w:p>
        </w:tc>
      </w:tr>
    </w:tbl>
    <w:p>
      <w:pPr>
        <w:pStyle w:val="Heading3"/>
      </w:pPr>
      <w:r>
        <w:t xml:space="preserve">3.8.3 License × role, authentication &amp; audit</w:t>
      </w:r>
    </w:p>
    <w:p>
      <w:pPr>
        <w:pStyle w:val="ListParagraph"/>
        <w:numPr>
          <w:ilvl w:val="0"/>
          <w:numId w:val="2"/>
        </w:numPr>
        <w:spacing w:after="80" w:line="264"/>
      </w:pPr>
      <w:r>
        <w:rPr>
          <w:rFonts w:ascii="Inter" w:cs="Inter" w:eastAsia="Inter" w:hAnsi="Inter"/>
          <w:b/>
          <w:bCs/>
          <w:color w:val="13202E"/>
          <w:sz w:val="21"/>
          <w:szCs w:val="21"/>
        </w:rPr>
        <w:t xml:space="preserve">Two gates, not one: </w:t>
      </w:r>
      <w:r>
        <w:rPr>
          <w:rFonts w:ascii="Inter" w:cs="Inter" w:eastAsia="Inter" w:hAnsi="Inter"/>
          <w:color w:val="13202E"/>
          <w:sz w:val="21"/>
          <w:szCs w:val="21"/>
        </w:rPr>
        <w:t xml:space="preserve">a capability is available only when the license tier includes it (Part 1.2) AND the role grants it. The demo’s tier toggle and a role switch together show the full access surface.</w:t>
      </w:r>
    </w:p>
    <w:p>
      <w:pPr>
        <w:pStyle w:val="ListParagraph"/>
        <w:numPr>
          <w:ilvl w:val="0"/>
          <w:numId w:val="2"/>
        </w:numPr>
        <w:spacing w:after="80" w:line="264"/>
      </w:pPr>
      <w:r>
        <w:rPr>
          <w:rFonts w:ascii="Inter" w:cs="Inter" w:eastAsia="Inter" w:hAnsi="Inter"/>
          <w:b/>
          <w:bCs/>
          <w:color w:val="13202E"/>
          <w:sz w:val="21"/>
          <w:szCs w:val="21"/>
        </w:rPr>
        <w:t xml:space="preserve">Authentication: </w:t>
      </w:r>
      <w:r>
        <w:rPr>
          <w:rFonts w:ascii="Inter" w:cs="Inter" w:eastAsia="Inter" w:hAnsi="Inter"/>
          <w:color w:val="13202E"/>
          <w:sz w:val="21"/>
          <w:szCs w:val="21"/>
        </w:rPr>
        <w:t xml:space="preserve">token-based sessions with a password policy and optional SSO/OIDC for enterprise. Per the platform hardening review, the session should use an httpOnly, SameSite refresh cookie with the access token held in memory — not browser localStorage.</w:t>
      </w:r>
    </w:p>
    <w:p>
      <w:pPr>
        <w:pStyle w:val="ListParagraph"/>
        <w:numPr>
          <w:ilvl w:val="0"/>
          <w:numId w:val="2"/>
        </w:numPr>
        <w:spacing w:after="80" w:line="264"/>
      </w:pPr>
      <w:r>
        <w:rPr>
          <w:rFonts w:ascii="Inter" w:cs="Inter" w:eastAsia="Inter" w:hAnsi="Inter"/>
          <w:b/>
          <w:bCs/>
          <w:color w:val="13202E"/>
          <w:sz w:val="21"/>
          <w:szCs w:val="21"/>
        </w:rPr>
        <w:t xml:space="preserve">Account lifecycle: </w:t>
      </w:r>
      <w:r>
        <w:rPr>
          <w:rFonts w:ascii="Inter" w:cs="Inter" w:eastAsia="Inter" w:hAnsi="Inter"/>
          <w:color w:val="13202E"/>
          <w:sz w:val="21"/>
          <w:szCs w:val="21"/>
        </w:rPr>
        <w:t xml:space="preserve">invite → activate → deactivate, password reset, idle-timeout, a device/session list with revoke, and a forced rotation of the bootstrap admin password on first login.</w:t>
      </w:r>
    </w:p>
    <w:p>
      <w:pPr>
        <w:pStyle w:val="ListParagraph"/>
        <w:numPr>
          <w:ilvl w:val="0"/>
          <w:numId w:val="2"/>
        </w:numPr>
        <w:spacing w:after="80" w:line="264"/>
      </w:pPr>
      <w:r>
        <w:rPr>
          <w:rFonts w:ascii="Inter" w:cs="Inter" w:eastAsia="Inter" w:hAnsi="Inter"/>
          <w:b/>
          <w:bCs/>
          <w:color w:val="13202E"/>
          <w:sz w:val="21"/>
          <w:szCs w:val="21"/>
        </w:rPr>
        <w:t xml:space="preserve">Audit: </w:t>
      </w:r>
      <w:r>
        <w:rPr>
          <w:rFonts w:ascii="Inter" w:cs="Inter" w:eastAsia="Inter" w:hAnsi="Inter"/>
          <w:color w:val="13202E"/>
          <w:sz w:val="21"/>
          <w:szCs w:val="21"/>
        </w:rPr>
        <w:t xml:space="preserve">every privileged action — link/credential change, mapping publish, job control, user/role change — is written to the immutable audit log (hardened in script 096), with the actor, tenant, before/after and timestamp.</w:t>
      </w:r>
    </w:p>
    <w:p>
      <w:r>
        <w:br w:type="page"/>
      </w:r>
    </w:p>
    <w:p>
      <w:pPr>
        <w:pStyle w:val="Heading1"/>
      </w:pPr>
      <w:r>
        <w:t xml:space="preserve">4 · The Demo Plant — Topology &amp; Data Schema</w:t>
      </w:r>
    </w:p>
    <w:p>
      <w:pPr>
        <w:spacing w:after="130" w:before="0" w:line="268"/>
      </w:pPr>
      <w:r>
        <w:rPr>
          <w:rFonts w:ascii="Inter" w:cs="Inter" w:eastAsia="Inter" w:hAnsi="Inter"/>
          <w:color w:val="13202E"/>
          <w:sz w:val="21"/>
          <w:szCs w:val="21"/>
        </w:rPr>
        <w:t xml:space="preserve">The demo is not a separate app or a set of hardcoded pages (Part 7); it is the first release running on a realistic, premade dataset. To make it real it needs a real plant. The demo plant is a </w:t>
      </w:r>
      <w:r>
        <w:rPr>
          <w:rFonts w:ascii="Inter" w:cs="Inter" w:eastAsia="Inter" w:hAnsi="Inter"/>
          <w:b/>
          <w:bCs/>
          <w:color w:val="13202E"/>
          <w:sz w:val="21"/>
          <w:szCs w:val="21"/>
        </w:rPr>
        <w:t xml:space="preserve">flat-steel producer with thirteen areas and eight data sources across six vendors</w:t>
      </w:r>
      <w:r>
        <w:rPr>
          <w:rFonts w:ascii="Inter" w:cs="Inter" w:eastAsia="Inter" w:hAnsi="Inter"/>
          <w:color w:val="13202E"/>
          <w:sz w:val="21"/>
          <w:szCs w:val="21"/>
        </w:rPr>
        <w:t xml:space="preserve"> — the exact topology that exercises every part of the platform: heterogeneous connectors, cross-source genealogy, and the production-vs-equipment-stoppage subtlety that makes the downtime lever credible.</w:t>
      </w:r>
    </w:p>
    <w:p>
      <w:pPr>
        <w:pStyle w:val="Heading2"/>
      </w:pPr>
      <w:r>
        <w:t xml:space="preserve">4.1 The thirteen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7240"/>
      </w:tblGrid>
      <w:tr>
        <w:trPr>
          <w:tblHeader/>
        </w:trPr>
        <w:tc>
          <w:tcPr>
            <w:tcW w:type="dxa" w:w="62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t>
            </w:r>
          </w:p>
        </w:tc>
        <w:tc>
          <w:tcPr>
            <w:tcW w:type="dxa" w:w="15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Area</w:t>
            </w:r>
          </w:p>
        </w:tc>
        <w:tc>
          <w:tcPr>
            <w:tcW w:type="dxa" w:w="724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Role in the line &amp; the demo</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EAF — Electric Arc Furnace</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1 furnace; ~160 t heat; tap-to-tap ~35–55 min. The melting start of the genealogy.</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2</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LF — Ladle Furnace</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4 stations with 11 ladles rotating; refining and chemistry trim; ladle-life tracked for maintenance.</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3</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CC — Continuous Caster</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One thin-slab caster, 2 strands; casting speed 3.6–5.6 m/min (avg ~5); slab ~56 mm thick, 1100–1650 mm wide, ~8–22 t.</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4</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TF — Tunnel Furnace</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Buffers and reheats slabs between caster and mill — the buffer that absorbs short upstream stoppages.</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5</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HSM — Hot Strip Mill</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Rolls slabs to strip/coil; the surface-inspection device sits at its exit.</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6</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SKP — Skin Pass Mill</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Temper rolling for surface finish and flatness.</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7</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LCT — Light Cut-to-Length</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Cuts lighter gauges to length.</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8</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HCT — Heavy Cut-to-Length</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Cuts heavier gauges to length.</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9</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STL — Slitting</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Slits coils to narrower widths.</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10</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PKL — Pickling Line</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Acid descaling; MSSQL-backed.</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11</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GVL — Galvanizing Line</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Zinc coating.</w:t>
            </w:r>
          </w:p>
        </w:tc>
      </w:tr>
      <w:tr>
        <w:tc>
          <w:tcPr>
            <w:tcW w:type="dxa" w:w="62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12</w:t>
            </w:r>
          </w:p>
        </w:tc>
        <w:tc>
          <w:tcPr>
            <w:tcW w:type="dxa" w:w="15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Yard (×11)</w:t>
            </w:r>
          </w:p>
        </w:tc>
        <w:tc>
          <w:tcPr>
            <w:tcW w:type="dxa" w:w="724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Cooling yard after HSM; before/after SKP; entry/exit for LCT/HCT/STL and for PKL/GVL; 4 selling/buffering/stock yards — the location grain.</w:t>
            </w:r>
          </w:p>
        </w:tc>
      </w:tr>
      <w:tr>
        <w:tc>
          <w:tcPr>
            <w:tcW w:type="dxa" w:w="62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jc w:val="center"/>
            </w:pPr>
            <w:r>
              <w:rPr>
                <w:rFonts w:ascii="Inter" w:cs="Inter" w:eastAsia="Inter" w:hAnsi="Inter"/>
                <w:b w:val="false"/>
                <w:bCs w:val="false"/>
                <w:color w:val="13202E"/>
                <w:sz w:val="18"/>
                <w:szCs w:val="18"/>
              </w:rPr>
              <w:t xml:space="preserve">13</w:t>
            </w:r>
          </w:p>
        </w:tc>
        <w:tc>
          <w:tcPr>
            <w:tcW w:type="dxa" w:w="15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Roll Shop</w:t>
            </w:r>
          </w:p>
        </w:tc>
        <w:tc>
          <w:tcPr>
            <w:tcW w:type="dxa" w:w="724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8"/>
                <w:szCs w:val="18"/>
              </w:rPr>
              <w:t xml:space="preserve">Roll grinding and management supporting HSM/SKP.</w:t>
            </w:r>
          </w:p>
        </w:tc>
      </w:tr>
    </w:tbl>
    <w:p>
      <w:pPr>
        <w:pStyle w:val="Heading2"/>
      </w:pPr>
      <w:r>
        <w:t xml:space="preserve">4.2 The eight data sources (six vendors)</w:t>
      </w:r>
    </w:p>
    <w:p>
      <w:pPr>
        <w:spacing w:after="130" w:before="0" w:line="268"/>
      </w:pPr>
      <w:r>
        <w:rPr>
          <w:rFonts w:ascii="Inter" w:cs="Inter" w:eastAsia="Inter" w:hAnsi="Inter"/>
          <w:color w:val="13202E"/>
          <w:sz w:val="21"/>
          <w:szCs w:val="21"/>
        </w:rPr>
        <w:t xml:space="preserve">The point of the demo topology is heterogeneity: the platform must connect Postgres, Oracle, MSSQL, MySQL and file sources at once, and stitch them into one model. Each source keeps its own shape; the Schema Mapping Engine (3.3) projects them into the canonical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80"/>
        <w:gridCol w:w="6080"/>
      </w:tblGrid>
      <w:tr>
        <w:trPr>
          <w:tblHeader/>
        </w:trPr>
        <w:tc>
          <w:tcPr>
            <w:tcW w:type="dxa" w:w="20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Source</w:t>
            </w:r>
          </w:p>
        </w:tc>
        <w:tc>
          <w:tcPr>
            <w:tcW w:type="dxa" w:w="12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Vendor</w:t>
            </w:r>
          </w:p>
        </w:tc>
        <w:tc>
          <w:tcPr>
            <w:tcW w:type="dxa" w:w="60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What it carries (representative tables)</w:t>
            </w:r>
          </w:p>
        </w:tc>
      </w:tr>
      <w:tr>
        <w:tc>
          <w:tcPr>
            <w:tcW w:type="dxa" w:w="2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MeltShop</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2F80ED"/>
                <w:sz w:val="18"/>
                <w:szCs w:val="18"/>
              </w:rPr>
              <w:t xml:space="preserve">PostgreSQL</w:t>
            </w:r>
          </w:p>
        </w:tc>
        <w:tc>
          <w:tcPr>
            <w:tcW w:type="dxa" w:w="6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EAF + LF. Equipment &amp; counters (furnace, refractory, ladle id, electrodes, heats-per-ladle for maintenance); Heats summary (grade, start/end, crew, total kWh, power-on time, duration); Samples → Sample Results → Component (chemistry); additives per heat; EAF step table + parameter ids (electricity, oxygen, argon).</w:t>
            </w:r>
          </w:p>
        </w:tc>
      </w:tr>
      <w:tr>
        <w:tc>
          <w:tcPr>
            <w:tcW w:type="dxa" w:w="20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Caster</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FF4D6D"/>
                <w:sz w:val="18"/>
                <w:szCs w:val="18"/>
              </w:rPr>
              <w:t xml:space="preserve">Oracle</w:t>
            </w:r>
          </w:p>
        </w:tc>
        <w:tc>
          <w:tcPr>
            <w:tcW w:type="dxa" w:w="60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The genealogy hub. Links HeatId, LadleId, TundishId, MouldId, SequenceId (several heats), StrandId (multi-strand), SlabId (cut at caster exit). Heat, Slab, Sequence, Sample/Result/Component tables — casting speed, mould width, head/tail width, thickness, length, times, crew.</w:t>
            </w:r>
          </w:p>
        </w:tc>
      </w:tr>
      <w:tr>
        <w:tc>
          <w:tcPr>
            <w:tcW w:type="dxa" w:w="2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HSM</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FF4D6D"/>
                <w:sz w:val="18"/>
                <w:szCs w:val="18"/>
              </w:rPr>
              <w:t xml:space="preserve">Oracle</w:t>
            </w:r>
          </w:p>
        </w:tc>
        <w:tc>
          <w:tcPr>
            <w:tcW w:type="dxa" w:w="6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Hot Strip Mill — the same depth as the caster: piece/coil identity, rolling parameters, samples; the piece id that the surface inspector keys against.</w:t>
            </w:r>
          </w:p>
        </w:tc>
      </w:tr>
      <w:tr>
        <w:tc>
          <w:tcPr>
            <w:tcW w:type="dxa" w:w="20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PKL</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0A84FF"/>
                <w:sz w:val="18"/>
                <w:szCs w:val="18"/>
              </w:rPr>
              <w:t xml:space="preserve">MSSQL</w:t>
            </w:r>
          </w:p>
        </w:tc>
        <w:tc>
          <w:tcPr>
            <w:tcW w:type="dxa" w:w="60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Pickling-line process and tracking data.</w:t>
            </w:r>
          </w:p>
        </w:tc>
      </w:tr>
      <w:tr>
        <w:tc>
          <w:tcPr>
            <w:tcW w:type="dxa" w:w="2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Yard Management</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Excel</w:t>
            </w:r>
          </w:p>
        </w:tc>
        <w:tc>
          <w:tcPr>
            <w:tcW w:type="dxa" w:w="6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Yard topology, residency and movements — the location grain, as a watched spreadsheet.</w:t>
            </w:r>
          </w:p>
        </w:tc>
      </w:tr>
      <w:tr>
        <w:tc>
          <w:tcPr>
            <w:tcW w:type="dxa" w:w="20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Downtime</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FFB020"/>
                <w:sz w:val="18"/>
                <w:szCs w:val="18"/>
              </w:rPr>
              <w:t xml:space="preserve">MySQL</w:t>
            </w:r>
          </w:p>
        </w:tc>
        <w:tc>
          <w:tcPr>
            <w:tcW w:type="dxa" w:w="60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Every crew-logged stoppage: area, equipment-stoppage vs production-stoppage minutes, start/end, reason (electrical / operation / production / mechanical / hydraulic) + description.</w:t>
            </w:r>
          </w:p>
        </w:tc>
      </w:tr>
      <w:tr>
        <w:tc>
          <w:tcPr>
            <w:tcW w:type="dxa" w:w="20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Surface inspection (Parsytec)</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Inter" w:cs="Inter" w:eastAsia="Inter" w:hAnsi="Inter"/>
                <w:b/>
                <w:bCs/>
                <w:color w:val="FFB020"/>
                <w:sz w:val="18"/>
                <w:szCs w:val="18"/>
              </w:rPr>
              <w:t xml:space="preserve">MySQL</w:t>
            </w:r>
          </w:p>
        </w:tc>
        <w:tc>
          <w:tcPr>
            <w:tcW w:type="dxa" w:w="60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At the HSM exit — per-coil surface defect class, severity and position, keyed by material id.</w:t>
            </w:r>
          </w:p>
        </w:tc>
      </w:tr>
      <w:tr>
        <w:tc>
          <w:tcPr>
            <w:tcW w:type="dxa" w:w="20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QA</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Inter" w:cs="Inter" w:eastAsia="Inter" w:hAnsi="Inter"/>
                <w:b/>
                <w:bCs/>
                <w:color w:val="8EA7C1"/>
                <w:sz w:val="18"/>
                <w:szCs w:val="18"/>
              </w:rPr>
              <w:t xml:space="preserve">Excel</w:t>
            </w:r>
          </w:p>
        </w:tc>
        <w:tc>
          <w:tcPr>
            <w:tcW w:type="dxa" w:w="60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Lab/quality — a sample every ~3 coils after HSM, up to 2 samples/coil for difficult grades or important customers.</w:t>
            </w:r>
          </w:p>
        </w:tc>
      </w:tr>
    </w:tbl>
    <w:p>
      <w:pPr>
        <w:pStyle w:val="Heading2"/>
      </w:pPr>
      <w:r>
        <w:t xml:space="preserve">4.3 The genealogy spine</w:t>
      </w:r>
    </w:p>
    <w:p>
      <w:pPr>
        <w:spacing w:after="130" w:before="0" w:line="268"/>
      </w:pPr>
      <w:r>
        <w:rPr>
          <w:rFonts w:ascii="Inter" w:cs="Inter" w:eastAsia="Inter" w:hAnsi="Inter"/>
          <w:color w:val="13202E"/>
          <w:sz w:val="21"/>
          <w:szCs w:val="21"/>
        </w:rPr>
        <w:t xml:space="preserve">The whole value of the platform depends on being able to walk a single unit’s history across these sources. The spine the Mapping Engine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00D4FF" w:sz="18"/>
              <w:bottom w:val="single" w:color="C9D6E2" w:sz="1"/>
              <w:right w:val="single" w:color="C9D6E2" w:sz="1"/>
            </w:tcBorders>
            <w:shd w:fill="F4F6F8" w:val="clear"/>
            <w:tcMar>
              <w:top w:type="dxa" w:w="90"/>
              <w:left w:type="dxa" w:w="160"/>
              <w:bottom w:type="dxa" w:w="90"/>
              <w:right w:type="dxa" w:w="120"/>
            </w:tcMar>
          </w:tcPr>
          <w:p>
            <w:pPr>
              <w:spacing w:after="16" w:line="240"/>
            </w:pPr>
            <w:r>
              <w:rPr>
                <w:rFonts w:ascii="JetBrains Mono" w:cs="JetBrains Mono" w:eastAsia="JetBrains Mono" w:hAnsi="JetBrains Mono"/>
                <w:color w:val="1C3A5E"/>
                <w:sz w:val="18"/>
                <w:szCs w:val="18"/>
              </w:rPr>
              <w:t xml:space="preserve">Heat (MeltShop/Caster)</w:t>
            </w:r>
          </w:p>
          <w:p>
            <w:pPr>
              <w:spacing w:after="16" w:line="240"/>
            </w:pPr>
            <w:r>
              <w:rPr>
                <w:rFonts w:ascii="JetBrains Mono" w:cs="JetBrains Mono" w:eastAsia="JetBrains Mono" w:hAnsi="JetBrains Mono"/>
                <w:color w:val="1C3A5E"/>
                <w:sz w:val="18"/>
                <w:szCs w:val="18"/>
              </w:rPr>
              <w:t xml:space="preserve">  → Ladle → Tundish → Mould → Sequence → Strand     (Caster, Oracle)</w:t>
            </w:r>
          </w:p>
          <w:p>
            <w:pPr>
              <w:spacing w:after="16" w:line="240"/>
            </w:pPr>
            <w:r>
              <w:rPr>
                <w:rFonts w:ascii="JetBrains Mono" w:cs="JetBrains Mono" w:eastAsia="JetBrains Mono" w:hAnsi="JetBrains Mono"/>
                <w:color w:val="1C3A5E"/>
                <w:sz w:val="18"/>
                <w:szCs w:val="18"/>
              </w:rPr>
              <w:t xml:space="preserve">      → Slab (cut at caster exit)                     (Caster, Oracle)</w:t>
            </w:r>
          </w:p>
          <w:p>
            <w:pPr>
              <w:spacing w:after="16" w:line="240"/>
            </w:pPr>
            <w:r>
              <w:rPr>
                <w:rFonts w:ascii="JetBrains Mono" w:cs="JetBrains Mono" w:eastAsia="JetBrains Mono" w:hAnsi="JetBrains Mono"/>
                <w:color w:val="1C3A5E"/>
                <w:sz w:val="18"/>
                <w:szCs w:val="18"/>
              </w:rPr>
              <w:t xml:space="preserve">          → Coil / Piece                               (HSM, Oracle)</w:t>
            </w:r>
          </w:p>
          <w:p>
            <w:pPr>
              <w:spacing w:after="16" w:line="240"/>
            </w:pPr>
            <w:r>
              <w:rPr>
                <w:rFonts w:ascii="JetBrains Mono" w:cs="JetBrains Mono" w:eastAsia="JetBrains Mono" w:hAnsi="JetBrains Mono"/>
                <w:color w:val="1C3A5E"/>
                <w:sz w:val="18"/>
                <w:szCs w:val="18"/>
              </w:rPr>
              <w:t xml:space="preserve">              → Surface defect (by material_id)         (Parsytec, MySQL)</w:t>
            </w:r>
          </w:p>
          <w:p>
            <w:pPr>
              <w:spacing w:after="16" w:line="240"/>
            </w:pPr>
            <w:r>
              <w:rPr>
                <w:rFonts w:ascii="JetBrains Mono" w:cs="JetBrains Mono" w:eastAsia="JetBrains Mono" w:hAnsi="JetBrains Mono"/>
                <w:color w:val="1C3A5E"/>
                <w:sz w:val="18"/>
                <w:szCs w:val="18"/>
              </w:rPr>
              <w:t xml:space="preserve">              → QA sample / lab result                  (QA, Excel)</w:t>
            </w:r>
          </w:p>
          <w:p>
            <w:pPr>
              <w:spacing w:after="16" w:line="240"/>
            </w:pPr>
            <w:r>
              <w:rPr>
                <w:rFonts w:ascii="JetBrains Mono" w:cs="JetBrains Mono" w:eastAsia="JetBrains Mono" w:hAnsi="JetBrains Mono"/>
                <w:color w:val="1C3A5E"/>
                <w:sz w:val="18"/>
                <w:szCs w:val="18"/>
              </w:rPr>
              <w:t xml:space="preserve">  ⊕ Downtime events by area &amp; time                     (Downtime, MySQL)</w:t>
            </w:r>
          </w:p>
          <w:p>
            <w:pPr>
              <w:spacing w:after="16" w:line="240"/>
            </w:pPr>
            <w:r>
              <w:rPr>
                <w:rFonts w:ascii="JetBrains Mono" w:cs="JetBrains Mono" w:eastAsia="JetBrains Mono" w:hAnsi="JetBrains Mono"/>
                <w:color w:val="1C3A5E"/>
                <w:sz w:val="18"/>
                <w:szCs w:val="18"/>
              </w:rPr>
              <w:t xml:space="preserve">  ⊕ Yard residency by location                         (Yard, Excel)</w:t>
            </w:r>
          </w:p>
        </w:tc>
      </w:tr>
    </w:tbl>
    <w:p>
      <w:pPr>
        <w:spacing w:after="130" w:before="0" w:line="268"/>
      </w:pPr>
      <w:r>
        <w:rPr>
          <w:rFonts w:ascii="Inter" w:cs="Inter" w:eastAsia="Inter" w:hAnsi="Inter"/>
          <w:color w:val="13202E"/>
          <w:sz w:val="21"/>
          <w:szCs w:val="21"/>
        </w:rPr>
        <w:t xml:space="preserve">With this spine, a surface defect on a coil can be traced back to the slab, the casting sequence, the ladle chemistry and the EAF parameters that produced it — and forward to the yard it sat in. That walkable path is what L4 correlates and L5 explains.</w:t>
      </w:r>
    </w:p>
    <w:p>
      <w:pPr>
        <w:pStyle w:val="Heading2"/>
      </w:pPr>
      <w:r>
        <w:t xml:space="preserve">4.4 Why ‘downtime’ means production-stoppage, not equipment-stoppage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The domain insight that makes the downtime lever credible</w:t>
            </w:r>
          </w:p>
          <w:p>
            <w:pPr>
              <w:spacing w:after="30" w:line="258"/>
            </w:pPr>
            <w:r>
              <w:rPr>
                <w:rFonts w:ascii="Inter" w:cs="Inter" w:eastAsia="Inter" w:hAnsi="Inter"/>
                <w:color w:val="EAF6FF"/>
                <w:sz w:val="19"/>
                <w:szCs w:val="19"/>
              </w:rPr>
              <w:t xml:space="preserve">Not every equipment stoppage causes a production stoppage. A 20-minute HSM problem can be absorbed by buffer slabs in the Tunnel Furnace and a caster slow-down — zero production loss, only buffering. But a 3-minute water-pump stop on the caster can stop the caster, force a sequence rebuild and pulling metal from the cooling header — 4 to 6 hours of production stoppage.</w:t>
            </w:r>
          </w:p>
          <w:p>
            <w:pPr>
              <w:spacing w:after="30" w:line="258"/>
            </w:pPr>
            <w:r>
              <w:rPr>
                <w:rFonts w:ascii="Inter" w:cs="Inter" w:eastAsia="Inter" w:hAnsi="Inter"/>
                <w:color w:val="EAF6FF"/>
                <w:sz w:val="19"/>
                <w:szCs w:val="19"/>
              </w:rPr>
              <w:t xml:space="preserve">PPIQ therefore models </w:t>
            </w:r>
            <w:r>
              <w:rPr>
                <w:rFonts w:ascii="Inter" w:cs="Inter" w:eastAsia="Inter" w:hAnsi="Inter"/>
                <w:b/>
                <w:bCs/>
                <w:color w:val="00D4FF"/>
                <w:sz w:val="19"/>
                <w:szCs w:val="19"/>
              </w:rPr>
              <w:t xml:space="preserve">equipment-stoppage minutes and production-stoppage minutes separately</w:t>
            </w:r>
            <w:r>
              <w:rPr>
                <w:rFonts w:ascii="Inter" w:cs="Inter" w:eastAsia="Inter" w:hAnsi="Inter"/>
                <w:color w:val="EAF6FF"/>
                <w:sz w:val="19"/>
                <w:szCs w:val="19"/>
              </w:rPr>
              <w:t xml:space="preserve">, and the value model converts the </w:t>
            </w:r>
            <w:r>
              <w:rPr>
                <w:rFonts w:ascii="Inter" w:cs="Inter" w:eastAsia="Inter" w:hAnsi="Inter"/>
                <w:b/>
                <w:bCs/>
                <w:color w:val="00D4FF"/>
                <w:sz w:val="19"/>
                <w:szCs w:val="19"/>
              </w:rPr>
              <w:t xml:space="preserve">production</w:t>
            </w:r>
            <w:r>
              <w:rPr>
                <w:rFonts w:ascii="Inter" w:cs="Inter" w:eastAsia="Inter" w:hAnsi="Inter"/>
                <w:color w:val="EAF6FF"/>
                <w:sz w:val="19"/>
                <w:szCs w:val="19"/>
              </w:rPr>
              <w:t xml:space="preserve">-stoppage hours into recovered throughput × margin. Correlating process conditions against production-stoppage — not raw equipment-stoppage — is what makes the downtime lever defensible.</w:t>
            </w:r>
          </w:p>
        </w:tc>
      </w:tr>
    </w:tbl>
    <w:p>
      <w:pPr>
        <w:pStyle w:val="Heading2"/>
      </w:pPr>
      <w:r>
        <w:t xml:space="preserve">4.5 The demo dataset — scale &amp; realism</w:t>
      </w:r>
    </w:p>
    <w:p>
      <w:pPr>
        <w:spacing w:after="130" w:before="0" w:line="268"/>
      </w:pPr>
      <w:r>
        <w:rPr>
          <w:rFonts w:ascii="Inter" w:cs="Inter" w:eastAsia="Inter" w:hAnsi="Inter"/>
          <w:color w:val="13202E"/>
          <w:sz w:val="21"/>
          <w:szCs w:val="21"/>
        </w:rPr>
        <w:t xml:space="preserve">The dataset must look like a real one-month backup, not a toy. A real EAF plant produces ~18–24 heats/day; at ~21 heats/day that is </w:t>
      </w:r>
      <w:r>
        <w:rPr>
          <w:rFonts w:ascii="Inter" w:cs="Inter" w:eastAsia="Inter" w:hAnsi="Inter"/>
          <w:b/>
          <w:bCs/>
          <w:color w:val="13202E"/>
          <w:sz w:val="21"/>
          <w:szCs w:val="21"/>
        </w:rPr>
        <w:t xml:space="preserve">~630 heats/month</w:t>
      </w:r>
      <w:r>
        <w:rPr>
          <w:rFonts w:ascii="Inter" w:cs="Inter" w:eastAsia="Inter" w:hAnsi="Inter"/>
          <w:color w:val="13202E"/>
          <w:sz w:val="21"/>
          <w:szCs w:val="21"/>
        </w:rPr>
        <w:t xml:space="preserve">. At ~160 t/heat and ~18 t/coil that is roughly 100,000 t/month and </w:t>
      </w:r>
      <w:r>
        <w:rPr>
          <w:rFonts w:ascii="Inter" w:cs="Inter" w:eastAsia="Inter" w:hAnsi="Inter"/>
          <w:b/>
          <w:bCs/>
          <w:color w:val="13202E"/>
          <w:sz w:val="21"/>
          <w:szCs w:val="21"/>
        </w:rPr>
        <w:t xml:space="preserve">~5,600 slabs/coils</w:t>
      </w:r>
      <w:r>
        <w:rPr>
          <w:rFonts w:ascii="Inter" w:cs="Inter" w:eastAsia="Inter" w:hAnsi="Inter"/>
          <w:color w:val="13202E"/>
          <w:sz w:val="21"/>
          <w:szCs w:val="21"/>
        </w:rPr>
        <w:t xml:space="preserve"> — well over 100,000 rows across the sources when samples, parameters, defects and downtime are included. The data is realistic and internally consistent so that the genealogy walks cleanly and the correlations are believable. Crucially, nothing about the demo is hardcoded: the DB links, jobs, mappings, pages, widgets and scripts are all built from the HMI, exactly as a customer would (Part 7).</w:t>
      </w:r>
    </w:p>
    <w:p>
      <w:r>
        <w:br w:type="page"/>
      </w:r>
    </w:p>
    <w:p>
      <w:pPr>
        <w:pStyle w:val="Heading1"/>
      </w:pPr>
      <w:r>
        <w:t xml:space="preserve">5 · Presentation-Grade Hardening (Zero-Hanging Mandates)</w:t>
      </w:r>
    </w:p>
    <w:p>
      <w:pPr>
        <w:spacing w:after="130" w:before="0" w:line="268"/>
      </w:pPr>
      <w:r>
        <w:rPr>
          <w:rFonts w:ascii="Inter" w:cs="Inter" w:eastAsia="Inter" w:hAnsi="Inter"/>
          <w:color w:val="13202E"/>
          <w:sz w:val="21"/>
          <w:szCs w:val="21"/>
        </w:rPr>
        <w:t xml:space="preserve">The demo is a live walk-through on demo data, and a curious customer will click anything. The standard is absolute: </w:t>
      </w:r>
      <w:r>
        <w:rPr>
          <w:rFonts w:ascii="Inter" w:cs="Inter" w:eastAsia="Inter" w:hAnsi="Inter"/>
          <w:b/>
          <w:bCs/>
          <w:color w:val="13202E"/>
          <w:sz w:val="21"/>
          <w:szCs w:val="21"/>
        </w:rPr>
        <w:t xml:space="preserve">nothing hangs, nothing is half-styled, and no button does nothing.</w:t>
      </w:r>
      <w:r>
        <w:rPr>
          <w:rFonts w:ascii="Inter" w:cs="Inter" w:eastAsia="Inter" w:hAnsi="Inter"/>
          <w:color w:val="13202E"/>
          <w:sz w:val="21"/>
          <w:szCs w:val="21"/>
        </w:rPr>
        <w:t xml:space="preserve"> These are non-functional requirements that apply to every current and future page.</w:t>
      </w:r>
    </w:p>
    <w:p>
      <w:pPr>
        <w:pStyle w:val="Heading2"/>
      </w:pPr>
      <w:r>
        <w:t xml:space="preserve">5.1 The absolute boundaries</w:t>
      </w:r>
    </w:p>
    <w:p>
      <w:pPr>
        <w:pStyle w:val="ListParagraph"/>
        <w:numPr>
          <w:ilvl w:val="0"/>
          <w:numId w:val="2"/>
        </w:numPr>
        <w:spacing w:after="80" w:line="264"/>
      </w:pPr>
      <w:r>
        <w:rPr>
          <w:rFonts w:ascii="Inter" w:cs="Inter" w:eastAsia="Inter" w:hAnsi="Inter"/>
          <w:b/>
          <w:bCs/>
          <w:color w:val="13202E"/>
          <w:sz w:val="21"/>
          <w:szCs w:val="21"/>
        </w:rPr>
        <w:t xml:space="preserve">No ‘could not load’ in front of a customer. </w:t>
      </w:r>
      <w:r>
        <w:rPr>
          <w:rFonts w:ascii="Inter" w:cs="Inter" w:eastAsia="Inter" w:hAnsi="Inter"/>
          <w:color w:val="13202E"/>
          <w:sz w:val="21"/>
          <w:szCs w:val="21"/>
        </w:rPr>
        <w:t xml:space="preserve">A widget or page must never show “view could not load” and then work on retry. Failures are handled with honest, retryable, branded states — and the forbidden phrase is banned by lint and tested for its absence (the honesty contract, Part 2).</w:t>
      </w:r>
    </w:p>
    <w:p>
      <w:pPr>
        <w:pStyle w:val="ListParagraph"/>
        <w:numPr>
          <w:ilvl w:val="0"/>
          <w:numId w:val="2"/>
        </w:numPr>
        <w:spacing w:after="80" w:line="264"/>
      </w:pPr>
      <w:r>
        <w:rPr>
          <w:rFonts w:ascii="Inter" w:cs="Inter" w:eastAsia="Inter" w:hAnsi="Inter"/>
          <w:b/>
          <w:bCs/>
          <w:color w:val="13202E"/>
          <w:sz w:val="21"/>
          <w:szCs w:val="21"/>
        </w:rPr>
        <w:t xml:space="preserve">No dead controls. </w:t>
      </w:r>
      <w:r>
        <w:rPr>
          <w:rFonts w:ascii="Inter" w:cs="Inter" w:eastAsia="Inter" w:hAnsi="Inter"/>
          <w:color w:val="13202E"/>
          <w:sz w:val="21"/>
          <w:szCs w:val="21"/>
        </w:rPr>
        <w:t xml:space="preserve">Every button — search, load investigation, calculate risk, export PDF, min/max — performs its function 100% of the time, or it is not shown.</w:t>
      </w:r>
    </w:p>
    <w:p>
      <w:pPr>
        <w:pStyle w:val="ListParagraph"/>
        <w:numPr>
          <w:ilvl w:val="0"/>
          <w:numId w:val="2"/>
        </w:numPr>
        <w:spacing w:after="80" w:line="264"/>
      </w:pPr>
      <w:r>
        <w:rPr>
          <w:rFonts w:ascii="Inter" w:cs="Inter" w:eastAsia="Inter" w:hAnsi="Inter"/>
          <w:b/>
          <w:bCs/>
          <w:color w:val="13202E"/>
          <w:sz w:val="21"/>
          <w:szCs w:val="21"/>
        </w:rPr>
        <w:t xml:space="preserve">No PK/FK surprises. </w:t>
      </w:r>
      <w:r>
        <w:rPr>
          <w:rFonts w:ascii="Inter" w:cs="Inter" w:eastAsia="Inter" w:hAnsi="Inter"/>
          <w:color w:val="13202E"/>
          <w:sz w:val="21"/>
          <w:szCs w:val="21"/>
        </w:rPr>
        <w:t xml:space="preserve">Every API, endpoint, SQL, table and join is sized and tested so no expected failure occurs from a primary/foreign-key or referential issue. Nothing surprises the presenter mid-demo.</w:t>
      </w:r>
    </w:p>
    <w:p>
      <w:pPr>
        <w:pStyle w:val="Heading2"/>
      </w:pPr>
      <w:r>
        <w:t xml:space="preserve">5.2 The standard component contract</w:t>
      </w:r>
    </w:p>
    <w:p>
      <w:pPr>
        <w:spacing w:after="130" w:before="0" w:line="268"/>
      </w:pPr>
      <w:r>
        <w:rPr>
          <w:rFonts w:ascii="Inter" w:cs="Inter" w:eastAsia="Inter" w:hAnsi="Inter"/>
          <w:color w:val="13202E"/>
          <w:sz w:val="21"/>
          <w:szCs w:val="21"/>
        </w:rPr>
        <w:t xml:space="preserve">There is one design system, applied everywhere, now and in future — the exact opposite of the Material-Investigation page where the search field, the load button, the calculate-risk button and the PDF button did 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Surface</w:t>
            </w:r>
          </w:p>
        </w:tc>
        <w:tc>
          <w:tcPr>
            <w:tcW w:type="dxa" w:w="7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Standard</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Buttons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One button system (primary / secondary / destructive), one size scale, one radius, one disabled state — identical on every page.</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Tables</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One table style: header, row striping, density, sort/filter affordances, empty and loading states.</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Tabs &amp; labels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Consistent wording, casing and tab styling across every page and dashboard.</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Layout &amp; alignment</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Page alignment, component orientation and spacing are consistent and deliberate on every screen — professional UI/UX, not ad hoc.</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Widgets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Drag, move, minimize and maximize behave identically for every widget and chart.</w:t>
            </w:r>
          </w:p>
        </w:tc>
      </w:tr>
    </w:tbl>
    <w:p>
      <w:pPr>
        <w:pStyle w:val="Heading2"/>
      </w:pPr>
      <w:r>
        <w:t xml:space="preserve">5.3 Resilience, loading &amp; responsiveness</w:t>
      </w:r>
    </w:p>
    <w:p>
      <w:pPr>
        <w:pStyle w:val="ListParagraph"/>
        <w:numPr>
          <w:ilvl w:val="0"/>
          <w:numId w:val="2"/>
        </w:numPr>
        <w:spacing w:after="80" w:line="264"/>
      </w:pPr>
      <w:r>
        <w:rPr>
          <w:rFonts w:ascii="Inter" w:cs="Inter" w:eastAsia="Inter" w:hAnsi="Inter"/>
          <w:b/>
          <w:bCs/>
          <w:color w:val="13202E"/>
          <w:sz w:val="21"/>
          <w:szCs w:val="21"/>
        </w:rPr>
        <w:t xml:space="preserve">Never hang or lag. </w:t>
      </w:r>
      <w:r>
        <w:rPr>
          <w:rFonts w:ascii="Inter" w:cs="Inter" w:eastAsia="Inter" w:hAnsi="Inter"/>
          <w:color w:val="13202E"/>
          <w:sz w:val="21"/>
          <w:szCs w:val="21"/>
        </w:rPr>
        <w:t xml:space="preserve">Endpoints have timeouts and row caps; a long operation on a large dataset shows a loading indicator with a progress percentage, not a frozen screen.</w:t>
      </w:r>
    </w:p>
    <w:p>
      <w:pPr>
        <w:pStyle w:val="ListParagraph"/>
        <w:numPr>
          <w:ilvl w:val="0"/>
          <w:numId w:val="2"/>
        </w:numPr>
        <w:spacing w:after="80" w:line="264"/>
      </w:pPr>
      <w:r>
        <w:rPr>
          <w:rFonts w:ascii="Inter" w:cs="Inter" w:eastAsia="Inter" w:hAnsi="Inter"/>
          <w:b/>
          <w:bCs/>
          <w:color w:val="13202E"/>
          <w:sz w:val="21"/>
          <w:szCs w:val="21"/>
        </w:rPr>
        <w:t xml:space="preserve">Skeletons &amp; error boundaries. </w:t>
      </w:r>
      <w:r>
        <w:rPr>
          <w:rFonts w:ascii="Inter" w:cs="Inter" w:eastAsia="Inter" w:hAnsi="Inter"/>
          <w:color w:val="13202E"/>
          <w:sz w:val="21"/>
          <w:szCs w:val="21"/>
        </w:rPr>
        <w:t xml:space="preserve">Every data surface has a skeleton loading state and an error boundary that shows a calm, branded, retryable message — never a stack trace, never the forbidden phrase.</w:t>
      </w:r>
    </w:p>
    <w:p>
      <w:pPr>
        <w:pStyle w:val="ListParagraph"/>
        <w:numPr>
          <w:ilvl w:val="0"/>
          <w:numId w:val="2"/>
        </w:numPr>
        <w:spacing w:after="80" w:line="264"/>
      </w:pPr>
      <w:r>
        <w:rPr>
          <w:rFonts w:ascii="Inter" w:cs="Inter" w:eastAsia="Inter" w:hAnsi="Inter"/>
          <w:b/>
          <w:bCs/>
          <w:color w:val="13202E"/>
          <w:sz w:val="21"/>
          <w:szCs w:val="21"/>
        </w:rPr>
        <w:t xml:space="preserve">Responsive everywhere. </w:t>
      </w:r>
      <w:r>
        <w:rPr>
          <w:rFonts w:ascii="Inter" w:cs="Inter" w:eastAsia="Inter" w:hAnsi="Inter"/>
          <w:color w:val="13202E"/>
          <w:sz w:val="21"/>
          <w:szCs w:val="21"/>
        </w:rPr>
        <w:t xml:space="preserve">Every page renders correctly at any screen size, on any browser, over http or https, and re-adjusts cleanly — from a control-room display to a laptop.</w:t>
      </w:r>
    </w:p>
    <w:p>
      <w:pPr>
        <w:pStyle w:val="ListParagraph"/>
        <w:numPr>
          <w:ilvl w:val="0"/>
          <w:numId w:val="2"/>
        </w:numPr>
        <w:spacing w:after="80" w:line="264"/>
      </w:pPr>
      <w:r>
        <w:rPr>
          <w:rFonts w:ascii="Inter" w:cs="Inter" w:eastAsia="Inter" w:hAnsi="Inter"/>
          <w:b/>
          <w:bCs/>
          <w:color w:val="13202E"/>
          <w:sz w:val="21"/>
          <w:szCs w:val="21"/>
        </w:rPr>
        <w:t xml:space="preserve">Interactive widgets. </w:t>
      </w:r>
      <w:r>
        <w:rPr>
          <w:rFonts w:ascii="Inter" w:cs="Inter" w:eastAsia="Inter" w:hAnsi="Inter"/>
          <w:color w:val="13202E"/>
          <w:sz w:val="21"/>
          <w:szCs w:val="21"/>
        </w:rPr>
        <w:t xml:space="preserve">All charts are dynamic and interactive with working filter and sort; the heat map works correctly.</w:t>
      </w:r>
    </w:p>
    <w:p>
      <w:pPr>
        <w:pStyle w:val="Heading2"/>
      </w:pPr>
      <w:r>
        <w:t xml:space="preserve">5.4 The test-every-action discipline</w:t>
      </w:r>
    </w:p>
    <w:p>
      <w:pPr>
        <w:spacing w:after="130" w:before="0" w:line="268"/>
      </w:pPr>
      <w:r>
        <w:rPr>
          <w:rFonts w:ascii="Inter" w:cs="Inter" w:eastAsia="Inter" w:hAnsi="Inter"/>
          <w:color w:val="13202E"/>
          <w:sz w:val="21"/>
          <w:szCs w:val="21"/>
        </w:rPr>
        <w:t xml:space="preserve">Every button, component, hook and recall is exercised; every action on every page, sub-page and navigation path has an expected, tested result. This is the same discipline captured in the test matrix (now 182 enumerated cases including the ML-honesty contract and the value/ROI checks). The promise to the presenter is simple: there is no click that produces a surprise.</w:t>
      </w:r>
    </w:p>
    <w:p>
      <w:r>
        <w:br w:type="page"/>
      </w:r>
    </w:p>
    <w:p>
      <w:pPr>
        <w:pStyle w:val="Heading1"/>
      </w:pPr>
      <w:r>
        <w:t xml:space="preserve">6 · Brand Identity &amp; Design System</w:t>
      </w:r>
    </w:p>
    <w:p>
      <w:pPr>
        <w:spacing w:after="130" w:before="0" w:line="268"/>
      </w:pPr>
      <w:r>
        <w:rPr>
          <w:rFonts w:ascii="Inter" w:cs="Inter" w:eastAsia="Inter" w:hAnsi="Inter"/>
          <w:color w:val="13202E"/>
          <w:sz w:val="21"/>
          <w:szCs w:val="21"/>
        </w:rPr>
        <w:t xml:space="preserve">One identity across the website and every product and app — the </w:t>
      </w:r>
      <w:r>
        <w:rPr>
          <w:rFonts w:ascii="Inter" w:cs="Inter" w:eastAsia="Inter" w:hAnsi="Inter"/>
          <w:b/>
          <w:bCs/>
          <w:color w:val="13202E"/>
          <w:sz w:val="21"/>
          <w:szCs w:val="21"/>
        </w:rPr>
        <w:t xml:space="preserve">Dark Industrial Command Center</w:t>
      </w:r>
      <w:r>
        <w:rPr>
          <w:rFonts w:ascii="Inter" w:cs="Inter" w:eastAsia="Inter" w:hAnsi="Inter"/>
          <w:color w:val="13202E"/>
          <w:sz w:val="21"/>
          <w:szCs w:val="21"/>
        </w:rPr>
        <w:t xml:space="preserve">. It should feel like plant operations meeting data science: industrial, intelligent, trusted, technical, calm, evidence-based — never flashy consumer AI. (The brand voice and the say/never-say list are in Part 1.3.)</w:t>
      </w:r>
    </w:p>
    <w:p>
      <w:pPr>
        <w:pStyle w:val="Heading2"/>
      </w:pPr>
      <w:r>
        <w:t xml:space="preserve">6.1 Brand &amp; taglines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Attribute</w:t>
            </w:r>
          </w:p>
        </w:tc>
        <w:tc>
          <w:tcPr>
            <w:tcW w:type="dxa" w:w="69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Definition</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Product / Company</w:t>
            </w:r>
          </w:p>
        </w:tc>
        <w:tc>
          <w:tcPr>
            <w:tcW w:type="dxa" w:w="69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Product app: PlantProcess IQ · Company: SOU · Short name: PPIQ.</w:t>
            </w:r>
          </w:p>
        </w:tc>
      </w:tr>
      <w:tr>
        <w:tc>
          <w:tcPr>
            <w:tcW w:type="dxa" w:w="24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Primary tagline</w:t>
            </w:r>
          </w:p>
        </w:tc>
        <w:tc>
          <w:tcPr>
            <w:tcW w:type="dxa" w:w="69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Connect Your Plant Data. Understand Your Process.</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Secondary tagline</w:t>
            </w:r>
          </w:p>
        </w:tc>
        <w:tc>
          <w:tcPr>
            <w:tcW w:type="dxa" w:w="69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Process-to-quality intelligence for manufacturing plants.</w:t>
            </w:r>
          </w:p>
        </w:tc>
      </w:tr>
      <w:tr>
        <w:tc>
          <w:tcPr>
            <w:tcW w:type="dxa" w:w="24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Customer promise</w:t>
            </w:r>
          </w:p>
        </w:tc>
        <w:tc>
          <w:tcPr>
            <w:tcW w:type="dxa" w:w="69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Connect plant data. Discover quality drivers. Score risk earlier. Explain suspected contributors. Act with evidence.</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Elevator pitch</w:t>
            </w:r>
          </w:p>
        </w:tc>
        <w:tc>
          <w:tcPr>
            <w:tcW w:type="dxa" w:w="69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PlantProcess IQ connects fragmented MES, L2, inspection, lab and ERP data into one generic intelligence layer — enabling process engineers to investigate quality issues faster, detect suspected process contributors, and build custom monitoring dashboards without replacing existing systems.</w:t>
            </w:r>
          </w:p>
        </w:tc>
      </w:tr>
    </w:tbl>
    <w:p>
      <w:pPr>
        <w:pStyle w:val="Heading2"/>
      </w:pPr>
      <w:r>
        <w:t xml:space="preserve">6.2 Color palette — Dark Industrial Command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280"/>
        <w:gridCol w:w="2100"/>
        <w:gridCol w:w="4800"/>
      </w:tblGrid>
      <w:tr>
        <w:trPr>
          <w:tblHeader/>
        </w:trPr>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Swatch</w:t>
            </w:r>
          </w:p>
        </w:tc>
        <w:tc>
          <w:tcPr>
            <w:tcW w:type="dxa" w:w="12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Hex</w:t>
            </w:r>
          </w:p>
        </w:tc>
        <w:tc>
          <w:tcPr>
            <w:tcW w:type="dxa" w:w="21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Name</w:t>
            </w:r>
          </w:p>
        </w:tc>
        <w:tc>
          <w:tcPr>
            <w:tcW w:type="dxa" w:w="48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Application</w:t>
            </w:r>
          </w:p>
        </w:tc>
      </w:tr>
      <w:tr>
        <w:tc>
          <w:tcPr>
            <w:tcW w:type="dxa" w:w="1180"/>
            <w:tcBorders>
              <w:top w:val="single" w:color="C9D6E2" w:sz="1"/>
              <w:left w:val="single" w:color="C9D6E2" w:sz="1"/>
              <w:bottom w:val="single" w:color="C9D6E2" w:sz="1"/>
              <w:right w:val="single" w:color="C9D6E2" w:sz="1"/>
            </w:tcBorders>
            <w:shd w:fill="050B18"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#050B18</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Deep Navy Black</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App background, website hero, cover/landing.</w:t>
            </w:r>
          </w:p>
        </w:tc>
      </w:tr>
      <w:tr>
        <w:tc>
          <w:tcPr>
            <w:tcW w:type="dxa" w:w="1180"/>
            <w:tcBorders>
              <w:top w:val="single" w:color="C9D6E2" w:sz="1"/>
              <w:left w:val="single" w:color="C9D6E2" w:sz="1"/>
              <w:bottom w:val="single" w:color="C9D6E2" w:sz="1"/>
              <w:right w:val="single" w:color="C9D6E2" w:sz="1"/>
            </w:tcBorders>
            <w:shd w:fill="0B1730"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#0B1730</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Panel Navy</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Sidebar, cards, modals, admin panels.</w:t>
            </w:r>
          </w:p>
        </w:tc>
      </w:tr>
      <w:tr>
        <w:tc>
          <w:tcPr>
            <w:tcW w:type="dxa" w:w="118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#102A43</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Industrial Blue</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Table header rows, nav bar, section dividers.</w:t>
            </w:r>
          </w:p>
        </w:tc>
      </w:tr>
      <w:tr>
        <w:tc>
          <w:tcPr>
            <w:tcW w:type="dxa" w:w="1180"/>
            <w:tcBorders>
              <w:top w:val="single" w:color="C9D6E2" w:sz="1"/>
              <w:left w:val="single" w:color="C9D6E2" w:sz="1"/>
              <w:bottom w:val="single" w:color="C9D6E2" w:sz="1"/>
              <w:right w:val="single" w:color="C9D6E2" w:sz="1"/>
            </w:tcBorders>
            <w:shd w:fill="0A84FF"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#0A84FF</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Electric Blue</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Primary buttons, active links, active nav, badge fills.</w:t>
            </w:r>
          </w:p>
        </w:tc>
      </w:tr>
      <w:tr>
        <w:tc>
          <w:tcPr>
            <w:tcW w:type="dxa" w:w="1180"/>
            <w:tcBorders>
              <w:top w:val="single" w:color="C9D6E2" w:sz="1"/>
              <w:left w:val="single" w:color="C9D6E2" w:sz="1"/>
              <w:bottom w:val="single" w:color="C9D6E2" w:sz="1"/>
              <w:right w:val="single" w:color="C9D6E2" w:sz="1"/>
            </w:tcBorders>
            <w:shd w:fill="00D4FF"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#00D4FF</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Electric Cyan</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Icon glow, chart primary series, divider lines, hover.</w:t>
            </w:r>
          </w:p>
        </w:tc>
      </w:tr>
      <w:tr>
        <w:tc>
          <w:tcPr>
            <w:tcW w:type="dxa" w:w="1180"/>
            <w:tcBorders>
              <w:top w:val="single" w:color="C9D6E2" w:sz="1"/>
              <w:left w:val="single" w:color="C9D6E2" w:sz="1"/>
              <w:bottom w:val="single" w:color="C9D6E2" w:sz="1"/>
              <w:right w:val="single" w:color="C9D6E2" w:sz="1"/>
            </w:tcBorders>
            <w:shd w:fill="2F80ED"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#2F80ED</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Corporate Blue</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Secondary buttons, info badges, secondary series.</w:t>
            </w:r>
          </w:p>
        </w:tc>
      </w:tr>
      <w:tr>
        <w:tc>
          <w:tcPr>
            <w:tcW w:type="dxa" w:w="1180"/>
            <w:tcBorders>
              <w:top w:val="single" w:color="C9D6E2" w:sz="1"/>
              <w:left w:val="single" w:color="C9D6E2" w:sz="1"/>
              <w:bottom w:val="single" w:color="C9D6E2" w:sz="1"/>
              <w:right w:val="single" w:color="C9D6E2" w:sz="1"/>
            </w:tcBorders>
            <w:shd w:fill="2CE6A2"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#2CE6A2</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Cyan Green</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Job running, status OK, validation passed, positive.</w:t>
            </w:r>
          </w:p>
        </w:tc>
      </w:tr>
      <w:tr>
        <w:tc>
          <w:tcPr>
            <w:tcW w:type="dxa" w:w="1180"/>
            <w:tcBorders>
              <w:top w:val="single" w:color="C9D6E2" w:sz="1"/>
              <w:left w:val="single" w:color="C9D6E2" w:sz="1"/>
              <w:bottom w:val="single" w:color="C9D6E2" w:sz="1"/>
              <w:right w:val="single" w:color="C9D6E2" w:sz="1"/>
            </w:tcBorders>
            <w:shd w:fill="FFB020"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#FFB020</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Amber</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Data-quality warnings, partial status, pending.</w:t>
            </w:r>
          </w:p>
        </w:tc>
      </w:tr>
      <w:tr>
        <w:tc>
          <w:tcPr>
            <w:tcW w:type="dxa" w:w="1180"/>
            <w:tcBorders>
              <w:top w:val="single" w:color="C9D6E2" w:sz="1"/>
              <w:left w:val="single" w:color="C9D6E2" w:sz="1"/>
              <w:bottom w:val="single" w:color="C9D6E2" w:sz="1"/>
              <w:right w:val="single" w:color="C9D6E2" w:sz="1"/>
            </w:tcBorders>
            <w:shd w:fill="FF4D6D"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#FF4D6D</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Hot Red</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Critical errors, security flags, failed jobs.</w:t>
            </w:r>
          </w:p>
        </w:tc>
      </w:tr>
      <w:tr>
        <w:tc>
          <w:tcPr>
            <w:tcW w:type="dxa" w:w="1180"/>
            <w:tcBorders>
              <w:top w:val="single" w:color="C9D6E2" w:sz="1"/>
              <w:left w:val="single" w:color="C9D6E2" w:sz="1"/>
              <w:bottom w:val="single" w:color="C9D6E2" w:sz="1"/>
              <w:right w:val="single" w:color="C9D6E2" w:sz="1"/>
            </w:tcBorders>
            <w:shd w:fill="EAF6FF"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#EAF6FF</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Near White</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Primary text on dark surfaces.</w:t>
            </w:r>
          </w:p>
        </w:tc>
      </w:tr>
      <w:tr>
        <w:tc>
          <w:tcPr>
            <w:tcW w:type="dxa" w:w="1180"/>
            <w:tcBorders>
              <w:top w:val="single" w:color="C9D6E2" w:sz="1"/>
              <w:left w:val="single" w:color="C9D6E2" w:sz="1"/>
              <w:bottom w:val="single" w:color="C9D6E2" w:sz="1"/>
              <w:right w:val="single" w:color="C9D6E2" w:sz="1"/>
            </w:tcBorders>
            <w:shd w:fill="8EA7C1"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#8EA7C1</w:t>
            </w:r>
          </w:p>
        </w:tc>
        <w:tc>
          <w:tcPr>
            <w:tcW w:type="dxa" w:w="21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Muted Steel</w:t>
            </w:r>
          </w:p>
        </w:tc>
        <w:tc>
          <w:tcPr>
            <w:tcW w:type="dxa" w:w="48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Secondary labels, metadata, timestamps.</w:t>
            </w:r>
          </w:p>
        </w:tc>
      </w:tr>
      <w:tr>
        <w:tc>
          <w:tcPr>
            <w:tcW w:type="dxa" w:w="1180"/>
            <w:tcBorders>
              <w:top w:val="single" w:color="C9D6E2" w:sz="1"/>
              <w:left w:val="single" w:color="C9D6E2" w:sz="1"/>
              <w:bottom w:val="single" w:color="C9D6E2" w:sz="1"/>
              <w:right w:val="single" w:color="C9D6E2" w:sz="1"/>
            </w:tcBorders>
            <w:shd w:fill="F4F6F8" w:val="clear"/>
            <w:tcMar>
              <w:top w:type="dxa" w:w="64"/>
              <w:left w:type="dxa" w:w="110"/>
              <w:bottom w:type="dxa" w:w="64"/>
              <w:right w:type="dxa" w:w="110"/>
            </w:tcMar>
            <w:vAlign w:val="top"/>
          </w:tcPr>
          <w:p>
            <w:pPr>
              <w:spacing w:after="0"/>
            </w:pPr>
            <w:r>
              <w:rPr>
                <w:rFonts w:ascii="Inter" w:cs="Inter" w:eastAsia="Inter" w:hAnsi="Inter"/>
                <w:color w:val="13202E"/>
                <w:sz w:val="18"/>
                <w:szCs w:val="18"/>
              </w:rPr>
              <w:t xml:space="preserve">    </w:t>
            </w:r>
          </w:p>
        </w:tc>
        <w:tc>
          <w:tcPr>
            <w:tcW w:type="dxa" w:w="128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pPr>
            <w:r>
              <w:rPr>
                <w:rFonts w:ascii="JetBrains Mono" w:cs="JetBrains Mono" w:eastAsia="JetBrains Mono" w:hAnsi="JetBrains Mono"/>
                <w:color w:val="1C3A5E"/>
                <w:sz w:val="18"/>
                <w:szCs w:val="18"/>
              </w:rPr>
              <w:t xml:space="preserve">#F4F6F8</w:t>
            </w:r>
          </w:p>
        </w:tc>
        <w:tc>
          <w:tcPr>
            <w:tcW w:type="dxa" w:w="21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8"/>
                <w:szCs w:val="18"/>
              </w:rPr>
              <w:t xml:space="preserve">Light Grey</w:t>
            </w:r>
          </w:p>
        </w:tc>
        <w:tc>
          <w:tcPr>
            <w:tcW w:type="dxa" w:w="48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color w:val="13202E"/>
                <w:sz w:val="18"/>
                <w:szCs w:val="18"/>
              </w:rPr>
              <w:t xml:space="preserve">PDF reports, printed deliverables, email surfaces.</w:t>
            </w:r>
          </w:p>
        </w:tc>
      </w:tr>
    </w:tbl>
    <w:p>
      <w:pPr>
        <w:pStyle w:val="Heading2"/>
      </w:pPr>
      <w: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Element</w:t>
            </w:r>
          </w:p>
        </w:tc>
        <w:tc>
          <w:tcPr>
            <w:tcW w:type="dxa" w:w="24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Font</w:t>
            </w:r>
          </w:p>
        </w:tc>
        <w:tc>
          <w:tcPr>
            <w:tcW w:type="dxa" w:w="45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Notes</w:t>
            </w:r>
          </w:p>
        </w:tc>
      </w:tr>
      <w:tr>
        <w:tc>
          <w:tcPr>
            <w:tcW w:type="dxa" w:w="24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Primary UI</w:t>
            </w:r>
          </w:p>
        </w:tc>
        <w:tc>
          <w:tcPr>
            <w:tcW w:type="dxa" w:w="240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Inter</w:t>
            </w:r>
          </w:p>
        </w:tc>
        <w:tc>
          <w:tcPr>
            <w:tcW w:type="dxa" w:w="4560"/>
            <w:tcBorders>
              <w:top w:val="single" w:color="C9D6E2" w:sz="1"/>
              <w:left w:val="single" w:color="C9D6E2" w:sz="1"/>
              <w:bottom w:val="single" w:color="C9D6E2" w:sz="1"/>
              <w:right w:val="single" w:color="C9D6E2" w:sz="1"/>
            </w:tcBorders>
            <w:shd w:fill="EAF1F8" w:val="clear"/>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Clean technical sans-serif. IBM Plex Sans or Sora acceptable. Avoid playful fonts.</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Monospace (SQL/code)</w:t>
            </w:r>
          </w:p>
        </w:tc>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JetBrains Mono</w:t>
            </w:r>
          </w:p>
        </w:tc>
        <w:tc>
          <w:tcPr>
            <w:tcW w:type="dxa" w:w="45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SQL editor, schema config, code/JSON preview, terminal output — as used throughout this document.</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Minimum body size</w:t>
            </w:r>
          </w:p>
        </w:tc>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14px web / 12pt PDF</w:t>
            </w:r>
          </w:p>
        </w:tc>
        <w:tc>
          <w:tcPr>
            <w:tcW w:type="dxa" w:w="45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Accessibility floor. Never smaller for customer-visible text.</w:t>
            </w:r>
          </w:p>
        </w:tc>
      </w:tr>
      <w:tr>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Heading scale</w:t>
            </w:r>
          </w:p>
        </w:tc>
        <w:tc>
          <w:tcPr>
            <w:tcW w:type="dxa" w:w="24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48/36/28/20/16 web</w:t>
            </w:r>
          </w:p>
        </w:tc>
        <w:tc>
          <w:tcPr>
            <w:tcW w:type="dxa" w:w="45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color w:val="13202E"/>
                <w:sz w:val="19"/>
                <w:szCs w:val="19"/>
              </w:rPr>
              <w:t xml:space="preserve">App: 24/18/14/12. Consistent across all surfaces.</w:t>
            </w:r>
          </w:p>
        </w:tc>
      </w:tr>
    </w:tbl>
    <w:p>
      <w:pPr>
        <w:pStyle w:val="Heading2"/>
      </w:pPr>
      <w:r>
        <w:t xml:space="preserve">6.4 Logo brief</w:t>
      </w:r>
    </w:p>
    <w:p>
      <w:pPr>
        <w:pStyle w:val="ListParagraph"/>
        <w:numPr>
          <w:ilvl w:val="0"/>
          <w:numId w:val="2"/>
        </w:numPr>
        <w:spacing w:after="80" w:line="264"/>
      </w:pPr>
      <w:r>
        <w:rPr>
          <w:rFonts w:ascii="Inter" w:cs="Inter" w:eastAsia="Inter" w:hAnsi="Inter"/>
          <w:b/>
          <w:bCs/>
          <w:color w:val="13202E"/>
          <w:sz w:val="21"/>
          <w:szCs w:val="21"/>
        </w:rPr>
        <w:t xml:space="preserve">Concept: </w:t>
      </w:r>
      <w:r>
        <w:rPr>
          <w:rFonts w:ascii="Inter" w:cs="Inter" w:eastAsia="Inter" w:hAnsi="Inter"/>
          <w:color w:val="13202E"/>
          <w:sz w:val="21"/>
          <w:szCs w:val="21"/>
        </w:rPr>
        <w:t xml:space="preserve">a connected-node process line / circuit-like genealogy path — referencing both plant process steps and data-network topology. It must work for aluminum, pharma, paper and automotive equally; avoid steel-only coil/slab symbols.</w:t>
      </w:r>
    </w:p>
    <w:p>
      <w:pPr>
        <w:pStyle w:val="ListParagraph"/>
        <w:numPr>
          <w:ilvl w:val="0"/>
          <w:numId w:val="2"/>
        </w:numPr>
        <w:spacing w:after="80" w:line="264"/>
      </w:pPr>
      <w:r>
        <w:rPr>
          <w:rFonts w:ascii="Inter" w:cs="Inter" w:eastAsia="Inter" w:hAnsi="Inter"/>
          <w:b/>
          <w:bCs/>
          <w:color w:val="13202E"/>
          <w:sz w:val="21"/>
          <w:szCs w:val="21"/>
        </w:rPr>
        <w:t xml:space="preserve">Mark: </w:t>
      </w:r>
      <w:r>
        <w:rPr>
          <w:rFonts w:ascii="Inter" w:cs="Inter" w:eastAsia="Inter" w:hAnsi="Inter"/>
          <w:color w:val="13202E"/>
          <w:sz w:val="21"/>
          <w:szCs w:val="21"/>
        </w:rPr>
        <w:t xml:space="preserve">a hexagonal-grid fragment or interconnected nodes — 4–6 nodes, one dominant central node, connected by clean lines. Geometric and technical, not cold.</w:t>
      </w:r>
    </w:p>
    <w:p>
      <w:pPr>
        <w:pStyle w:val="ListParagraph"/>
        <w:numPr>
          <w:ilvl w:val="0"/>
          <w:numId w:val="2"/>
        </w:numPr>
        <w:spacing w:after="80" w:line="264"/>
      </w:pPr>
      <w:r>
        <w:rPr>
          <w:rFonts w:ascii="Inter" w:cs="Inter" w:eastAsia="Inter" w:hAnsi="Inter"/>
          <w:b/>
          <w:bCs/>
          <w:color w:val="13202E"/>
          <w:sz w:val="21"/>
          <w:szCs w:val="21"/>
        </w:rPr>
        <w:t xml:space="preserve">Colors: </w:t>
      </w:r>
      <w:r>
        <w:rPr>
          <w:rFonts w:ascii="Inter" w:cs="Inter" w:eastAsia="Inter" w:hAnsi="Inter"/>
          <w:color w:val="13202E"/>
          <w:sz w:val="21"/>
          <w:szCs w:val="21"/>
        </w:rPr>
        <w:t xml:space="preserve">Electric Cyan (#00D4FF) nodes on Deep Navy Black (#050B18); white variant for dark backgrounds, dark variant for light/PDF.</w:t>
      </w:r>
    </w:p>
    <w:p>
      <w:pPr>
        <w:pStyle w:val="ListParagraph"/>
        <w:numPr>
          <w:ilvl w:val="0"/>
          <w:numId w:val="2"/>
        </w:numPr>
        <w:spacing w:after="80" w:line="264"/>
      </w:pPr>
      <w:r>
        <w:rPr>
          <w:rFonts w:ascii="Inter" w:cs="Inter" w:eastAsia="Inter" w:hAnsi="Inter"/>
          <w:b/>
          <w:bCs/>
          <w:color w:val="13202E"/>
          <w:sz w:val="21"/>
          <w:szCs w:val="21"/>
        </w:rPr>
        <w:t xml:space="preserve">Wordmark: </w:t>
      </w:r>
      <w:r>
        <w:rPr>
          <w:rFonts w:ascii="Inter" w:cs="Inter" w:eastAsia="Inter" w:hAnsi="Inter"/>
          <w:color w:val="13202E"/>
          <w:sz w:val="21"/>
          <w:szCs w:val="21"/>
        </w:rPr>
        <w:t xml:space="preserve">“PlantProcess” in Inter Bold, “IQ” in Electric Cyan and a slightly heavier weight to draw the eye.</w:t>
      </w:r>
    </w:p>
    <w:p>
      <w:pPr>
        <w:pStyle w:val="ListParagraph"/>
        <w:numPr>
          <w:ilvl w:val="0"/>
          <w:numId w:val="2"/>
        </w:numPr>
        <w:spacing w:after="80" w:line="264"/>
      </w:pPr>
      <w:r>
        <w:rPr>
          <w:rFonts w:ascii="Inter" w:cs="Inter" w:eastAsia="Inter" w:hAnsi="Inter"/>
          <w:b/>
          <w:bCs/>
          <w:color w:val="13202E"/>
          <w:sz w:val="21"/>
          <w:szCs w:val="21"/>
        </w:rPr>
        <w:t xml:space="preserve">Variants: </w:t>
      </w:r>
      <w:r>
        <w:rPr>
          <w:rFonts w:ascii="Inter" w:cs="Inter" w:eastAsia="Inter" w:hAnsi="Inter"/>
          <w:color w:val="13202E"/>
          <w:sz w:val="21"/>
          <w:szCs w:val="21"/>
        </w:rPr>
        <w:t xml:space="preserve">full horizontal, icon-only favicon, stacked vertical — each in full color, dark, light and monochrome.</w:t>
      </w:r>
    </w:p>
    <w:p>
      <w:pPr>
        <w:pStyle w:val="ListParagraph"/>
        <w:numPr>
          <w:ilvl w:val="0"/>
          <w:numId w:val="2"/>
        </w:numPr>
        <w:spacing w:after="80" w:line="264"/>
      </w:pPr>
      <w:r>
        <w:rPr>
          <w:rFonts w:ascii="Inter" w:cs="Inter" w:eastAsia="Inter" w:hAnsi="Inter"/>
          <w:b/>
          <w:bCs/>
          <w:color w:val="13202E"/>
          <w:sz w:val="21"/>
          <w:szCs w:val="21"/>
        </w:rPr>
        <w:t xml:space="preserve">Do not: </w:t>
      </w:r>
      <w:r>
        <w:rPr>
          <w:rFonts w:ascii="Inter" w:cs="Inter" w:eastAsia="Inter" w:hAnsi="Inter"/>
          <w:color w:val="13202E"/>
          <w:sz w:val="21"/>
          <w:szCs w:val="21"/>
        </w:rPr>
        <w:t xml:space="preserve">rotate, recolor outside the palette, stretch, add drop shadows, place on low-contrast backgrounds, use steel imagery, or box it in a generic square.</w:t>
      </w:r>
    </w:p>
    <w:p>
      <w:pPr>
        <w:pStyle w:val="Heading2"/>
      </w:pPr>
      <w:r>
        <w:t xml:space="preserve">6.5 In-app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Location</w:t>
            </w:r>
          </w:p>
        </w:tc>
        <w:tc>
          <w:tcPr>
            <w:tcW w:type="dxa" w:w="7060"/>
            <w:tcBorders>
              <w:top w:val="single" w:color="C9D6E2" w:sz="1"/>
              <w:left w:val="single" w:color="C9D6E2" w:sz="1"/>
              <w:bottom w:val="single" w:color="C9D6E2" w:sz="1"/>
              <w:right w:val="single" w:color="C9D6E2" w:sz="1"/>
            </w:tcBorders>
            <w:shd w:fill="102A43" w:val="clear"/>
            <w:tcMar>
              <w:top w:type="dxa" w:w="64"/>
              <w:left w:type="dxa" w:w="110"/>
              <w:bottom w:type="dxa" w:w="64"/>
              <w:right w:type="dxa" w:w="110"/>
            </w:tcMar>
            <w:vAlign w:val="top"/>
          </w:tcPr>
          <w:p>
            <w:pPr>
              <w:spacing w:after="0" w:line="252"/>
            </w:pPr>
            <w:r>
              <w:rPr>
                <w:rFonts w:ascii="Inter" w:cs="Inter" w:eastAsia="Inter" w:hAnsi="Inter"/>
                <w:b/>
                <w:bCs/>
                <w:color w:val="EAF6FF"/>
                <w:sz w:val="19"/>
                <w:szCs w:val="19"/>
              </w:rPr>
              <w:t xml:space="preserve">Dark Industrial implementation</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Page background</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Deep Navy Black (#050B18), full-bleed; no white space on main surfaces.</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Navigation bar</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Panel Navy (#0B1730); logo left; Electric Blue active state; Muted Steel inactive; height 56px.</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Sidebar</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Industrial Blue (#102A43); icon + label; active = Electric Cyan left border + Electric Blue tint; hover = subtle cyan glow.</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Cards / panels</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Panel Navy fill; 1px Electric Cyan border on hover; 12px radius; subtle shadow.</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Primary buttons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Electric Blue (#0A84FF) fill; Near-White text; Inter 14px semi-bold; 8px radius; hover darken 10%; disabled 0.35 opacity.</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Charts</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Primary series Electric Cyan; secondary Corporate Blue; success Cyan Green; alert Hot Red.</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Status badges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Running/OK = Cyan Green dot; Warning = Amber; Failed = Hot Red; Planned = Muted Steel.</w:t>
            </w:r>
          </w:p>
        </w:tc>
      </w:tr>
      <w:tr>
        <w:tc>
          <w:tcPr>
            <w:tcW w:type="dxa" w:w="230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License tier badge</w:t>
            </w:r>
          </w:p>
        </w:tc>
        <w:tc>
          <w:tcPr>
            <w:tcW w:type="dxa" w:w="7060"/>
            <w:tcBorders>
              <w:top w:val="single" w:color="C9D6E2" w:sz="1"/>
              <w:left w:val="single" w:color="C9D6E2" w:sz="1"/>
              <w:bottom w:val="single" w:color="C9D6E2" w:sz="1"/>
              <w:right w:val="single" w:color="C9D6E2" w:sz="1"/>
            </w:tcBorders>
            <w:shd w:fill="F2F6FA" w:val="clear"/>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Top-right header: Lite = Muted Steel, Pro = Amber, Pro Plus = Electric Blue, Enterprise = Cyan Green.</w:t>
            </w:r>
          </w:p>
        </w:tc>
      </w:tr>
      <w:tr>
        <w:tc>
          <w:tcPr>
            <w:tcW w:type="dxa" w:w="230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bCs/>
                <w:color w:val="13202E"/>
                <w:sz w:val="19"/>
                <w:szCs w:val="19"/>
              </w:rPr>
              <w:t xml:space="preserve">Reports / PDFs</w:t>
            </w:r>
          </w:p>
        </w:tc>
        <w:tc>
          <w:tcPr>
            <w:tcW w:type="dxa" w:w="7060"/>
            <w:tcBorders>
              <w:top w:val="single" w:color="C9D6E2" w:sz="1"/>
              <w:left w:val="single" w:color="C9D6E2" w:sz="1"/>
              <w:bottom w:val="single" w:color="C9D6E2" w:sz="1"/>
              <w:right w:val="single" w:color="C9D6E2" w:sz="1"/>
            </w:tcBorders>
            <w:tcMar>
              <w:top w:type="dxa" w:w="64"/>
              <w:left w:type="dxa" w:w="110"/>
              <w:bottom w:type="dxa" w:w="64"/>
              <w:right w:type="dxa" w:w="110"/>
            </w:tcMar>
            <w:vAlign w:val="top"/>
          </w:tcPr>
          <w:p>
            <w:pPr>
              <w:spacing w:after="0" w:line="252"/>
            </w:pPr>
            <w:r>
              <w:rPr>
                <w:rFonts w:ascii="Inter" w:cs="Inter" w:eastAsia="Inter" w:hAnsi="Inter"/>
                <w:b w:val="false"/>
                <w:bCs w:val="false"/>
                <w:color w:val="13202E"/>
                <w:sz w:val="19"/>
                <w:szCs w:val="19"/>
              </w:rPr>
              <w:t xml:space="preserve">Switch to Light Mode (Light Grey surfaces); brand header/footer maintained — as in this document.</w:t>
            </w:r>
          </w:p>
        </w:tc>
      </w:tr>
    </w:tbl>
    <w:p>
      <w:r>
        <w:br w:type="page"/>
      </w:r>
    </w:p>
    <w:p>
      <w:pPr>
        <w:pStyle w:val="Heading1"/>
      </w:pPr>
      <w:r>
        <w:t xml:space="preserve">7 · The Demo Doctrine</w:t>
      </w:r>
    </w:p>
    <w:p>
      <w:pPr>
        <w:spacing w:after="130" w:before="0" w:line="268"/>
      </w:pPr>
      <w:r>
        <w:rPr>
          <w:rFonts w:ascii="Inter" w:cs="Inter" w:eastAsia="Inter" w:hAnsi="Inter"/>
          <w:b/>
          <w:bCs/>
          <w:color w:val="13202E"/>
          <w:sz w:val="21"/>
          <w:szCs w:val="21"/>
        </w:rPr>
        <w:t xml:space="preserve">Golden rule. </w:t>
      </w:r>
      <w:r>
        <w:rPr>
          <w:rFonts w:ascii="Inter" w:cs="Inter" w:eastAsia="Inter" w:hAnsi="Inter"/>
          <w:color w:val="13202E"/>
          <w:sz w:val="21"/>
          <w:szCs w:val="21"/>
        </w:rPr>
        <w:t xml:space="preserve">The demo is not a separate app or an extra layer. It is the first release — the trial version — running on a premade, realistic dataset. Treating it that way is what forces the product to be genuinely finished.</w:t>
      </w:r>
    </w:p>
    <w:p>
      <w:pPr>
        <w:pStyle w:val="ListParagraph"/>
        <w:numPr>
          <w:ilvl w:val="0"/>
          <w:numId w:val="2"/>
        </w:numPr>
        <w:spacing w:after="80" w:line="264"/>
      </w:pPr>
      <w:r>
        <w:rPr>
          <w:rFonts w:ascii="Inter" w:cs="Inter" w:eastAsia="Inter" w:hAnsi="Inter"/>
          <w:b/>
          <w:bCs/>
          <w:color w:val="13202E"/>
          <w:sz w:val="21"/>
          <w:szCs w:val="21"/>
        </w:rPr>
        <w:t xml:space="preserve">No hardcoded pages or widgets. </w:t>
      </w:r>
      <w:r>
        <w:rPr>
          <w:rFonts w:ascii="Inter" w:cs="Inter" w:eastAsia="Inter" w:hAnsi="Inter"/>
          <w:color w:val="13202E"/>
          <w:sz w:val="21"/>
          <w:szCs w:val="21"/>
        </w:rPr>
        <w:t xml:space="preserve">We prepare the databases and data sources with the dataset, then do everything else from the HMI: configure DB links, create jobs, build pages, configure and bind widgets, and write the widget script layer — exactly as a customer would.</w:t>
      </w:r>
    </w:p>
    <w:p>
      <w:pPr>
        <w:pStyle w:val="ListParagraph"/>
        <w:numPr>
          <w:ilvl w:val="0"/>
          <w:numId w:val="2"/>
        </w:numPr>
        <w:spacing w:after="80" w:line="264"/>
      </w:pPr>
      <w:r>
        <w:rPr>
          <w:rFonts w:ascii="Inter" w:cs="Inter" w:eastAsia="Inter" w:hAnsi="Inter"/>
          <w:b/>
          <w:bCs/>
          <w:color w:val="13202E"/>
          <w:sz w:val="21"/>
          <w:szCs w:val="21"/>
        </w:rPr>
        <w:t xml:space="preserve">Real-user experience. </w:t>
      </w:r>
      <w:r>
        <w:rPr>
          <w:rFonts w:ascii="Inter" w:cs="Inter" w:eastAsia="Inter" w:hAnsi="Inter"/>
          <w:color w:val="13202E"/>
          <w:sz w:val="21"/>
          <w:szCs w:val="21"/>
        </w:rPr>
        <w:t xml:space="preserve">Building the demo the way a customer builds it is how we find and fix the real bugs. Hardcoding pages would only fake our own readiness.</w:t>
      </w:r>
    </w:p>
    <w:p>
      <w:pPr>
        <w:pStyle w:val="ListParagraph"/>
        <w:numPr>
          <w:ilvl w:val="0"/>
          <w:numId w:val="2"/>
        </w:numPr>
        <w:spacing w:after="80" w:line="264"/>
      </w:pPr>
      <w:r>
        <w:rPr>
          <w:rFonts w:ascii="Inter" w:cs="Inter" w:eastAsia="Inter" w:hAnsi="Inter"/>
          <w:b/>
          <w:bCs/>
          <w:color w:val="13202E"/>
          <w:sz w:val="21"/>
          <w:szCs w:val="21"/>
        </w:rPr>
        <w:t xml:space="preserve">One dataset, many stories. </w:t>
      </w:r>
      <w:r>
        <w:rPr>
          <w:rFonts w:ascii="Inter" w:cs="Inter" w:eastAsia="Inter" w:hAnsi="Inter"/>
          <w:color w:val="13202E"/>
          <w:sz w:val="21"/>
          <w:szCs w:val="21"/>
        </w:rPr>
        <w:t xml:space="preserve">The same ~one-month, &gt;100k-row dataset (Part 4.5) supports the quality story, the downtime story, the productivity story and the energy story — each a different page built from the same canonical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2" w:sz="1"/>
              <w:left w:val="single" w:color="C9D6E2" w:sz="1"/>
              <w:bottom w:val="single" w:color="C9D6E2" w:sz="1"/>
              <w:right w:val="single" w:color="C9D6E2" w:sz="1"/>
            </w:tcBorders>
            <w:shd w:fill="0B1730" w:val="clear"/>
            <w:tcMar>
              <w:top w:type="dxa" w:w="120"/>
              <w:left w:type="dxa" w:w="160"/>
              <w:bottom w:type="dxa" w:w="120"/>
              <w:right w:type="dxa" w:w="160"/>
            </w:tcMar>
          </w:tcPr>
          <w:p>
            <w:pPr>
              <w:spacing w:after="60"/>
            </w:pPr>
            <w:r>
              <w:rPr>
                <w:rFonts w:ascii="Inter" w:cs="Inter" w:eastAsia="Inter" w:hAnsi="Inter"/>
                <w:b/>
                <w:bCs/>
                <w:color w:val="00D4FF"/>
                <w:sz w:val="20"/>
                <w:szCs w:val="20"/>
              </w:rPr>
              <w:t xml:space="preserve">The website is the first salesperson</w:t>
            </w:r>
          </w:p>
          <w:p>
            <w:pPr>
              <w:spacing w:after="30" w:line="258"/>
            </w:pPr>
            <w:r>
              <w:rPr>
                <w:rFonts w:ascii="Inter" w:cs="Inter" w:eastAsia="Inter" w:hAnsi="Inter"/>
                <w:color w:val="EAF6FF"/>
                <w:sz w:val="19"/>
                <w:szCs w:val="19"/>
              </w:rPr>
              <w:t xml:space="preserve">Before a customer ever opens the app, they meet the website. It must carry the full brand identity (Part 6), be genuinely beautiful, and make the case for the whole ecosystem (Part 1). Its golden rule: be the best salesperson SOU has — make a visitor want to buy and request an inquiry.</w:t>
            </w:r>
          </w:p>
        </w:tc>
      </w:tr>
    </w:tbl>
    <w:p>
      <w:pPr>
        <w:pBdr>
          <w:top w:val="single" w:color="00D4FF" w:sz="6" w:space="6"/>
        </w:pBdr>
        <w:spacing w:before="240"/>
      </w:pPr>
      <w:r>
        <w:rPr>
          <w:rFonts w:ascii="Inter" w:cs="Inter" w:eastAsia="Inter" w:hAnsi="Inter"/>
          <w:i/>
          <w:iCs/>
          <w:color w:val="8EA7C1"/>
          <w:sz w:val="18"/>
          <w:szCs w:val="18"/>
        </w:rPr>
        <w:t xml:space="preserve">End of document — PlantProcess IQ Intelligence &amp; Platform Architecture, v3, 31 May 2026. Supersedes the AI &amp; ML Design (v2), which is preserved within as Part 2, and incorporates the 4-Track Vision in full.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2" w:sz="4" w:space="4"/>
      </w:pBdr>
      <w:tabs>
        <w:tab w:val="right" w:pos="9360"/>
      </w:tabs>
    </w:pPr>
    <w:r>
      <w:rPr>
        <w:rFonts w:ascii="Inter" w:cs="Inter" w:eastAsia="Inter" w:hAnsi="Inter"/>
        <w:color w:val="8EA7C1"/>
        <w:sz w:val="16"/>
        <w:szCs w:val="16"/>
      </w:rPr>
      <w:t xml:space="preserve">SOU Industrial Software — confidential</w:t>
    </w:r>
    <w:r>
      <w:rPr>
        <w:rFonts w:ascii="Inter" w:cs="Inter" w:eastAsia="Inter" w:hAnsi="Inter"/>
        <w:color w:val="8EA7C1"/>
        <w:sz w:val="16"/>
        <w:szCs w:val="16"/>
      </w:rPr>
      <w:t xml:space="preserve">	Page </w:t>
    </w:r>
    <w:r>
      <w:rPr>
        <w:rFonts w:ascii="Inter" w:cs="Inter" w:eastAsia="Inter" w:hAnsi="Inter"/>
        <w:color w:val="8EA7C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tabs>
        <w:tab w:val="right" w:pos="9360"/>
      </w:tabs>
    </w:pPr>
    <w:r>
      <w:rPr>
        <w:rFonts w:ascii="Inter" w:cs="Inter" w:eastAsia="Inter" w:hAnsi="Inter"/>
        <w:b/>
        <w:bCs/>
        <w:color w:val="102A43"/>
        <w:sz w:val="16"/>
        <w:szCs w:val="16"/>
      </w:rPr>
      <w:t xml:space="preserve">PlantProcess </w:t>
    </w:r>
    <w:r>
      <w:rPr>
        <w:rFonts w:ascii="Inter" w:cs="Inter" w:eastAsia="Inter" w:hAnsi="Inter"/>
        <w:b/>
        <w:bCs/>
        <w:color w:val="1F9FC4"/>
        <w:sz w:val="16"/>
        <w:szCs w:val="16"/>
      </w:rPr>
      <w:t xml:space="preserve">IQ</w:t>
    </w:r>
    <w:r>
      <w:rPr>
        <w:rFonts w:ascii="Inter" w:cs="Inter" w:eastAsia="Inter" w:hAnsi="Inter"/>
        <w:color w:val="8EA7C1"/>
        <w:sz w:val="16"/>
        <w:szCs w:val="16"/>
      </w:rPr>
      <w:t xml:space="preserve"> — Intelligence &amp; Platform Architecture (v3)</w:t>
    </w:r>
    <w:r>
      <w:rPr>
        <w:rFonts w:ascii="Inter" w:cs="Inter" w:eastAsia="Inter" w:hAnsi="Inter"/>
        <w:color w:val="8EA7C1"/>
        <w:sz w:val="16"/>
        <w:szCs w:val="16"/>
      </w:rPr>
      <w:t xml:space="preserve">	31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50"/>
      </w:pPr>
      <w:rPr>
        <w:color w:val="00D4FF"/>
      </w:r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3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D4FF" w:sz="12" w:space="5"/>
      </w:pBdr>
      <w:spacing w:after="160" w:before="340"/>
      <w:outlineLvl w:val="0"/>
    </w:pPr>
    <w:rPr>
      <w:rFonts w:ascii="Inter" w:cs="Inter" w:eastAsia="Inter" w:hAnsi="Inter"/>
      <w:b/>
      <w:bCs/>
      <w:color w:val="102A43"/>
      <w:sz w:val="31"/>
      <w:szCs w:val="31"/>
    </w:rPr>
  </w:style>
  <w:style w:type="paragraph" w:styleId="Heading2">
    <w:name w:val="Heading 2"/>
    <w:basedOn w:val="Normal"/>
    <w:next w:val="Normal"/>
    <w:qFormat/>
    <w:pPr>
      <w:keepNext/>
      <w:spacing w:after="110" w:before="260"/>
      <w:outlineLvl w:val="1"/>
    </w:pPr>
    <w:rPr>
      <w:rFonts w:ascii="Inter" w:cs="Inter" w:eastAsia="Inter" w:hAnsi="Inter"/>
      <w:b/>
      <w:bCs/>
      <w:color w:val="0B1730"/>
      <w:sz w:val="25"/>
      <w:szCs w:val="25"/>
    </w:rPr>
  </w:style>
  <w:style w:type="paragraph" w:styleId="Heading3">
    <w:name w:val="Heading 3"/>
    <w:basedOn w:val="Normal"/>
    <w:next w:val="Normal"/>
    <w:qFormat/>
    <w:pPr>
      <w:keepNext/>
      <w:spacing w:after="80" w:before="180"/>
      <w:outlineLvl w:val="2"/>
    </w:pPr>
    <w:rPr>
      <w:rFonts w:ascii="Inter" w:cs="Inter" w:eastAsia="Inter" w:hAnsi="Inter"/>
      <w:b/>
      <w:bCs/>
      <w:color w:val="102A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Intelligence &amp; Platform Architecture (v3)</dc:title>
  <dc:creator>SOU Industrial Software</dc:creator>
  <dc:description>v3 — superset of the v2 AI &amp; ML Design plus the 4-Track Vision (ecosystem, platform, demo, hardening, brand).</dc:description>
  <cp:lastModifiedBy>Un-named</cp:lastModifiedBy>
  <cp:revision>1</cp:revision>
  <dcterms:created xsi:type="dcterms:W3CDTF">2026-05-31T17:14:20.974Z</dcterms:created>
  <dcterms:modified xsi:type="dcterms:W3CDTF">2026-05-31T17:14:20.989Z</dcterms:modified>
</cp:coreProperties>
</file>

<file path=docProps/custom.xml><?xml version="1.0" encoding="utf-8"?>
<Properties xmlns="http://schemas.openxmlformats.org/officeDocument/2006/custom-properties" xmlns:vt="http://schemas.openxmlformats.org/officeDocument/2006/docPropsVTypes"/>
</file>