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Inter" w:cs="Inter" w:eastAsia="Inter" w:hAnsi="Inter"/>
          <w:color w:val="1320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50B18" w:val="clear"/>
            <w:tcMar>
              <w:top w:type="dxa" w:w="520"/>
              <w:left w:type="dxa" w:w="360"/>
              <w:bottom w:type="dxa" w:w="520"/>
              <w:right w:type="dxa" w:w="360"/>
            </w:tcMar>
          </w:tcPr>
          <w:p>
            <w:pPr>
              <w:spacing w:after="40"/>
            </w:pPr>
            <w:r>
              <w:rPr>
                <w:rFonts w:ascii="Inter" w:cs="Inter" w:eastAsia="Inter" w:hAnsi="Inter"/>
                <w:b/>
                <w:bCs/>
                <w:color w:val="EAF6FF"/>
                <w:sz w:val="60"/>
                <w:szCs w:val="60"/>
              </w:rPr>
              <w:t xml:space="preserve">PlantProcess </w:t>
            </w:r>
            <w:r>
              <w:rPr>
                <w:rFonts w:ascii="Inter" w:cs="Inter" w:eastAsia="Inter" w:hAnsi="Inter"/>
                <w:b/>
                <w:bCs/>
                <w:color w:val="00D4FF"/>
                <w:sz w:val="60"/>
                <w:szCs w:val="60"/>
              </w:rPr>
              <w:t xml:space="preserve">IQ</w:t>
            </w:r>
          </w:p>
          <w:p>
            <w:pPr>
              <w:pBdr>
                <w:bottom w:val="single" w:color="00D4FF" w:sz="12" w:space="6"/>
              </w:pBdr>
              <w:spacing w:after="70"/>
            </w:pPr>
            <w:r>
              <w:rPr>
                <w:rFonts w:ascii="Inter" w:cs="Inter" w:eastAsia="Inter" w:hAnsi="Inter"/>
                <w:color w:val="13202E"/>
                <w:sz w:val="21"/>
                <w:szCs w:val="21"/>
              </w:rPr>
              <w:t xml:space="preserve"/>
            </w:r>
          </w:p>
          <w:p>
            <w:pPr>
              <w:spacing w:after="30"/>
            </w:pPr>
            <w:r>
              <w:rPr>
                <w:rFonts w:ascii="Inter" w:cs="Inter" w:eastAsia="Inter" w:hAnsi="Inter"/>
                <w:b/>
                <w:bCs/>
                <w:color w:val="EAF6FF"/>
                <w:sz w:val="34"/>
                <w:szCs w:val="34"/>
              </w:rPr>
              <w:t xml:space="preserve">Version Lineage &amp; Improvement Analysis</w:t>
            </w:r>
          </w:p>
          <w:p>
            <w:pPr>
              <w:spacing w:after="60"/>
            </w:pPr>
            <w:r>
              <w:rPr>
                <w:rFonts w:ascii="Inter" w:cs="Inter" w:eastAsia="Inter" w:hAnsi="Inter"/>
                <w:color w:val="00D4FF"/>
                <w:sz w:val="22"/>
                <w:szCs w:val="22"/>
              </w:rPr>
              <w:t xml:space="preserve">31 May 2026  ·  four documents, one trajectory</w:t>
            </w:r>
          </w:p>
          <w:p>
            <w:pPr>
              <w:spacing w:after="0"/>
            </w:pPr>
            <w:r>
              <w:rPr>
                <w:rFonts w:ascii="Inter" w:cs="Inter" w:eastAsia="Inter" w:hAnsi="Inter"/>
                <w:color w:val="8EA7C1"/>
                <w:sz w:val="19"/>
                <w:szCs w:val="19"/>
              </w:rPr>
              <w:t xml:space="preserve">How the 4-Track Vision became the Product Vision &amp; Engineering Doctrine v2.0 — what was recovered, what was closed, what was newly invented, and what still needs an edit.</w:t>
            </w:r>
          </w:p>
        </w:tc>
      </w:tr>
    </w:tbl>
    <w:p>
      <w:pPr>
        <w:spacing w:after="220"/>
      </w:pPr>
      <w:r>
        <w:rPr>
          <w:rFonts w:ascii="Inter" w:cs="Inter" w:eastAsia="Inter" w:hAnsi="Inter"/>
          <w:color w:val="13202E"/>
          <w:sz w:val="21"/>
          <w:szCs w:val="21"/>
        </w:rPr>
        <w:t xml:space="preserve"/>
      </w:r>
    </w:p>
    <w:p>
      <w:pPr>
        <w:spacing w:after="76"/>
      </w:pPr>
      <w:r>
        <w:rPr>
          <w:rFonts w:ascii="Inter" w:cs="Inter" w:eastAsia="Inter" w:hAnsi="Inter"/>
          <w:b/>
          <w:bCs/>
          <w:color w:val="102A43"/>
          <w:sz w:val="21"/>
          <w:szCs w:val="21"/>
        </w:rPr>
        <w:t xml:space="preserve">Subject:   </w:t>
      </w:r>
      <w:r>
        <w:rPr>
          <w:rFonts w:ascii="Inter" w:cs="Inter" w:eastAsia="Inter" w:hAnsi="Inter"/>
          <w:color w:val="13202E"/>
          <w:sz w:val="21"/>
          <w:szCs w:val="21"/>
        </w:rPr>
        <w:t xml:space="preserve">Comparative analysis of four PlantProcess IQ specification documents</w:t>
      </w:r>
    </w:p>
    <w:p>
      <w:pPr>
        <w:spacing w:after="76"/>
      </w:pPr>
      <w:r>
        <w:rPr>
          <w:rFonts w:ascii="Inter" w:cs="Inter" w:eastAsia="Inter" w:hAnsi="Inter"/>
          <w:b/>
          <w:bCs/>
          <w:color w:val="102A43"/>
          <w:sz w:val="21"/>
          <w:szCs w:val="21"/>
        </w:rPr>
        <w:t xml:space="preserve">Spotlight:   </w:t>
      </w:r>
      <w:r>
        <w:rPr>
          <w:rFonts w:ascii="Inter" w:cs="Inter" w:eastAsia="Inter" w:hAnsi="Inter"/>
          <w:color w:val="13202E"/>
          <w:sz w:val="21"/>
          <w:szCs w:val="21"/>
        </w:rPr>
        <w:t xml:space="preserve">Product Vision &amp; Engineering Doctrine v2.0 — your newest synthesis (“the 4th version”)</w:t>
      </w:r>
    </w:p>
    <w:p>
      <w:pPr>
        <w:spacing w:after="76"/>
      </w:pPr>
      <w:r>
        <w:rPr>
          <w:rFonts w:ascii="Inter" w:cs="Inter" w:eastAsia="Inter" w:hAnsi="Inter"/>
          <w:b/>
          <w:bCs/>
          <w:color w:val="102A43"/>
          <w:sz w:val="21"/>
          <w:szCs w:val="21"/>
        </w:rPr>
        <w:t xml:space="preserve">Baselines:   </w:t>
      </w:r>
      <w:r>
        <w:rPr>
          <w:rFonts w:ascii="Inter" w:cs="Inter" w:eastAsia="Inter" w:hAnsi="Inter"/>
          <w:color w:val="13202E"/>
          <w:sz w:val="21"/>
          <w:szCs w:val="21"/>
        </w:rPr>
        <w:t xml:space="preserve">4-Track Vision (v1 draft)  ·  AI &amp; ML Architecture (v2)  ·  Architecture v3</w:t>
      </w:r>
    </w:p>
    <w:p>
      <w:pPr>
        <w:spacing w:after="76"/>
      </w:pPr>
      <w:r>
        <w:rPr>
          <w:rFonts w:ascii="Inter" w:cs="Inter" w:eastAsia="Inter" w:hAnsi="Inter"/>
          <w:b/>
          <w:bCs/>
          <w:color w:val="102A43"/>
          <w:sz w:val="21"/>
          <w:szCs w:val="21"/>
        </w:rPr>
        <w:t xml:space="preserve">Verdict:   </w:t>
      </w:r>
      <w:r>
        <w:rPr>
          <w:rFonts w:ascii="Inter" w:cs="Inter" w:eastAsia="Inter" w:hAnsi="Inter"/>
          <w:color w:val="13202E"/>
          <w:sz w:val="21"/>
          <w:szCs w:val="21"/>
        </w:rPr>
        <w:t xml:space="preserve">A disciplined leap — near-total recovery, five of six open gaps closed, a measurable quality bar added</w:t>
      </w:r>
    </w:p>
    <w:p>
      <w:pPr>
        <w:spacing w:after="76"/>
      </w:pPr>
      <w:r>
        <w:rPr>
          <w:rFonts w:ascii="Inter" w:cs="Inter" w:eastAsia="Inter" w:hAnsi="Inter"/>
          <w:b/>
          <w:bCs/>
          <w:color w:val="102A43"/>
          <w:sz w:val="21"/>
          <w:szCs w:val="21"/>
        </w:rPr>
        <w:t xml:space="preserve">Prepared for:   </w:t>
      </w:r>
      <w:r>
        <w:rPr>
          <w:rFonts w:ascii="Inter" w:cs="Inter" w:eastAsia="Inter" w:hAnsi="Inter"/>
          <w:color w:val="13202E"/>
          <w:sz w:val="21"/>
          <w:szCs w:val="21"/>
        </w:rPr>
        <w:t xml:space="preserve">Karim · SOU Industrial Software, Düsseldorf</w:t>
      </w:r>
    </w:p>
    <w:p>
      <w:pPr>
        <w:spacing w:after="76"/>
      </w:pPr>
      <w:r>
        <w:rPr>
          <w:rFonts w:ascii="Inter" w:cs="Inter" w:eastAsia="Inter" w:hAnsi="Inter"/>
          <w:b/>
          <w:bCs/>
          <w:color w:val="102A43"/>
          <w:sz w:val="21"/>
          <w:szCs w:val="21"/>
        </w:rPr>
        <w:t xml:space="preserve">Date:   </w:t>
      </w:r>
      <w:r>
        <w:rPr>
          <w:rFonts w:ascii="Inter" w:cs="Inter" w:eastAsia="Inter" w:hAnsi="Inter"/>
          <w:color w:val="13202E"/>
          <w:sz w:val="21"/>
          <w:szCs w:val="21"/>
        </w:rPr>
        <w:t xml:space="preserve">31 May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 The verdict in one page</w:t>
      </w:r>
    </w:p>
    <w:p>
      <w:pPr>
        <w:spacing w:after="130" w:before="0" w:line="268"/>
      </w:pPr>
      <w:r>
        <w:rPr>
          <w:rFonts w:ascii="Inter" w:cs="Inter" w:eastAsia="Inter" w:hAnsi="Inter"/>
          <w:color w:val="13202E"/>
          <w:sz w:val="21"/>
          <w:szCs w:val="21"/>
        </w:rPr>
        <w:t xml:space="preserve">Four documents now describe PlantProcess IQ, and they form a clear arc. The </w:t>
      </w:r>
      <w:r>
        <w:rPr>
          <w:rFonts w:ascii="Inter" w:cs="Inter" w:eastAsia="Inter" w:hAnsi="Inter"/>
          <w:b/>
          <w:bCs/>
          <w:color w:val="13202E"/>
          <w:sz w:val="21"/>
          <w:szCs w:val="21"/>
        </w:rPr>
        <w:t xml:space="preserve">4-Track Vision</w:t>
      </w:r>
      <w:r>
        <w:rPr>
          <w:rFonts w:ascii="Inter" w:cs="Inter" w:eastAsia="Inter" w:hAnsi="Inter"/>
          <w:color w:val="13202E"/>
          <w:sz w:val="21"/>
          <w:szCs w:val="21"/>
        </w:rPr>
        <w:t xml:space="preserve"> (v1) was a complete founder brain-dump — every idea present, but unpolished and openly tentative in places. The </w:t>
      </w:r>
      <w:r>
        <w:rPr>
          <w:rFonts w:ascii="Inter" w:cs="Inter" w:eastAsia="Inter" w:hAnsi="Inter"/>
          <w:b/>
          <w:bCs/>
          <w:color w:val="13202E"/>
          <w:sz w:val="21"/>
          <w:szCs w:val="21"/>
        </w:rPr>
        <w:t xml:space="preserve">AI &amp; ML Architecture</w:t>
      </w:r>
      <w:r>
        <w:rPr>
          <w:rFonts w:ascii="Inter" w:cs="Inter" w:eastAsia="Inter" w:hAnsi="Inter"/>
          <w:color w:val="13202E"/>
          <w:sz w:val="21"/>
          <w:szCs w:val="21"/>
        </w:rPr>
        <w:t xml:space="preserve"> (v2) sharpened the analytical core into a rigorous six-layer pipeline, but in tightening it shed the commercial packaging, the plant-floor reality, the administrator experience, the hardening mandates and the brand. </w:t>
      </w:r>
      <w:r>
        <w:rPr>
          <w:rFonts w:ascii="Inter" w:cs="Inter" w:eastAsia="Inter" w:hAnsi="Inter"/>
          <w:b/>
          <w:bCs/>
          <w:color w:val="13202E"/>
          <w:sz w:val="21"/>
          <w:szCs w:val="21"/>
        </w:rPr>
        <w:t xml:space="preserve">Architecture v3</w:t>
      </w:r>
      <w:r>
        <w:rPr>
          <w:rFonts w:ascii="Inter" w:cs="Inter" w:eastAsia="Inter" w:hAnsi="Inter"/>
          <w:color w:val="13202E"/>
          <w:sz w:val="21"/>
          <w:szCs w:val="21"/>
        </w:rPr>
        <w:t xml:space="preserve"> (the document built in this engagement) restored all of that and designed the open areas to completion. And the </w:t>
      </w:r>
      <w:r>
        <w:rPr>
          <w:rFonts w:ascii="Inter" w:cs="Inter" w:eastAsia="Inter" w:hAnsi="Inter"/>
          <w:b/>
          <w:bCs/>
          <w:color w:val="13202E"/>
          <w:sz w:val="21"/>
          <w:szCs w:val="21"/>
        </w:rPr>
        <w:t xml:space="preserve">Product Vision &amp; Engineering Doctrine v2.0</w:t>
      </w:r>
      <w:r>
        <w:rPr>
          <w:rFonts w:ascii="Inter" w:cs="Inter" w:eastAsia="Inter" w:hAnsi="Inter"/>
          <w:color w:val="13202E"/>
          <w:sz w:val="21"/>
          <w:szCs w:val="21"/>
        </w:rPr>
        <w:t xml:space="preserve"> — your own newest synthesis, the subject of this analysis — is the strongest single articulation to date: it recovered the body v2 had dropped, answered the questions v1 left open, and added an engineering contract that neither predecessor had.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E2" w:sz="1"/>
              <w:left w:val="single" w:color="00D4FF" w:sz="18"/>
              <w:bottom w:val="single" w:color="C9D6E2" w:sz="1"/>
              <w:right w:val="single" w:color="C9D6E2" w:sz="1"/>
            </w:tcBorders>
            <w:shd w:fill="0B1730" w:val="clear"/>
            <w:tcMar>
              <w:top w:type="dxa" w:w="130"/>
              <w:left w:type="dxa" w:w="170"/>
              <w:bottom w:type="dxa" w:w="130"/>
              <w:right w:type="dxa" w:w="170"/>
            </w:tcMar>
          </w:tcPr>
          <w:p>
            <w:pPr>
              <w:spacing w:after="60"/>
            </w:pPr>
            <w:r>
              <w:rPr>
                <w:rFonts w:ascii="Inter" w:cs="Inter" w:eastAsia="Inter" w:hAnsi="Inter"/>
                <w:b/>
                <w:bCs/>
                <w:color w:val="00D4FF"/>
                <w:sz w:val="20"/>
                <w:szCs w:val="20"/>
              </w:rPr>
              <w:t xml:space="preserve">The one-line verdict</w:t>
            </w:r>
          </w:p>
          <w:p>
            <w:pPr>
              <w:spacing w:after="30" w:line="258"/>
            </w:pPr>
            <w:r>
              <w:rPr>
                <w:rFonts w:ascii="Inter" w:cs="Inter" w:eastAsia="Inter" w:hAnsi="Inter"/>
                <w:color w:val="EAF6FF"/>
                <w:sz w:val="19"/>
                <w:szCs w:val="19"/>
              </w:rPr>
              <w:t xml:space="preserve">Vision v2.0 is a genuine step-change, not an incremental edit. It is the right document to make canonical — disciplined, testable and on-brand. One material gap remains (User / Role / Access depth), and one decision is outstanding (which document is the single source of truth).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Dimension</w:t>
            </w:r>
          </w:p>
        </w:tc>
        <w:tc>
          <w:tcPr>
            <w:tcW w:type="dxa" w:w="60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Where Vision v2.0 lands</w:t>
            </w:r>
          </w:p>
        </w:tc>
      </w:tr>
      <w:tr>
        <w:tc>
          <w:tcPr>
            <w:tcW w:type="dxa" w:w="336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Recovery of what v2 dropped</w:t>
            </w:r>
          </w:p>
        </w:tc>
        <w:tc>
          <w:tcPr>
            <w:tcW w:type="dxa" w:w="60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Near-total — ecosystem, demo topology, admin workflows, hardening and brand are all back, most of them stronger than in v1.</w:t>
            </w:r>
          </w:p>
        </w:tc>
      </w:tr>
      <w:tr>
        <w:tc>
          <w:tcPr>
            <w:tcW w:type="dxa" w:w="33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Closure of v1 open questions</w:t>
            </w:r>
          </w:p>
        </w:tc>
        <w:tc>
          <w:tcPr>
            <w:tcW w:type="dxa" w:w="60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5 of 6 fully closed (mapping engine, job monitor, page builder, DB-link security, suggestion layer). User / Role / Access is the lone residual.</w:t>
            </w:r>
          </w:p>
        </w:tc>
      </w:tr>
      <w:tr>
        <w:tc>
          <w:tcPr>
            <w:tcW w:type="dxa" w:w="336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Net-new contribution</w:t>
            </w:r>
          </w:p>
        </w:tc>
        <w:tc>
          <w:tcPr>
            <w:tcW w:type="dxa" w:w="60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A measurable Zero-Defect Quality Bar, a self-aware gap-closure ledger, an operational doctrine and eight operating principles — none present before.</w:t>
            </w:r>
          </w:p>
        </w:tc>
      </w:tr>
      <w:tr>
        <w:tc>
          <w:tcPr>
            <w:tcW w:type="dxa" w:w="33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Relationship to Architecture v3</w:t>
            </w:r>
          </w:p>
        </w:tc>
        <w:tc>
          <w:tcPr>
            <w:tcW w:type="dxa" w:w="60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Complementary, not competing: Vision v2.0 is the doctrine (why + what + the bar); v3 is the design (how). Each is deeper where the other is lighter.</w:t>
            </w:r>
          </w:p>
        </w:tc>
      </w:tr>
      <w:tr>
        <w:tc>
          <w:tcPr>
            <w:tcW w:type="dxa" w:w="336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Readiness as the canonical spec</w:t>
            </w:r>
          </w:p>
        </w:tc>
        <w:tc>
          <w:tcPr>
            <w:tcW w:type="dxa" w:w="60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High. Finish the access-control section and choose one source of truth, and a buyer’s technical reviewer would struggle to find a hole.</w:t>
            </w:r>
          </w:p>
        </w:tc>
      </w:tr>
    </w:tbl>
    <w:p>
      <w:r>
        <w:br w:type="page"/>
      </w:r>
    </w:p>
    <w:p>
      <w:pPr>
        <w:pStyle w:val="Heading1"/>
      </w:pPr>
      <w:r>
        <w:t xml:space="preserve">1 · The four artifacts</w:t>
      </w:r>
    </w:p>
    <w:p>
      <w:pPr>
        <w:spacing w:after="130" w:before="0" w:line="268"/>
      </w:pPr>
      <w:r>
        <w:rPr>
          <w:rFonts w:ascii="Inter" w:cs="Inter" w:eastAsia="Inter" w:hAnsi="Inter"/>
          <w:color w:val="13202E"/>
          <w:sz w:val="21"/>
          <w:szCs w:val="21"/>
        </w:rPr>
        <w:t xml:space="preserve">To compare improvement fairly, it helps to be precise about what each document actually is and what it was for. The two you flagged for comparison — </w:t>
      </w:r>
      <w:r>
        <w:rPr>
          <w:rFonts w:ascii="Inter" w:cs="Inter" w:eastAsia="Inter" w:hAnsi="Inter"/>
          <w:b/>
          <w:bCs/>
          <w:color w:val="13202E"/>
          <w:sz w:val="21"/>
          <w:szCs w:val="21"/>
        </w:rPr>
        <w:t xml:space="preserve">the 4th version</w:t>
      </w:r>
      <w:r>
        <w:rPr>
          <w:rFonts w:ascii="Inter" w:cs="Inter" w:eastAsia="Inter" w:hAnsi="Inter"/>
          <w:color w:val="13202E"/>
          <w:sz w:val="21"/>
          <w:szCs w:val="21"/>
        </w:rPr>
        <w:t xml:space="preserve"> — is the Product Vision &amp; Engineering Doctrine v2.0; Architecture v3 is the parallel document produced in this engagement. The table reads top-to-bottom as the actual order of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820"/>
        <w:gridCol w:w="2080"/>
        <w:gridCol w:w="2900"/>
        <w:gridCol w:w="1800"/>
      </w:tblGrid>
      <w:tr>
        <w:trPr>
          <w:tblHeader/>
        </w:trPr>
        <w:tc>
          <w:tcPr>
            <w:tcW w:type="dxa" w:w="176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Artifact</w:t>
            </w:r>
          </w:p>
        </w:tc>
        <w:tc>
          <w:tcPr>
            <w:tcW w:type="dxa" w:w="82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Words</w:t>
            </w:r>
          </w:p>
        </w:tc>
        <w:tc>
          <w:tcPr>
            <w:tcW w:type="dxa" w:w="208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Role &amp; framing</w:t>
            </w:r>
          </w:p>
        </w:tc>
        <w:tc>
          <w:tcPr>
            <w:tcW w:type="dxa" w:w="29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Defining contribution</w:t>
            </w:r>
          </w:p>
        </w:tc>
        <w:tc>
          <w:tcPr>
            <w:tcW w:type="dxa" w:w="18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Known limitation</w:t>
            </w:r>
          </w:p>
        </w:tc>
      </w:tr>
      <w:tr>
        <w:tc>
          <w:tcPr>
            <w:tcW w:type="dxa" w:w="176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r>
              <w:rPr>
                <w:rFonts w:ascii="Inter" w:cs="Inter" w:eastAsia="Inter" w:hAnsi="Inter"/>
                <w:b/>
                <w:bCs/>
                <w:color w:val="102A43"/>
                <w:sz w:val="19"/>
                <w:szCs w:val="19"/>
              </w:rPr>
              <w:t xml:space="preserve">4-Track Vision</w:t>
            </w:r>
          </w:p>
          <w:p>
            <w:pPr>
              <w:spacing w:before="18"/>
            </w:pPr>
            <w:r>
              <w:rPr>
                <w:rFonts w:ascii="Inter" w:cs="Inter" w:eastAsia="Inter" w:hAnsi="Inter"/>
                <w:color w:val="8EA7C1"/>
                <w:sz w:val="16"/>
                <w:szCs w:val="16"/>
              </w:rPr>
              <w:t xml:space="preserve">v1 · draft</w:t>
            </w:r>
          </w:p>
        </w:tc>
        <w:tc>
          <w:tcPr>
            <w:tcW w:type="dxa" w:w="8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13202E"/>
                <w:sz w:val="19"/>
                <w:szCs w:val="19"/>
              </w:rPr>
              <w:t xml:space="preserve">3,960</w:t>
            </w:r>
          </w:p>
        </w:tc>
        <w:tc>
          <w:tcPr>
            <w:tcW w:type="dxa" w:w="20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Raw founder brain-dump across four tracks: Workflow, Hardening, Demo, Website.</w:t>
            </w:r>
          </w:p>
        </w:tc>
        <w:tc>
          <w:tcPr>
            <w:tcW w:type="dxa" w:w="29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Total scope — every idea is here, including the exact demo plant and the full brand system.</w:t>
            </w:r>
          </w:p>
        </w:tc>
        <w:tc>
          <w:tcPr>
            <w:tcW w:type="dxa" w:w="18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Unpolished; openly tentative; self-flagged holes (mapping, suggestions, a blank User/Role heading).</w:t>
            </w:r>
          </w:p>
        </w:tc>
      </w:tr>
      <w:tr>
        <w:tc>
          <w:tcPr>
            <w:tcW w:type="dxa" w:w="17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r>
              <w:rPr>
                <w:rFonts w:ascii="Inter" w:cs="Inter" w:eastAsia="Inter" w:hAnsi="Inter"/>
                <w:b/>
                <w:bCs/>
                <w:color w:val="102A43"/>
                <w:sz w:val="19"/>
                <w:szCs w:val="19"/>
              </w:rPr>
              <w:t xml:space="preserve">AI &amp; ML Architecture</w:t>
            </w:r>
          </w:p>
          <w:p>
            <w:pPr>
              <w:spacing w:before="18"/>
            </w:pPr>
            <w:r>
              <w:rPr>
                <w:rFonts w:ascii="Inter" w:cs="Inter" w:eastAsia="Inter" w:hAnsi="Inter"/>
                <w:color w:val="8EA7C1"/>
                <w:sz w:val="16"/>
                <w:szCs w:val="16"/>
              </w:rPr>
              <w:t xml:space="preserve">v2</w:t>
            </w:r>
          </w:p>
        </w:tc>
        <w:tc>
          <w:tcPr>
            <w:tcW w:type="dxa" w:w="8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13202E"/>
                <w:sz w:val="19"/>
                <w:szCs w:val="19"/>
              </w:rPr>
              <w:t xml:space="preserve">3,330</w:t>
            </w:r>
          </w:p>
        </w:tc>
        <w:tc>
          <w:tcPr>
            <w:tcW w:type="dxa" w:w="20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Focused engineering note on the intelligence pipeline only.</w:t>
            </w:r>
          </w:p>
        </w:tc>
        <w:tc>
          <w:tcPr>
            <w:tcW w:type="dxa" w:w="29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Rigour — the six-layer pipeline, component matrix, widget/SQL engine and value model.</w:t>
            </w:r>
          </w:p>
        </w:tc>
        <w:tc>
          <w:tcPr>
            <w:tcW w:type="dxa" w:w="18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Regressed on packaging: dropped the suite, topology, admin UI, hardening and brand.</w:t>
            </w:r>
          </w:p>
        </w:tc>
      </w:tr>
      <w:tr>
        <w:tc>
          <w:tcPr>
            <w:tcW w:type="dxa" w:w="176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r>
              <w:rPr>
                <w:rFonts w:ascii="Inter" w:cs="Inter" w:eastAsia="Inter" w:hAnsi="Inter"/>
                <w:b/>
                <w:bCs/>
                <w:color w:val="102A43"/>
                <w:sz w:val="19"/>
                <w:szCs w:val="19"/>
              </w:rPr>
              <w:t xml:space="preserve">Architecture v3</w:t>
            </w:r>
          </w:p>
          <w:p>
            <w:pPr>
              <w:spacing w:before="18"/>
            </w:pPr>
            <w:r>
              <w:rPr>
                <w:rFonts w:ascii="Inter" w:cs="Inter" w:eastAsia="Inter" w:hAnsi="Inter"/>
                <w:color w:val="8EA7C1"/>
                <w:sz w:val="16"/>
                <w:szCs w:val="16"/>
              </w:rPr>
              <w:t xml:space="preserve">built this session</w:t>
            </w:r>
          </w:p>
        </w:tc>
        <w:tc>
          <w:tcPr>
            <w:tcW w:type="dxa" w:w="8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13202E"/>
                <w:sz w:val="19"/>
                <w:szCs w:val="19"/>
              </w:rPr>
              <w:t xml:space="preserve">8,910</w:t>
            </w:r>
          </w:p>
        </w:tc>
        <w:tc>
          <w:tcPr>
            <w:tcW w:type="dxa" w:w="20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A clean superset of v2 — the buildable design specification.</w:t>
            </w:r>
          </w:p>
        </w:tc>
        <w:tc>
          <w:tcPr>
            <w:tcW w:type="dxa" w:w="29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Depth — preserves v2 verbatim, restores all v1 material, and designs the five gaps in full.</w:t>
            </w:r>
          </w:p>
        </w:tc>
        <w:tc>
          <w:tcPr>
            <w:tcW w:type="dxa" w:w="18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Long; design-level — more than an executive reader needs as a first document.</w:t>
            </w:r>
          </w:p>
        </w:tc>
      </w:tr>
      <w:tr>
        <w:tc>
          <w:tcPr>
            <w:tcW w:type="dxa" w:w="17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r>
              <w:rPr>
                <w:rFonts w:ascii="Inter" w:cs="Inter" w:eastAsia="Inter" w:hAnsi="Inter"/>
                <w:b/>
                <w:bCs/>
                <w:color w:val="0A84FF"/>
                <w:sz w:val="19"/>
                <w:szCs w:val="19"/>
              </w:rPr>
              <w:t xml:space="preserve">Vision &amp; Doctrine v2.0</w:t>
            </w:r>
          </w:p>
          <w:p>
            <w:pPr>
              <w:spacing w:before="18"/>
            </w:pPr>
            <w:r>
              <w:rPr>
                <w:rFonts w:ascii="Inter" w:cs="Inter" w:eastAsia="Inter" w:hAnsi="Inter"/>
                <w:b/>
                <w:bCs/>
                <w:color w:val="2F80ED"/>
                <w:sz w:val="16"/>
                <w:szCs w:val="16"/>
              </w:rPr>
              <w:t xml:space="preserve">the 4th version</w:t>
            </w:r>
          </w:p>
        </w:tc>
        <w:tc>
          <w:tcPr>
            <w:tcW w:type="dxa" w:w="8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13202E"/>
                <w:sz w:val="19"/>
                <w:szCs w:val="19"/>
              </w:rPr>
              <w:t xml:space="preserve">5,430</w:t>
            </w:r>
          </w:p>
        </w:tc>
        <w:tc>
          <w:tcPr>
            <w:tcW w:type="dxa" w:w="20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The engineering contract &amp; intended source of truth, in five pillars.</w:t>
            </w:r>
          </w:p>
        </w:tc>
        <w:tc>
          <w:tcPr>
            <w:tcW w:type="dxa" w:w="29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Discipline — recovery + gap-closure + a measurable quality bar + operating doctrine.</w:t>
            </w:r>
          </w:p>
        </w:tc>
        <w:tc>
          <w:tcPr>
            <w:tcW w:type="dxa" w:w="18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One residual gap (access control); two overlapping “visions” now exist (this and v3).</w:t>
            </w:r>
          </w:p>
        </w:tc>
      </w:tr>
    </w:tbl>
    <w:p>
      <w:pPr>
        <w:spacing w:after="130" w:before="40" w:line="268"/>
      </w:pPr>
      <w:r>
        <w:rPr>
          <w:rFonts w:ascii="Inter" w:cs="Inter" w:eastAsia="Inter" w:hAnsi="Inter"/>
          <w:color w:val="13202E"/>
          <w:sz w:val="21"/>
          <w:szCs w:val="21"/>
        </w:rPr>
        <w:t xml:space="preserve">Word counts are approximate (body text, excluding tables-as-images). The point they make is not size but </w:t>
      </w:r>
      <w:r>
        <w:rPr>
          <w:rFonts w:ascii="Inter" w:cs="Inter" w:eastAsia="Inter" w:hAnsi="Inter"/>
          <w:b/>
          <w:bCs/>
          <w:color w:val="13202E"/>
          <w:sz w:val="21"/>
          <w:szCs w:val="21"/>
        </w:rPr>
        <w:t xml:space="preserve">density of decision</w:t>
      </w:r>
      <w:r>
        <w:rPr>
          <w:rFonts w:ascii="Inter" w:cs="Inter" w:eastAsia="Inter" w:hAnsi="Inter"/>
          <w:color w:val="13202E"/>
          <w:sz w:val="21"/>
          <w:szCs w:val="21"/>
        </w:rPr>
        <w:t xml:space="preserve">: v2 is the tightest, v3 the most exhaustive, and Vision v2.0 the best balance of breadth and brevity for a document a contributor reads first.</w:t>
      </w:r>
    </w:p>
    <w:p>
      <w:r>
        <w:br w:type="page"/>
      </w:r>
    </w:p>
    <w:p>
      <w:pPr>
        <w:pStyle w:val="Heading1"/>
      </w:pPr>
      <w:r>
        <w:t xml:space="preserve">2 · The improvement story</w:t>
      </w:r>
    </w:p>
    <w:p>
      <w:pPr>
        <w:spacing w:after="130" w:before="0" w:line="268"/>
      </w:pPr>
      <w:r>
        <w:rPr>
          <w:rFonts w:ascii="Inter" w:cs="Inter" w:eastAsia="Inter" w:hAnsi="Inter"/>
          <w:b/>
          <w:bCs/>
          <w:color w:val="13202E"/>
          <w:sz w:val="21"/>
          <w:szCs w:val="21"/>
        </w:rPr>
        <w:t xml:space="preserve">The regression that prompted all this was a packaging loss, not a thinking loss. </w:t>
      </w:r>
      <w:r>
        <w:rPr>
          <w:rFonts w:ascii="Inter" w:cs="Inter" w:eastAsia="Inter" w:hAnsi="Inter"/>
          <w:color w:val="13202E"/>
          <w:sz w:val="21"/>
          <w:szCs w:val="21"/>
        </w:rPr>
        <w:t xml:space="preserve">When v2 distilled the product to its six analytical layers, the intelligence got sharper while the rest of the product — the suite it belongs to, the plant it runs in, the screens an administrator configures, the promise that nothing breaks in front of a customer, and the look that makes it feel expensive — quietly fell away. None of that thinking was wrong; it simply stopped being written down.</w:t>
      </w:r>
    </w:p>
    <w:p>
      <w:pPr>
        <w:spacing w:after="130" w:before="0" w:line="268"/>
      </w:pPr>
      <w:r>
        <w:rPr>
          <w:rFonts w:ascii="Inter" w:cs="Inter" w:eastAsia="Inter" w:hAnsi="Inter"/>
          <w:b/>
          <w:bCs/>
          <w:color w:val="13202E"/>
          <w:sz w:val="21"/>
          <w:szCs w:val="21"/>
        </w:rPr>
        <w:t xml:space="preserve">Vision v2.0 fixes the packaging and sharpens the thinking at the same time. </w:t>
      </w:r>
      <w:r>
        <w:rPr>
          <w:rFonts w:ascii="Inter" w:cs="Inter" w:eastAsia="Inter" w:hAnsi="Inter"/>
          <w:color w:val="13202E"/>
          <w:sz w:val="21"/>
          <w:szCs w:val="21"/>
        </w:rPr>
        <w:t xml:space="preserve">It does not merely paste the v1 material back; it re-expresses it as doctrine. The plant topology returns as a demo doctrine with a golden rule; the brand returns as a shared identity across app, website and reports; the administrator screens return as a generic data lifecycle; and the “no errors” demand returns as eleven classes of measurable acceptance criteria. The arc, in one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E2" w:sz="1"/>
              <w:left w:val="single" w:color="00D4FF" w:sz="18"/>
              <w:bottom w:val="single" w:color="C9D6E2" w:sz="1"/>
              <w:right w:val="single" w:color="C9D6E2" w:sz="1"/>
            </w:tcBorders>
            <w:shd w:fill="0B1730" w:val="clear"/>
            <w:tcMar>
              <w:top w:type="dxa" w:w="130"/>
              <w:left w:type="dxa" w:w="170"/>
              <w:bottom w:type="dxa" w:w="130"/>
              <w:right w:type="dxa" w:w="170"/>
            </w:tcMar>
          </w:tcPr>
          <w:p>
            <w:pPr>
              <w:spacing w:after="60"/>
            </w:pPr>
            <w:r>
              <w:rPr>
                <w:rFonts w:ascii="Inter" w:cs="Inter" w:eastAsia="Inter" w:hAnsi="Inter"/>
                <w:b/>
                <w:bCs/>
                <w:color w:val="00D4FF"/>
                <w:sz w:val="20"/>
                <w:szCs w:val="20"/>
              </w:rPr>
              <w:t xml:space="preserve">The trajectory</w:t>
            </w:r>
          </w:p>
          <w:p>
            <w:pPr>
              <w:spacing w:after="30" w:line="258"/>
            </w:pPr>
            <w:r>
              <w:rPr>
                <w:rFonts w:ascii="Inter" w:cs="Inter" w:eastAsia="Inter" w:hAnsi="Inter"/>
                <w:color w:val="EAF6FF"/>
                <w:sz w:val="19"/>
                <w:szCs w:val="19"/>
              </w:rPr>
              <w:t xml:space="preserve">v1 — everything, unpolished, openly tentative.</w:t>
            </w:r>
          </w:p>
          <w:p>
            <w:pPr>
              <w:spacing w:after="30" w:line="258"/>
            </w:pPr>
            <w:r>
              <w:rPr>
                <w:rFonts w:ascii="Inter" w:cs="Inter" w:eastAsia="Inter" w:hAnsi="Inter"/>
                <w:color w:val="EAF6FF"/>
                <w:sz w:val="19"/>
                <w:szCs w:val="19"/>
              </w:rPr>
              <w:t xml:space="preserve">v2 — the brain deepened; the body, the brand and the bar dropped.</w:t>
            </w:r>
          </w:p>
          <w:p>
            <w:pPr>
              <w:spacing w:after="30" w:line="258"/>
            </w:pPr>
            <w:r>
              <w:rPr>
                <w:rFonts w:ascii="Inter" w:cs="Inter" w:eastAsia="Inter" w:hAnsi="Inter"/>
                <w:color w:val="EAF6FF"/>
                <w:sz w:val="19"/>
                <w:szCs w:val="19"/>
              </w:rPr>
              <w:t xml:space="preserve">v3 — the body restored and the open areas designed to completion (this engagement).</w:t>
            </w:r>
          </w:p>
          <w:p>
            <w:pPr>
              <w:spacing w:after="30" w:line="258"/>
            </w:pPr>
            <w:r>
              <w:rPr>
                <w:rFonts w:ascii="Inter" w:cs="Inter" w:eastAsia="Inter" w:hAnsi="Inter"/>
                <w:color w:val="EAF6FF"/>
                <w:sz w:val="19"/>
                <w:szCs w:val="19"/>
              </w:rPr>
              <w:t xml:space="preserve">Vision v2.0 — your own synthesis: the body recovered, the questions answered, and an engineering contract added that turns “dazzling” into something testable.</w:t>
            </w:r>
          </w:p>
        </w:tc>
      </w:tr>
    </w:tbl>
    <w:p>
      <w:pPr>
        <w:spacing w:after="130" w:before="40" w:line="268"/>
      </w:pPr>
      <w:r>
        <w:rPr>
          <w:rFonts w:ascii="Inter" w:cs="Inter" w:eastAsia="Inter" w:hAnsi="Inter"/>
          <w:color w:val="13202E"/>
          <w:sz w:val="21"/>
          <w:szCs w:val="21"/>
        </w:rPr>
        <w:t xml:space="preserve">The sections that follow make that arc concrete: first what was </w:t>
      </w:r>
      <w:r>
        <w:rPr>
          <w:rFonts w:ascii="Inter" w:cs="Inter" w:eastAsia="Inter" w:hAnsi="Inter"/>
          <w:b/>
          <w:bCs/>
          <w:color w:val="13202E"/>
          <w:sz w:val="21"/>
          <w:szCs w:val="21"/>
        </w:rPr>
        <w:t xml:space="preserve">recovered</w:t>
      </w:r>
      <w:r>
        <w:rPr>
          <w:rFonts w:ascii="Inter" w:cs="Inter" w:eastAsia="Inter" w:hAnsi="Inter"/>
          <w:color w:val="13202E"/>
          <w:sz w:val="21"/>
          <w:szCs w:val="21"/>
        </w:rPr>
        <w:t xml:space="preserve"> (Part 3), then what was </w:t>
      </w:r>
      <w:r>
        <w:rPr>
          <w:rFonts w:ascii="Inter" w:cs="Inter" w:eastAsia="Inter" w:hAnsi="Inter"/>
          <w:b/>
          <w:bCs/>
          <w:color w:val="13202E"/>
          <w:sz w:val="21"/>
          <w:szCs w:val="21"/>
        </w:rPr>
        <w:t xml:space="preserve">closed</w:t>
      </w:r>
      <w:r>
        <w:rPr>
          <w:rFonts w:ascii="Inter" w:cs="Inter" w:eastAsia="Inter" w:hAnsi="Inter"/>
          <w:color w:val="13202E"/>
          <w:sz w:val="21"/>
          <w:szCs w:val="21"/>
        </w:rPr>
        <w:t xml:space="preserve"> (Part 4), then what was </w:t>
      </w:r>
      <w:r>
        <w:rPr>
          <w:rFonts w:ascii="Inter" w:cs="Inter" w:eastAsia="Inter" w:hAnsi="Inter"/>
          <w:b/>
          <w:bCs/>
          <w:color w:val="13202E"/>
          <w:sz w:val="21"/>
          <w:szCs w:val="21"/>
        </w:rPr>
        <w:t xml:space="preserve">invented</w:t>
      </w:r>
      <w:r>
        <w:rPr>
          <w:rFonts w:ascii="Inter" w:cs="Inter" w:eastAsia="Inter" w:hAnsi="Inter"/>
          <w:color w:val="13202E"/>
          <w:sz w:val="21"/>
          <w:szCs w:val="21"/>
        </w:rPr>
        <w:t xml:space="preserve"> (Part 5), then how Vision v2.0 and Architecture v3 should coexist (Part 6), and finally the short list of edits that would finish the job (Part 7).</w:t>
      </w:r>
    </w:p>
    <w:p>
      <w:r>
        <w:br w:type="page"/>
      </w:r>
    </w:p>
    <w:p>
      <w:pPr>
        <w:pStyle w:val="Heading1"/>
      </w:pPr>
      <w:r>
        <w:t xml:space="preserve">3 · Restoration scorecard — what v2 dropped, did Vision v2.0 recover it?</w:t>
      </w:r>
    </w:p>
    <w:p>
      <w:pPr>
        <w:spacing w:after="130" w:before="0" w:line="268"/>
      </w:pPr>
      <w:r>
        <w:rPr>
          <w:rFonts w:ascii="Inter" w:cs="Inter" w:eastAsia="Inter" w:hAnsi="Inter"/>
          <w:color w:val="13202E"/>
          <w:sz w:val="21"/>
          <w:szCs w:val="21"/>
        </w:rPr>
        <w:t xml:space="preserve">These are the five things you identified as lost between the draft and v2. For each, the table states what v1 had, what v2 dropped, and where Vision v2.0 now stands. The grade reflects not just “is it back” but “is it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460"/>
        <w:gridCol w:w="1460"/>
        <w:gridCol w:w="3460"/>
        <w:gridCol w:w="1000"/>
      </w:tblGrid>
      <w:tr>
        <w:trPr>
          <w:tblHeader/>
        </w:trPr>
        <w:tc>
          <w:tcPr>
            <w:tcW w:type="dxa" w:w="198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Element</w:t>
            </w:r>
          </w:p>
        </w:tc>
        <w:tc>
          <w:tcPr>
            <w:tcW w:type="dxa" w:w="146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In v1</w:t>
            </w:r>
          </w:p>
        </w:tc>
        <w:tc>
          <w:tcPr>
            <w:tcW w:type="dxa" w:w="146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In v2</w:t>
            </w:r>
          </w:p>
        </w:tc>
        <w:tc>
          <w:tcPr>
            <w:tcW w:type="dxa" w:w="346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Status in Vision v2.0</w:t>
            </w:r>
          </w:p>
        </w:tc>
        <w:tc>
          <w:tcPr>
            <w:tcW w:type="dxa" w:w="10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Grade</w:t>
            </w:r>
          </w:p>
        </w:tc>
      </w:tr>
      <w:tr>
        <w:tc>
          <w:tcPr>
            <w:tcW w:type="dxa" w:w="198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Multi-product ecosystem (MES, QES, Yard &amp; Warehouse, Energy)</w:t>
            </w:r>
          </w:p>
        </w:tc>
        <w:tc>
          <w:tcPr>
            <w:tcW w:type="dxa" w:w="14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Five products, each a website page.</w:t>
            </w:r>
          </w:p>
        </w:tc>
        <w:tc>
          <w:tcPr>
            <w:tcW w:type="dxa" w:w="14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Collapsed to passing mentions of neighbouring systems.</w:t>
            </w:r>
          </w:p>
        </w:tc>
        <w:tc>
          <w:tcPr>
            <w:tcW w:type="dxa" w:w="34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Recovered (§7.2) — the five products return as the website’s product set, PPIQ as the flagship. Faithful to v1’s framing.</w:t>
            </w:r>
          </w:p>
        </w:tc>
        <w:tc>
          <w:tcPr>
            <w:tcW w:type="dxa" w:w="10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jc w:val="center"/>
            </w:pPr>
            <w:r>
              <w:rPr>
                <w:rFonts w:ascii="Inter" w:cs="Inter" w:eastAsia="Inter" w:hAnsi="Inter"/>
                <w:b/>
                <w:bCs/>
                <w:color w:val="2CE6A2"/>
                <w:sz w:val="20"/>
                <w:szCs w:val="20"/>
              </w:rPr>
              <w:t xml:space="preserve">A</w:t>
            </w:r>
          </w:p>
        </w:tc>
      </w:tr>
      <w:tr>
        <w:tc>
          <w:tcPr>
            <w:tcW w:type="dxa" w:w="19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Demo topology &amp; data schema (13 areas, 8 sources, genealogy keys)</w:t>
            </w:r>
          </w:p>
        </w:tc>
        <w:tc>
          <w:tcPr>
            <w:tcW w:type="dxa" w:w="14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Exact line, sources and Heat/Ladle/Tundish/Mould keys.</w:t>
            </w:r>
          </w:p>
        </w:tc>
        <w:tc>
          <w:tcPr>
            <w:tcW w:type="dxa" w:w="14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One fleeting reference to scale (~630 heats / ~5,600 coils).</w:t>
            </w:r>
          </w:p>
        </w:tc>
        <w:tc>
          <w:tcPr>
            <w:tcW w:type="dxa" w:w="34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Recovered at summary grain (§6.2–6.3): the canonical line, the eight heterogeneous sources with a “carries” summary, and the genealogy spine (§2.2.5). Column-level table detail is abstracted.</w:t>
            </w:r>
          </w:p>
        </w:tc>
        <w:tc>
          <w:tcPr>
            <w:tcW w:type="dxa" w:w="10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jc w:val="center"/>
            </w:pPr>
            <w:r>
              <w:rPr>
                <w:rFonts w:ascii="Inter" w:cs="Inter" w:eastAsia="Inter" w:hAnsi="Inter"/>
                <w:b/>
                <w:bCs/>
                <w:color w:val="2CE6A2"/>
                <w:sz w:val="20"/>
                <w:szCs w:val="20"/>
              </w:rPr>
              <w:t xml:space="preserve">A−</w:t>
            </w:r>
          </w:p>
        </w:tc>
      </w:tr>
      <w:tr>
        <w:tc>
          <w:tcPr>
            <w:tcW w:type="dxa" w:w="198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Administrator setup &amp; configuration workflows</w:t>
            </w:r>
          </w:p>
        </w:tc>
        <w:tc>
          <w:tcPr>
            <w:tcW w:type="dxa" w:w="14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DB Configuration &amp; Schema Configuration pages described.</w:t>
            </w:r>
          </w:p>
        </w:tc>
        <w:tc>
          <w:tcPr>
            <w:tcW w:type="dxa" w:w="14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Absent — no admin UI at all.</w:t>
            </w:r>
          </w:p>
        </w:tc>
        <w:tc>
          <w:tcPr>
            <w:tcW w:type="dxa" w:w="34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Recovered and upgraded: DB Link config (§2.2.2), Schema mapping (§2.2.4), Importing &amp; Jobs Monitor (§2.2.6), page builder (§2.3). Now framed as one generic data lifecycle.</w:t>
            </w:r>
          </w:p>
        </w:tc>
        <w:tc>
          <w:tcPr>
            <w:tcW w:type="dxa" w:w="10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jc w:val="center"/>
            </w:pPr>
            <w:r>
              <w:rPr>
                <w:rFonts w:ascii="Inter" w:cs="Inter" w:eastAsia="Inter" w:hAnsi="Inter"/>
                <w:b/>
                <w:bCs/>
                <w:color w:val="2CE6A2"/>
                <w:sz w:val="20"/>
                <w:szCs w:val="20"/>
              </w:rPr>
              <w:t xml:space="preserve">A</w:t>
            </w:r>
          </w:p>
        </w:tc>
      </w:tr>
      <w:tr>
        <w:tc>
          <w:tcPr>
            <w:tcW w:type="dxa" w:w="19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Zero-hanging UI/UX hardening mandates</w:t>
            </w:r>
          </w:p>
        </w:tc>
        <w:tc>
          <w:tcPr>
            <w:tcW w:type="dxa" w:w="14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Track 2: no hangs, progress on slow loads, no PK/FK failures.</w:t>
            </w:r>
          </w:p>
        </w:tc>
        <w:tc>
          <w:tcPr>
            <w:tcW w:type="dxa" w:w="14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Absent.</w:t>
            </w:r>
          </w:p>
        </w:tc>
        <w:tc>
          <w:tcPr>
            <w:tcW w:type="dxa" w:w="34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Recovered and materially upgraded — restated as Pillar III (§5) and, crucially, as a measurable Zero-Defect Quality Bar with a proof column (§8). Aspiration became a testable contract.</w:t>
            </w:r>
          </w:p>
        </w:tc>
        <w:tc>
          <w:tcPr>
            <w:tcW w:type="dxa" w:w="10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jc w:val="center"/>
            </w:pPr>
            <w:r>
              <w:rPr>
                <w:rFonts w:ascii="Inter" w:cs="Inter" w:eastAsia="Inter" w:hAnsi="Inter"/>
                <w:b/>
                <w:bCs/>
                <w:color w:val="2CE6A2"/>
                <w:sz w:val="20"/>
                <w:szCs w:val="20"/>
              </w:rPr>
              <w:t xml:space="preserve">A+</w:t>
            </w:r>
          </w:p>
        </w:tc>
      </w:tr>
      <w:tr>
        <w:tc>
          <w:tcPr>
            <w:tcW w:type="dxa" w:w="198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Brand identity &amp; design system</w:t>
            </w:r>
          </w:p>
        </w:tc>
        <w:tc>
          <w:tcPr>
            <w:tcW w:type="dxa" w:w="14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Full palette, type scale, logo brief, in-app spec.</w:t>
            </w:r>
          </w:p>
        </w:tc>
        <w:tc>
          <w:tcPr>
            <w:tcW w:type="dxa" w:w="14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Only the JetBrains-Mono SQL editor survived.</w:t>
            </w:r>
          </w:p>
        </w:tc>
        <w:tc>
          <w:tcPr>
            <w:tcW w:type="dxa" w:w="34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Recovered (§7.1): the Dark-Industrial palette, the Inter/JetBrains type scale and the connected-node logo brief return as one identity shared across app, website and reports.</w:t>
            </w:r>
          </w:p>
        </w:tc>
        <w:tc>
          <w:tcPr>
            <w:tcW w:type="dxa" w:w="10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jc w:val="center"/>
            </w:pPr>
            <w:r>
              <w:rPr>
                <w:rFonts w:ascii="Inter" w:cs="Inter" w:eastAsia="Inter" w:hAnsi="Inter"/>
                <w:b/>
                <w:bCs/>
                <w:color w:val="2CE6A2"/>
                <w:sz w:val="20"/>
                <w:szCs w:val="20"/>
              </w:rPr>
              <w:t xml:space="preserve">A</w:t>
            </w:r>
          </w:p>
        </w:tc>
      </w:tr>
    </w:tbl>
    <w:p>
      <w:pPr>
        <w:spacing w:after="130" w:before="40" w:line="268"/>
      </w:pPr>
      <w:r>
        <w:rPr>
          <w:rFonts w:ascii="Inter" w:cs="Inter" w:eastAsia="Inter" w:hAnsi="Inter"/>
          <w:b/>
          <w:bCs/>
          <w:color w:val="13202E"/>
          <w:sz w:val="21"/>
          <w:szCs w:val="21"/>
        </w:rPr>
        <w:t xml:space="preserve">Reading of the scorecard: </w:t>
      </w:r>
      <w:r>
        <w:rPr>
          <w:rFonts w:ascii="Inter" w:cs="Inter" w:eastAsia="Inter" w:hAnsi="Inter"/>
          <w:color w:val="13202E"/>
          <w:sz w:val="21"/>
          <w:szCs w:val="21"/>
        </w:rPr>
        <w:t xml:space="preserve">the body is back, and in three of five cases stronger than it ever was in v1. The hardening mandate in particular was not just restored but transformed — from a list of “I will never accept” statements into enumerable, provable acceptance criteria.</w:t>
      </w:r>
    </w:p>
    <w:p>
      <w:r>
        <w:br w:type="page"/>
      </w:r>
    </w:p>
    <w:p>
      <w:pPr>
        <w:pStyle w:val="Heading1"/>
      </w:pPr>
      <w:r>
        <w:t xml:space="preserve">4 · Gap-closure verification — the open questions in v1, answered?</w:t>
      </w:r>
    </w:p>
    <w:p>
      <w:pPr>
        <w:spacing w:after="130" w:before="0" w:line="268"/>
      </w:pPr>
      <w:r>
        <w:rPr>
          <w:rFonts w:ascii="Inter" w:cs="Inter" w:eastAsia="Inter" w:hAnsi="Inter"/>
          <w:color w:val="13202E"/>
          <w:sz w:val="21"/>
          <w:szCs w:val="21"/>
        </w:rPr>
        <w:t xml:space="preserve">Beyond what was dropped by v2, the original draft contained places where you were explicitly tentative — “I don’t have a full vision how…”, “not yet define…”, and a heading left blank. Vision v2.0 sets out, in its own §9, to close these. The table verifies each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80"/>
        <w:gridCol w:w="3120"/>
        <w:gridCol w:w="1060"/>
        <w:gridCol w:w="2800"/>
      </w:tblGrid>
      <w:tr>
        <w:trPr>
          <w:tblHeader/>
        </w:trPr>
        <w:tc>
          <w:tcPr>
            <w:tcW w:type="dxa" w:w="238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Open point in v1</w:t>
            </w:r>
          </w:p>
        </w:tc>
        <w:tc>
          <w:tcPr>
            <w:tcW w:type="dxa" w:w="312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Status in Vision v2.0</w:t>
            </w:r>
          </w:p>
        </w:tc>
        <w:tc>
          <w:tcPr>
            <w:tcW w:type="dxa" w:w="106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Where</w:t>
            </w:r>
          </w:p>
        </w:tc>
        <w:tc>
          <w:tcPr>
            <w:tcW w:type="dxa" w:w="28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Residual</w:t>
            </w:r>
          </w:p>
        </w:tc>
      </w:tr>
      <w:tr>
        <w:tc>
          <w:tcPr>
            <w:tcW w:type="dxa" w:w="238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r>
              <w:rPr>
                <w:rFonts w:ascii="Inter" w:cs="Inter" w:eastAsia="Inter" w:hAnsi="Inter"/>
                <w:b/>
                <w:bCs/>
                <w:color w:val="13202E"/>
                <w:sz w:val="19"/>
                <w:szCs w:val="19"/>
              </w:rPr>
              <w:t xml:space="preserve">Schema mapping engine</w:t>
            </w:r>
          </w:p>
          <w:p>
            <w:pPr>
              <w:spacing w:before="16"/>
            </w:pPr>
            <w:r>
              <w:rPr>
                <w:rFonts w:ascii="Inter" w:cs="Inter" w:eastAsia="Inter" w:hAnsi="Inter"/>
                <w:i/>
                <w:iCs/>
                <w:color w:val="8EA7C1"/>
                <w:sz w:val="16"/>
                <w:szCs w:val="16"/>
              </w:rPr>
              <w:t xml:space="preserve">“I don’t have a full vision… design it.”</w:t>
            </w:r>
          </w:p>
        </w:tc>
        <w:tc>
          <w:tcPr>
            <w:tcW w:type="dxa" w:w="31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Closed at doctrine level: HMI-authored SQL views, cross-engine joins on business keys, KPIs-as-first-class-views, typed resolver errors, and a second-pass safe-SQL validator.</w:t>
            </w:r>
          </w:p>
        </w:tc>
        <w:tc>
          <w:tcPr>
            <w:tcW w:type="dxa" w:w="10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13202E"/>
                <w:sz w:val="19"/>
                <w:szCs w:val="19"/>
              </w:rPr>
              <w:t xml:space="preserve">§2.2.4</w:t>
            </w:r>
          </w:p>
        </w:tc>
        <w:tc>
          <w:tcPr>
            <w:tcW w:type="dxa" w:w="28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Specified, not yet designed as UI. The tabbed builder, the visual↔SQL toggle and worked SQL examples live in Architecture v3 (§3.3).</w:t>
            </w:r>
          </w:p>
        </w:tc>
      </w:tr>
      <w:tr>
        <w:tc>
          <w:tcPr>
            <w:tcW w:type="dxa" w:w="23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r>
              <w:rPr>
                <w:rFonts w:ascii="Inter" w:cs="Inter" w:eastAsia="Inter" w:hAnsi="Inter"/>
                <w:b/>
                <w:bCs/>
                <w:color w:val="FF4D6D"/>
                <w:sz w:val="19"/>
                <w:szCs w:val="19"/>
              </w:rPr>
              <w:t xml:space="preserve">User / Role / Access</w:t>
            </w:r>
          </w:p>
          <w:p>
            <w:pPr>
              <w:spacing w:before="16"/>
            </w:pPr>
            <w:r>
              <w:rPr>
                <w:rFonts w:ascii="Inter" w:cs="Inter" w:eastAsia="Inter" w:hAnsi="Inter"/>
                <w:i/>
                <w:iCs/>
                <w:color w:val="8EA7C1"/>
                <w:sz w:val="16"/>
                <w:szCs w:val="16"/>
              </w:rPr>
              <w:t xml:space="preserve">blank heading “5. User / Role and Admin”</w:t>
            </w:r>
          </w:p>
        </w:tc>
        <w:tc>
          <w:tcPr>
            <w:tcW w:type="dxa" w:w="31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FFB020"/>
                <w:sz w:val="21"/>
                <w:szCs w:val="21"/>
              </w:rPr>
              <w:t xml:space="preserve">Partially closed. </w:t>
            </w:r>
            <w:r>
              <w:rPr>
                <w:rFonts w:ascii="Inter" w:cs="Inter" w:eastAsia="Inter" w:hAnsi="Inter"/>
                <w:color w:val="13202E"/>
                <w:sz w:val="19"/>
                <w:szCs w:val="19"/>
              </w:rPr>
              <w:t xml:space="preserve">Approached obliquely through licensing tiers (§4), persona accounts (§6.4) and a one-line “multi-tenant governance” in the Enterprise tier.</w:t>
            </w:r>
          </w:p>
        </w:tc>
        <w:tc>
          <w:tcPr>
            <w:tcW w:type="dxa" w:w="10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13202E"/>
                <w:sz w:val="19"/>
                <w:szCs w:val="19"/>
              </w:rPr>
              <w:t xml:space="preserve">§4, §6.4</w:t>
            </w:r>
          </w:p>
        </w:tc>
        <w:tc>
          <w:tcPr>
            <w:tcW w:type="dxa" w:w="28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FF4D6D"/>
                <w:sz w:val="21"/>
                <w:szCs w:val="21"/>
              </w:rPr>
              <w:t xml:space="preserve">The lone material gap. </w:t>
            </w:r>
            <w:r>
              <w:rPr>
                <w:rFonts w:ascii="Inter" w:cs="Inter" w:eastAsia="Inter" w:hAnsi="Inter"/>
                <w:color w:val="13202E"/>
                <w:sz w:val="19"/>
                <w:szCs w:val="19"/>
              </w:rPr>
              <w:t xml:space="preserve">No role catalog, RBAC matrix, licence×role interaction, tenant-isolation model or audit-log spec. v3 §3.8 has this.</w:t>
            </w:r>
          </w:p>
        </w:tc>
      </w:tr>
      <w:tr>
        <w:tc>
          <w:tcPr>
            <w:tcW w:type="dxa" w:w="238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r>
              <w:rPr>
                <w:rFonts w:ascii="Inter" w:cs="Inter" w:eastAsia="Inter" w:hAnsi="Inter"/>
                <w:b/>
                <w:bCs/>
                <w:color w:val="13202E"/>
                <w:sz w:val="19"/>
                <w:szCs w:val="19"/>
              </w:rPr>
              <w:t xml:space="preserve">Jobs Monitor</w:t>
            </w:r>
          </w:p>
        </w:tc>
        <w:tc>
          <w:tcPr>
            <w:tcW w:type="dxa" w:w="31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Closed: one monitor for standard and ML jobs alike, driven by run history — last run, outcome (success / crash / timeout) and duration.</w:t>
            </w:r>
          </w:p>
        </w:tc>
        <w:tc>
          <w:tcPr>
            <w:tcW w:type="dxa" w:w="10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13202E"/>
                <w:sz w:val="19"/>
                <w:szCs w:val="19"/>
              </w:rPr>
              <w:t xml:space="preserve">§2.2.6</w:t>
            </w:r>
          </w:p>
        </w:tc>
        <w:tc>
          <w:tcPr>
            <w:tcW w:type="dxa" w:w="28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None of substance.</w:t>
            </w:r>
          </w:p>
        </w:tc>
      </w:tr>
      <w:tr>
        <w:tc>
          <w:tcPr>
            <w:tcW w:type="dxa" w:w="23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r>
              <w:rPr>
                <w:rFonts w:ascii="Inter" w:cs="Inter" w:eastAsia="Inter" w:hAnsi="Inter"/>
                <w:b/>
                <w:bCs/>
                <w:color w:val="13202E"/>
                <w:sz w:val="19"/>
                <w:szCs w:val="19"/>
              </w:rPr>
              <w:t xml:space="preserve">Page composition / drag-drop</w:t>
            </w:r>
          </w:p>
        </w:tc>
        <w:tc>
          <w:tcPr>
            <w:tcW w:type="dxa" w:w="31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Closed: pages persisted as data (a Page Definition), rendered generically at /pages/{slug}; a widget library + drag-drop canvas composes them.</w:t>
            </w:r>
          </w:p>
        </w:tc>
        <w:tc>
          <w:tcPr>
            <w:tcW w:type="dxa" w:w="10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13202E"/>
                <w:sz w:val="19"/>
                <w:szCs w:val="19"/>
              </w:rPr>
              <w:t xml:space="preserve">§2.3.1</w:t>
            </w:r>
          </w:p>
        </w:tc>
        <w:tc>
          <w:tcPr>
            <w:tcW w:type="dxa" w:w="28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None of substance.</w:t>
            </w:r>
          </w:p>
        </w:tc>
      </w:tr>
      <w:tr>
        <w:tc>
          <w:tcPr>
            <w:tcW w:type="dxa" w:w="238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r>
              <w:rPr>
                <w:rFonts w:ascii="Inter" w:cs="Inter" w:eastAsia="Inter" w:hAnsi="Inter"/>
                <w:b/>
                <w:bCs/>
                <w:color w:val="13202E"/>
                <w:sz w:val="19"/>
                <w:szCs w:val="19"/>
              </w:rPr>
              <w:t xml:space="preserve">Secure DB link &amp; credentials</w:t>
            </w:r>
          </w:p>
        </w:tc>
        <w:tc>
          <w:tcPr>
            <w:tcW w:type="dxa" w:w="31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Closed and upgraded: six connectors behind one interface, tested-before-save, credentials encrypted at rest and masked on read-back, per-source cadence from 2 min to days.</w:t>
            </w:r>
          </w:p>
        </w:tc>
        <w:tc>
          <w:tcPr>
            <w:tcW w:type="dxa" w:w="10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13202E"/>
                <w:sz w:val="19"/>
                <w:szCs w:val="19"/>
              </w:rPr>
              <w:t xml:space="preserve">§2.2.2</w:t>
            </w:r>
          </w:p>
        </w:tc>
        <w:tc>
          <w:tcPr>
            <w:tcW w:type="dxa" w:w="28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None — the credential-security detail exceeds the draft.</w:t>
            </w:r>
          </w:p>
        </w:tc>
      </w:tr>
      <w:tr>
        <w:tc>
          <w:tcPr>
            <w:tcW w:type="dxa" w:w="23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r>
              <w:rPr>
                <w:rFonts w:ascii="Inter" w:cs="Inter" w:eastAsia="Inter" w:hAnsi="Inter"/>
                <w:b/>
                <w:bCs/>
                <w:color w:val="13202E"/>
                <w:sz w:val="19"/>
                <w:szCs w:val="19"/>
              </w:rPr>
              <w:t xml:space="preserve">Suggestion / recommendation</w:t>
            </w:r>
          </w:p>
          <w:p>
            <w:pPr>
              <w:spacing w:before="16"/>
            </w:pPr>
            <w:r>
              <w:rPr>
                <w:rFonts w:ascii="Inter" w:cs="Inter" w:eastAsia="Inter" w:hAnsi="Inter"/>
                <w:i/>
                <w:iCs/>
                <w:color w:val="8EA7C1"/>
                <w:sz w:val="16"/>
                <w:szCs w:val="16"/>
              </w:rPr>
              <w:t xml:space="preserve">“not yet define how it will be…”</w:t>
            </w:r>
          </w:p>
        </w:tc>
        <w:tc>
          <w:tcPr>
            <w:tcW w:type="dxa" w:w="31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Closed: a deterministic, evidence-linked, impact-ranked suggestion engine plus a grounded RAG agent that narrates findings under the honesty contract.</w:t>
            </w:r>
          </w:p>
        </w:tc>
        <w:tc>
          <w:tcPr>
            <w:tcW w:type="dxa" w:w="10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13202E"/>
                <w:sz w:val="19"/>
                <w:szCs w:val="19"/>
              </w:rPr>
              <w:t xml:space="preserve">§3.5</w:t>
            </w:r>
          </w:p>
        </w:tc>
        <w:tc>
          <w:tcPr>
            <w:tcW w:type="dxa" w:w="28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None — arguably the strongest single closure in the document.</w:t>
            </w:r>
          </w:p>
        </w:tc>
      </w:tr>
    </w:tbl>
    <w:p>
      <w:pPr>
        <w:spacing w:after="130" w:before="40" w:line="268"/>
      </w:pPr>
      <w:r>
        <w:rPr>
          <w:rFonts w:ascii="Inter" w:cs="Inter" w:eastAsia="Inter" w:hAnsi="Inter"/>
          <w:b/>
          <w:bCs/>
          <w:color w:val="13202E"/>
          <w:sz w:val="21"/>
          <w:szCs w:val="21"/>
        </w:rPr>
        <w:t xml:space="preserve">Reading of the closures: </w:t>
      </w:r>
      <w:r>
        <w:rPr>
          <w:rFonts w:ascii="Inter" w:cs="Inter" w:eastAsia="Inter" w:hAnsi="Inter"/>
          <w:color w:val="13202E"/>
          <w:sz w:val="21"/>
          <w:szCs w:val="21"/>
        </w:rPr>
        <w:t xml:space="preserve">five of six open questions are fully and well answered. The exception — User / Role / Access — is the one heading v1 itself left blank, and it remains the one place Vision v2.0 gestures at rather than specifies. It is the obvious target for the next edit (Part 7).</w:t>
      </w:r>
    </w:p>
    <w:p>
      <w:r>
        <w:br w:type="page"/>
      </w:r>
    </w:p>
    <w:p>
      <w:pPr>
        <w:pStyle w:val="Heading1"/>
      </w:pPr>
      <w:r>
        <w:t xml:space="preserve">5 · What Vision v2.0 invented</w:t>
      </w:r>
    </w:p>
    <w:p>
      <w:pPr>
        <w:spacing w:after="130" w:before="0" w:line="268"/>
      </w:pPr>
      <w:r>
        <w:rPr>
          <w:rFonts w:ascii="Inter" w:cs="Inter" w:eastAsia="Inter" w:hAnsi="Inter"/>
          <w:color w:val="13202E"/>
          <w:sz w:val="21"/>
          <w:szCs w:val="21"/>
        </w:rPr>
        <w:t xml:space="preserve">Recovery and closure explain how Vision v2.0 caught up. What makes it the strongest version is the material that appears in </w:t>
      </w:r>
      <w:r>
        <w:rPr>
          <w:rFonts w:ascii="Inter" w:cs="Inter" w:eastAsia="Inter" w:hAnsi="Inter"/>
          <w:b/>
          <w:bCs/>
          <w:color w:val="13202E"/>
          <w:sz w:val="21"/>
          <w:szCs w:val="21"/>
        </w:rPr>
        <w:t xml:space="preserve">no prior draft at all</w:t>
      </w:r>
      <w:r>
        <w:rPr>
          <w:rFonts w:ascii="Inter" w:cs="Inter" w:eastAsia="Inter" w:hAnsi="Inter"/>
          <w:color w:val="13202E"/>
          <w:sz w:val="21"/>
          <w:szCs w:val="21"/>
        </w:rPr>
        <w:t xml:space="preserve">. These are your additions, and they are what raise the document from “complete” to “defensible.”</w:t>
      </w:r>
    </w:p>
    <w:p>
      <w:pPr>
        <w:pStyle w:val="Heading2"/>
      </w:pPr>
      <w:r>
        <w:t xml:space="preserve">5.1 The additions that matter most</w:t>
      </w:r>
    </w:p>
    <w:p>
      <w:pPr>
        <w:pStyle w:val="ListParagraph"/>
        <w:numPr>
          <w:ilvl w:val="0"/>
          <w:numId w:val="2"/>
        </w:numPr>
        <w:spacing w:after="80" w:line="264"/>
      </w:pPr>
      <w:r>
        <w:rPr>
          <w:rFonts w:ascii="Inter" w:cs="Inter" w:eastAsia="Inter" w:hAnsi="Inter"/>
          <w:b/>
          <w:bCs/>
          <w:color w:val="13202E"/>
          <w:sz w:val="21"/>
          <w:szCs w:val="21"/>
        </w:rPr>
        <w:t xml:space="preserve">The “three sensations” North Star (§1). </w:t>
      </w:r>
      <w:r>
        <w:rPr>
          <w:rFonts w:ascii="Inter" w:cs="Inter" w:eastAsia="Inter" w:hAnsi="Inter"/>
          <w:color w:val="13202E"/>
          <w:sz w:val="21"/>
          <w:szCs w:val="21"/>
        </w:rPr>
        <w:t xml:space="preserve">“Dazzling” is reframed as an engineered emotional outcome with three named targets — “it already speaks my plant,” “it tells me something I didn’t know and proves it,” “it won’t embarrass me.” Every later requirement is tied back to one of them. Neither v1 nor v2 had a thesis like this.</w:t>
      </w:r>
    </w:p>
    <w:p>
      <w:pPr>
        <w:pStyle w:val="ListParagraph"/>
        <w:numPr>
          <w:ilvl w:val="0"/>
          <w:numId w:val="2"/>
        </w:numPr>
        <w:spacing w:after="80" w:line="264"/>
      </w:pPr>
      <w:r>
        <w:rPr>
          <w:rFonts w:ascii="Inter" w:cs="Inter" w:eastAsia="Inter" w:hAnsi="Inter"/>
          <w:b/>
          <w:bCs/>
          <w:color w:val="13202E"/>
          <w:sz w:val="21"/>
          <w:szCs w:val="21"/>
        </w:rPr>
        <w:t xml:space="preserve">The Zero-Defect Quality Bar (§8). </w:t>
      </w:r>
      <w:r>
        <w:rPr>
          <w:rFonts w:ascii="Inter" w:cs="Inter" w:eastAsia="Inter" w:hAnsi="Inter"/>
          <w:color w:val="13202E"/>
          <w:sz w:val="21"/>
          <w:szCs w:val="21"/>
        </w:rPr>
        <w:t xml:space="preserve">Your “not a single error” demand is restated as eleven classes of acceptance criteria, each with a </w:t>
      </w:r>
      <w:r>
        <w:rPr>
          <w:rFonts w:ascii="Inter" w:cs="Inter" w:eastAsia="Inter" w:hAnsi="Inter"/>
          <w:b/>
          <w:bCs/>
          <w:color w:val="13202E"/>
          <w:sz w:val="21"/>
          <w:szCs w:val="21"/>
        </w:rPr>
        <w:t xml:space="preserve">proof column</w:t>
      </w:r>
      <w:r>
        <w:rPr>
          <w:rFonts w:ascii="Inter" w:cs="Inter" w:eastAsia="Inter" w:hAnsi="Inter"/>
          <w:color w:val="13202E"/>
          <w:sz w:val="21"/>
          <w:szCs w:val="21"/>
        </w:rPr>
        <w:t xml:space="preserve"> — how the bar is demonstrated, by test. This is the single most important addition: it converts an aspiration into a contract a reviewer can audit, and coverage is proven “by enumeration, not by a percentage.”</w:t>
      </w:r>
    </w:p>
    <w:p>
      <w:pPr>
        <w:pStyle w:val="ListParagraph"/>
        <w:numPr>
          <w:ilvl w:val="0"/>
          <w:numId w:val="2"/>
        </w:numPr>
        <w:spacing w:after="80" w:line="264"/>
      </w:pPr>
      <w:r>
        <w:rPr>
          <w:rFonts w:ascii="Inter" w:cs="Inter" w:eastAsia="Inter" w:hAnsi="Inter"/>
          <w:b/>
          <w:bCs/>
          <w:color w:val="13202E"/>
          <w:sz w:val="21"/>
          <w:szCs w:val="21"/>
        </w:rPr>
        <w:t xml:space="preserve">The gap-closure ledger (§9). </w:t>
      </w:r>
      <w:r>
        <w:rPr>
          <w:rFonts w:ascii="Inter" w:cs="Inter" w:eastAsia="Inter" w:hAnsi="Inter"/>
          <w:color w:val="13202E"/>
          <w:sz w:val="21"/>
          <w:szCs w:val="21"/>
        </w:rPr>
        <w:t xml:space="preserve">An explicit table that names every place the original was tentative and the decision that closes it. Few specifications carry their own traceability like this; it signals engineering maturity to a technical buyer.</w:t>
      </w:r>
    </w:p>
    <w:p>
      <w:pPr>
        <w:pStyle w:val="ListParagraph"/>
        <w:numPr>
          <w:ilvl w:val="0"/>
          <w:numId w:val="2"/>
        </w:numPr>
        <w:spacing w:after="80" w:line="264"/>
      </w:pPr>
      <w:r>
        <w:rPr>
          <w:rFonts w:ascii="Inter" w:cs="Inter" w:eastAsia="Inter" w:hAnsi="Inter"/>
          <w:b/>
          <w:bCs/>
          <w:color w:val="13202E"/>
          <w:sz w:val="21"/>
          <w:szCs w:val="21"/>
        </w:rPr>
        <w:t xml:space="preserve">The Operational Doctrine (§10). </w:t>
      </w:r>
      <w:r>
        <w:rPr>
          <w:rFonts w:ascii="Inter" w:cs="Inter" w:eastAsia="Inter" w:hAnsi="Inter"/>
          <w:color w:val="13202E"/>
          <w:sz w:val="21"/>
          <w:szCs w:val="21"/>
        </w:rPr>
        <w:t xml:space="preserve">Authentication binding, port/process ownership, local↔server parity and network exposure — the deployment lessons this very project learned the hard way — codified as rules with tests, “because that is where polished products quietly fail.”</w:t>
      </w:r>
    </w:p>
    <w:p>
      <w:pPr>
        <w:pStyle w:val="ListParagraph"/>
        <w:numPr>
          <w:ilvl w:val="0"/>
          <w:numId w:val="2"/>
        </w:numPr>
        <w:spacing w:after="80" w:line="264"/>
      </w:pPr>
      <w:r>
        <w:rPr>
          <w:rFonts w:ascii="Inter" w:cs="Inter" w:eastAsia="Inter" w:hAnsi="Inter"/>
          <w:b/>
          <w:bCs/>
          <w:color w:val="13202E"/>
          <w:sz w:val="21"/>
          <w:szCs w:val="21"/>
        </w:rPr>
        <w:t xml:space="preserve">The eight Operating Principles (§11). </w:t>
      </w:r>
      <w:r>
        <w:rPr>
          <w:rFonts w:ascii="Inter" w:cs="Inter" w:eastAsia="Inter" w:hAnsi="Inter"/>
          <w:color w:val="13202E"/>
          <w:sz w:val="21"/>
          <w:szCs w:val="21"/>
        </w:rPr>
        <w:t xml:space="preserve">Tie-breakers for future ambiguity: “generic over bespoke,” “the AI explains the math; it does not do the math,” “prove it, don’t assert it,” “parity is sacred.” They let the team resolve decisions without re-litigating the vision.</w:t>
      </w:r>
    </w:p>
    <w:p>
      <w:pPr>
        <w:pStyle w:val="Heading2"/>
      </w:pPr>
      <w:r>
        <w:t xml:space="preserve">5.2 Sharper framings of existing ideas</w:t>
      </w:r>
    </w:p>
    <w:p>
      <w:pPr>
        <w:pStyle w:val="ListParagraph"/>
        <w:numPr>
          <w:ilvl w:val="0"/>
          <w:numId w:val="2"/>
        </w:numPr>
        <w:spacing w:after="80" w:line="264"/>
      </w:pPr>
      <w:r>
        <w:rPr>
          <w:rFonts w:ascii="Inter" w:cs="Inter" w:eastAsia="Inter" w:hAnsi="Inter"/>
          <w:b/>
          <w:bCs/>
          <w:color w:val="13202E"/>
          <w:sz w:val="21"/>
          <w:szCs w:val="21"/>
        </w:rPr>
        <w:t xml:space="preserve">The five-pillar reframe. </w:t>
      </w:r>
      <w:r>
        <w:rPr>
          <w:rFonts w:ascii="Inter" w:cs="Inter" w:eastAsia="Inter" w:hAnsi="Inter"/>
          <w:color w:val="13202E"/>
          <w:sz w:val="21"/>
          <w:szCs w:val="21"/>
        </w:rPr>
        <w:t xml:space="preserve">The four tracks become five pillars by naming the Intelligence Engine explicitly — the part that makes PPIQ “a new generation of plant intelligence” rather than another dashboard.</w:t>
      </w:r>
    </w:p>
    <w:p>
      <w:pPr>
        <w:pStyle w:val="ListParagraph"/>
        <w:numPr>
          <w:ilvl w:val="0"/>
          <w:numId w:val="2"/>
        </w:numPr>
        <w:spacing w:after="80" w:line="264"/>
      </w:pPr>
      <w:r>
        <w:rPr>
          <w:rFonts w:ascii="Inter" w:cs="Inter" w:eastAsia="Inter" w:hAnsi="Inter"/>
          <w:b/>
          <w:bCs/>
          <w:color w:val="13202E"/>
          <w:sz w:val="21"/>
          <w:szCs w:val="21"/>
        </w:rPr>
        <w:t xml:space="preserve">The honesty contract as a sales asset. </w:t>
      </w:r>
      <w:r>
        <w:rPr>
          <w:rFonts w:ascii="Inter" w:cs="Inter" w:eastAsia="Inter" w:hAnsi="Inter"/>
          <w:color w:val="13202E"/>
          <w:sz w:val="21"/>
          <w:szCs w:val="21"/>
        </w:rPr>
        <w:t xml:space="preserve">What was a list of forbidden phrases in v1 is promoted to “the product’s integrity and its strongest sales asset,” with the air-gapped / offline-AI capability turned into a selling point rather than a limitation.</w:t>
      </w:r>
    </w:p>
    <w:p>
      <w:pPr>
        <w:pStyle w:val="ListParagraph"/>
        <w:numPr>
          <w:ilvl w:val="0"/>
          <w:numId w:val="2"/>
        </w:numPr>
        <w:spacing w:after="80" w:line="264"/>
      </w:pPr>
      <w:r>
        <w:rPr>
          <w:rFonts w:ascii="Inter" w:cs="Inter" w:eastAsia="Inter" w:hAnsi="Inter"/>
          <w:b/>
          <w:bCs/>
          <w:color w:val="13202E"/>
          <w:sz w:val="21"/>
          <w:szCs w:val="21"/>
        </w:rPr>
        <w:t xml:space="preserve">Licensing made operational. </w:t>
      </w:r>
      <w:r>
        <w:rPr>
          <w:rFonts w:ascii="Inter" w:cs="Inter" w:eastAsia="Inter" w:hAnsi="Inter"/>
          <w:color w:val="13202E"/>
          <w:sz w:val="21"/>
          <w:szCs w:val="21"/>
        </w:rPr>
        <w:t xml:space="preserve">Tiers are mapped to brand badge colours and to a live in-demo toggle that visibly adds and removes capability — the exact demonstration v1 asked for, now specified as a tested, centralized resolution.</w:t>
      </w:r>
    </w:p>
    <w:p>
      <w:pPr>
        <w:pStyle w:val="ListParagraph"/>
        <w:numPr>
          <w:ilvl w:val="0"/>
          <w:numId w:val="2"/>
        </w:numPr>
        <w:spacing w:after="80" w:line="264"/>
      </w:pPr>
      <w:r>
        <w:rPr>
          <w:rFonts w:ascii="Inter" w:cs="Inter" w:eastAsia="Inter" w:hAnsi="Inter"/>
          <w:b/>
          <w:bCs/>
          <w:color w:val="13202E"/>
          <w:sz w:val="21"/>
          <w:szCs w:val="21"/>
        </w:rPr>
        <w:t xml:space="preserve">Downtime modelled honestly. </w:t>
      </w:r>
      <w:r>
        <w:rPr>
          <w:rFonts w:ascii="Inter" w:cs="Inter" w:eastAsia="Inter" w:hAnsi="Inter"/>
          <w:color w:val="13202E"/>
          <w:sz w:val="21"/>
          <w:szCs w:val="21"/>
        </w:rPr>
        <w:t xml:space="preserve">Equipment-stoppage versus production-stoppage minutes are separated with buffer/cascade context (§3.1) — your water-pump-versus-HSM insight, preserved and made a first-class outcome so no downtime correlation can mislead.</w:t>
      </w:r>
    </w:p>
    <w:p>
      <w:r>
        <w:br w:type="page"/>
      </w:r>
    </w:p>
    <w:p>
      <w:pPr>
        <w:pStyle w:val="Heading1"/>
      </w:pPr>
      <w:r>
        <w:t xml:space="preserve">6 · Vision v2.0 and Architecture v3 — two successors, one job each</w:t>
      </w:r>
    </w:p>
    <w:p>
      <w:pPr>
        <w:spacing w:after="130" w:before="0" w:line="268"/>
      </w:pPr>
      <w:r>
        <w:rPr>
          <w:rFonts w:ascii="Inter" w:cs="Inter" w:eastAsia="Inter" w:hAnsi="Inter"/>
          <w:color w:val="13202E"/>
          <w:sz w:val="21"/>
          <w:szCs w:val="21"/>
        </w:rPr>
        <w:t xml:space="preserve">You now hold two strong successor documents, written in parallel. They are easy to see as rivals; they are better understood as answering different questions. </w:t>
      </w:r>
      <w:r>
        <w:rPr>
          <w:rFonts w:ascii="Inter" w:cs="Inter" w:eastAsia="Inter" w:hAnsi="Inter"/>
          <w:b/>
          <w:bCs/>
          <w:color w:val="13202E"/>
          <w:sz w:val="21"/>
          <w:szCs w:val="21"/>
        </w:rPr>
        <w:t xml:space="preserve">Vision v2.0 is the doctrine </w:t>
      </w:r>
      <w:r>
        <w:rPr>
          <w:rFonts w:ascii="Inter" w:cs="Inter" w:eastAsia="Inter" w:hAnsi="Inter"/>
          <w:color w:val="13202E"/>
          <w:sz w:val="21"/>
          <w:szCs w:val="21"/>
        </w:rPr>
        <w:t xml:space="preserve">— why the product exists, what it must do, and the bar it must clear. </w:t>
      </w:r>
      <w:r>
        <w:rPr>
          <w:rFonts w:ascii="Inter" w:cs="Inter" w:eastAsia="Inter" w:hAnsi="Inter"/>
          <w:b/>
          <w:bCs/>
          <w:color w:val="13202E"/>
          <w:sz w:val="21"/>
          <w:szCs w:val="21"/>
        </w:rPr>
        <w:t xml:space="preserve">Architecture v3 is the design </w:t>
      </w:r>
      <w:r>
        <w:rPr>
          <w:rFonts w:ascii="Inter" w:cs="Inter" w:eastAsia="Inter" w:hAnsi="Inter"/>
          <w:color w:val="13202E"/>
          <w:sz w:val="21"/>
          <w:szCs w:val="21"/>
        </w:rPr>
        <w:t xml:space="preserve">— how each piece is actually built. Each goes deep exactly where the other stays 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3500"/>
        <w:gridCol w:w="3500"/>
      </w:tblGrid>
      <w:tr>
        <w:trPr>
          <w:tblHeader/>
        </w:trPr>
        <w:tc>
          <w:tcPr>
            <w:tcW w:type="dxa" w:w="236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Dimension</w:t>
            </w:r>
          </w:p>
        </w:tc>
        <w:tc>
          <w:tcPr>
            <w:tcW w:type="dxa" w:w="35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Vision &amp; Doctrine v2.0</w:t>
            </w:r>
          </w:p>
        </w:tc>
        <w:tc>
          <w:tcPr>
            <w:tcW w:type="dxa" w:w="35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Architecture v3</w:t>
            </w:r>
          </w:p>
        </w:tc>
      </w:tr>
      <w:tr>
        <w:tc>
          <w:tcPr>
            <w:tcW w:type="dxa" w:w="236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Primary question</w:t>
            </w:r>
          </w:p>
        </w:tc>
        <w:tc>
          <w:tcPr>
            <w:tcW w:type="dxa" w:w="3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Why + what + how-good. The engineering contract.</w:t>
            </w:r>
          </w:p>
        </w:tc>
        <w:tc>
          <w:tcPr>
            <w:tcW w:type="dxa" w:w="3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How. The buildable design specification.</w:t>
            </w:r>
          </w:p>
        </w:tc>
      </w:tr>
      <w:tr>
        <w:tc>
          <w:tcPr>
            <w:tcW w:type="dxa" w:w="23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Density</w:t>
            </w:r>
          </w:p>
        </w:tc>
        <w:tc>
          <w:tcPr>
            <w:tcW w:type="dxa" w:w="3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~5,430 words — executive-tight, reads start-to-finish.</w:t>
            </w:r>
          </w:p>
        </w:tc>
        <w:tc>
          <w:tcPr>
            <w:tcW w:type="dxa" w:w="3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~8,910 words — design-deep, used as a reference.</w:t>
            </w:r>
          </w:p>
        </w:tc>
      </w:tr>
      <w:tr>
        <w:tc>
          <w:tcPr>
            <w:tcW w:type="dxa" w:w="236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Quality bar</w:t>
            </w:r>
          </w:p>
        </w:tc>
        <w:tc>
          <w:tcPr>
            <w:tcW w:type="dxa" w:w="3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102A43"/>
                <w:sz w:val="19"/>
                <w:szCs w:val="19"/>
              </w:rPr>
              <w:t xml:space="preserve">Measurable acceptance criteria with a proof column (§8).</w:t>
            </w:r>
          </w:p>
        </w:tc>
        <w:tc>
          <w:tcPr>
            <w:tcW w:type="dxa" w:w="3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Hardening described as a narrative and a component contract.</w:t>
            </w:r>
          </w:p>
        </w:tc>
      </w:tr>
      <w:tr>
        <w:tc>
          <w:tcPr>
            <w:tcW w:type="dxa" w:w="23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Schema mapping engine</w:t>
            </w:r>
          </w:p>
        </w:tc>
        <w:tc>
          <w:tcPr>
            <w:tcW w:type="dxa" w:w="3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Specified: methods, cross-engine joins, typed errors, safe-SQL.</w:t>
            </w:r>
          </w:p>
        </w:tc>
        <w:tc>
          <w:tcPr>
            <w:tcW w:type="dxa" w:w="3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102A43"/>
                <w:sz w:val="19"/>
                <w:szCs w:val="19"/>
              </w:rPr>
              <w:t xml:space="preserve">Designed: three planes, six tabs, visual↔SQL builder, three worked SQL examples, versioning/drift.</w:t>
            </w:r>
          </w:p>
        </w:tc>
      </w:tr>
      <w:tr>
        <w:tc>
          <w:tcPr>
            <w:tcW w:type="dxa" w:w="236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User / Role / Access</w:t>
            </w:r>
          </w:p>
        </w:tc>
        <w:tc>
          <w:tcPr>
            <w:tcW w:type="dxa" w:w="3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Light — tiers + personas + “multi-tenant governance.”</w:t>
            </w:r>
          </w:p>
        </w:tc>
        <w:tc>
          <w:tcPr>
            <w:tcW w:type="dxa" w:w="3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102A43"/>
                <w:sz w:val="19"/>
                <w:szCs w:val="19"/>
              </w:rPr>
              <w:t xml:space="preserve">Full: role catalog, RBAC matrix, licence×role, tenant isolation, audit (§3.8).</w:t>
            </w:r>
          </w:p>
        </w:tc>
      </w:tr>
      <w:tr>
        <w:tc>
          <w:tcPr>
            <w:tcW w:type="dxa" w:w="23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Demo data schema</w:t>
            </w:r>
          </w:p>
        </w:tc>
        <w:tc>
          <w:tcPr>
            <w:tcW w:type="dxa" w:w="3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Source-level “carries” summary — right for a vision.</w:t>
            </w:r>
          </w:p>
        </w:tc>
        <w:tc>
          <w:tcPr>
            <w:tcW w:type="dxa" w:w="3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Closer to column-level structures — right for a builder.</w:t>
            </w:r>
          </w:p>
        </w:tc>
      </w:tr>
      <w:tr>
        <w:tc>
          <w:tcPr>
            <w:tcW w:type="dxa" w:w="236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Operating principles &amp; ops doctrine</w:t>
            </w:r>
          </w:p>
        </w:tc>
        <w:tc>
          <w:tcPr>
            <w:tcW w:type="dxa" w:w="3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102A43"/>
                <w:sz w:val="19"/>
                <w:szCs w:val="19"/>
              </w:rPr>
              <w:t xml:space="preserve">Present and explicit (§10–11).</w:t>
            </w:r>
          </w:p>
        </w:tc>
        <w:tc>
          <w:tcPr>
            <w:tcW w:type="dxa" w:w="3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Lighter — hardening is operational rather than doctrinal.</w:t>
            </w:r>
          </w:p>
        </w:tc>
      </w:tr>
      <w:tr>
        <w:tc>
          <w:tcPr>
            <w:tcW w:type="dxa" w:w="23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Best used as</w:t>
            </w:r>
          </w:p>
        </w:tc>
        <w:tc>
          <w:tcPr>
            <w:tcW w:type="dxa" w:w="3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The master vision every contributor reads first.</w:t>
            </w:r>
          </w:p>
        </w:tc>
        <w:tc>
          <w:tcPr>
            <w:tcW w:type="dxa" w:w="3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The design companion the builder works from.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E2" w:sz="1"/>
              <w:left w:val="single" w:color="00D4FF" w:sz="18"/>
              <w:bottom w:val="single" w:color="C9D6E2" w:sz="1"/>
              <w:right w:val="single" w:color="C9D6E2" w:sz="1"/>
            </w:tcBorders>
            <w:shd w:fill="0B1730" w:val="clear"/>
            <w:tcMar>
              <w:top w:type="dxa" w:w="130"/>
              <w:left w:type="dxa" w:w="170"/>
              <w:bottom w:type="dxa" w:w="130"/>
              <w:right w:type="dxa" w:w="170"/>
            </w:tcMar>
          </w:tcPr>
          <w:p>
            <w:pPr>
              <w:spacing w:after="60"/>
            </w:pPr>
            <w:r>
              <w:rPr>
                <w:rFonts w:ascii="Inter" w:cs="Inter" w:eastAsia="Inter" w:hAnsi="Inter"/>
                <w:b/>
                <w:bCs/>
                <w:color w:val="00D4FF"/>
                <w:sz w:val="20"/>
                <w:szCs w:val="20"/>
              </w:rPr>
              <w:t xml:space="preserve">Recommended reconciliation</w:t>
            </w:r>
          </w:p>
          <w:p>
            <w:pPr>
              <w:spacing w:after="30" w:line="258"/>
            </w:pPr>
            <w:r>
              <w:rPr>
                <w:rFonts w:ascii="Inter" w:cs="Inter" w:eastAsia="Inter" w:hAnsi="Inter"/>
                <w:color w:val="EAF6FF"/>
                <w:sz w:val="19"/>
                <w:szCs w:val="19"/>
              </w:rPr>
              <w:t xml:space="preserve">Make Vision v2.0 the canonical doctrine and single source of truth. Fold Architecture v3’s detailed gap designs in beneath it as a “Design Specification” companion (or as appendices), and add a one-line cross-reference in each. One doctrine, one design book — not two documents that both claim to be “the vision” and drift apart over time.</w:t>
            </w:r>
          </w:p>
        </w:tc>
      </w:tr>
    </w:tbl>
    <w:p>
      <w:r>
        <w:br w:type="page"/>
      </w:r>
    </w:p>
    <w:p>
      <w:pPr>
        <w:pStyle w:val="Heading1"/>
      </w:pPr>
      <w:r>
        <w:t xml:space="preserve">7 · Residual gaps &amp; the next edit</w:t>
      </w:r>
    </w:p>
    <w:p>
      <w:pPr>
        <w:spacing w:after="130" w:before="0" w:line="268"/>
      </w:pPr>
      <w:r>
        <w:rPr>
          <w:rFonts w:ascii="Inter" w:cs="Inter" w:eastAsia="Inter" w:hAnsi="Inter"/>
          <w:color w:val="13202E"/>
          <w:sz w:val="21"/>
          <w:szCs w:val="21"/>
        </w:rPr>
        <w:t xml:space="preserve">Vision v2.0 is close to complete. Five edits would finish it. They are listed in priority order; the first is the only one that closes an actual hole.</w:t>
      </w:r>
    </w:p>
    <w:p>
      <w:pPr>
        <w:pStyle w:val="ListParagraph"/>
        <w:numPr>
          <w:ilvl w:val="0"/>
          <w:numId w:val="3"/>
        </w:numPr>
        <w:spacing w:after="90" w:line="264"/>
      </w:pPr>
      <w:r>
        <w:rPr>
          <w:rFonts w:ascii="Inter" w:cs="Inter" w:eastAsia="Inter" w:hAnsi="Inter"/>
          <w:b/>
          <w:bCs/>
          <w:color w:val="13202E"/>
          <w:sz w:val="21"/>
          <w:szCs w:val="21"/>
        </w:rPr>
        <w:t xml:space="preserve">Close the last v1 gap — add a “User, Role &amp; Access” section. </w:t>
      </w:r>
      <w:r>
        <w:rPr>
          <w:rFonts w:ascii="Inter" w:cs="Inter" w:eastAsia="Inter" w:hAnsi="Inter"/>
          <w:color w:val="13202E"/>
          <w:sz w:val="21"/>
          <w:szCs w:val="21"/>
        </w:rPr>
        <w:t xml:space="preserve">Specify the role catalog, the RBAC permission matrix, the licence×role interaction, the tenant-isolation model and the immutable audit log. Pull it from Architecture v3 §3.8. This is the one heading v1 left blank that Vision v2.0 still does not fully answer.</w:t>
      </w:r>
    </w:p>
    <w:p>
      <w:pPr>
        <w:pStyle w:val="ListParagraph"/>
        <w:numPr>
          <w:ilvl w:val="0"/>
          <w:numId w:val="3"/>
        </w:numPr>
        <w:spacing w:after="90" w:line="264"/>
      </w:pPr>
      <w:r>
        <w:rPr>
          <w:rFonts w:ascii="Inter" w:cs="Inter" w:eastAsia="Inter" w:hAnsi="Inter"/>
          <w:b/>
          <w:bCs/>
          <w:color w:val="13202E"/>
          <w:sz w:val="21"/>
          <w:szCs w:val="21"/>
        </w:rPr>
        <w:t xml:space="preserve">Pick one canonical document. </w:t>
      </w:r>
      <w:r>
        <w:rPr>
          <w:rFonts w:ascii="Inter" w:cs="Inter" w:eastAsia="Inter" w:hAnsi="Inter"/>
          <w:color w:val="13202E"/>
          <w:sz w:val="21"/>
          <w:szCs w:val="21"/>
        </w:rPr>
        <w:t xml:space="preserve">Designate Vision v2.0 as doctrine + SSOT and Architecture v3 as its design companion, each cross-referencing the other in a single line. This prevents two “visions” from diverging.</w:t>
      </w:r>
    </w:p>
    <w:p>
      <w:pPr>
        <w:pStyle w:val="ListParagraph"/>
        <w:numPr>
          <w:ilvl w:val="0"/>
          <w:numId w:val="3"/>
        </w:numPr>
        <w:spacing w:after="90" w:line="264"/>
      </w:pPr>
      <w:r>
        <w:rPr>
          <w:rFonts w:ascii="Inter" w:cs="Inter" w:eastAsia="Inter" w:hAnsi="Inter"/>
          <w:b/>
          <w:bCs/>
          <w:color w:val="13202E"/>
          <w:sz w:val="21"/>
          <w:szCs w:val="21"/>
        </w:rPr>
        <w:t xml:space="preserve">Restore column-level demo schemas as a data appendix. </w:t>
      </w:r>
      <w:r>
        <w:rPr>
          <w:rFonts w:ascii="Inter" w:cs="Inter" w:eastAsia="Inter" w:hAnsi="Inter"/>
          <w:color w:val="13202E"/>
          <w:sz w:val="21"/>
          <w:szCs w:val="21"/>
        </w:rPr>
        <w:t xml:space="preserve">The doctrine’s source-level summary is correct for the vision, but whoever builds the seed databases needs the table/column detail from v1 (and v3). Keep it out of the main narrative; attach it as an appendix.</w:t>
      </w:r>
    </w:p>
    <w:p>
      <w:pPr>
        <w:pStyle w:val="ListParagraph"/>
        <w:numPr>
          <w:ilvl w:val="0"/>
          <w:numId w:val="3"/>
        </w:numPr>
        <w:spacing w:after="90" w:line="264"/>
      </w:pPr>
      <w:r>
        <w:rPr>
          <w:rFonts w:ascii="Inter" w:cs="Inter" w:eastAsia="Inter" w:hAnsi="Inter"/>
          <w:b/>
          <w:bCs/>
          <w:color w:val="13202E"/>
          <w:sz w:val="21"/>
          <w:szCs w:val="21"/>
        </w:rPr>
        <w:t xml:space="preserve">Wire the Quality Bar to the test matrix. </w:t>
      </w:r>
      <w:r>
        <w:rPr>
          <w:rFonts w:ascii="Inter" w:cs="Inter" w:eastAsia="Inter" w:hAnsi="Inter"/>
          <w:color w:val="13202E"/>
          <w:sz w:val="21"/>
          <w:szCs w:val="21"/>
        </w:rPr>
        <w:t xml:space="preserve">Map each of the eleven bar rows in §8 to enumerated cases in the v12 task list’s test matrix, so “done = every row demonstrably true” is literally traceable to tests rather than asserted.</w:t>
      </w:r>
    </w:p>
    <w:p>
      <w:pPr>
        <w:pStyle w:val="ListParagraph"/>
        <w:numPr>
          <w:ilvl w:val="0"/>
          <w:numId w:val="3"/>
        </w:numPr>
        <w:spacing w:after="90" w:line="264"/>
      </w:pPr>
      <w:r>
        <w:rPr>
          <w:rFonts w:ascii="Inter" w:cs="Inter" w:eastAsia="Inter" w:hAnsi="Inter"/>
          <w:b/>
          <w:bCs/>
          <w:color w:val="13202E"/>
          <w:sz w:val="21"/>
          <w:szCs w:val="21"/>
        </w:rPr>
        <w:t xml:space="preserve">Add a one-line provenance note. </w:t>
      </w:r>
      <w:r>
        <w:rPr>
          <w:rFonts w:ascii="Inter" w:cs="Inter" w:eastAsia="Inter" w:hAnsi="Inter"/>
          <w:color w:val="13202E"/>
          <w:sz w:val="21"/>
          <w:szCs w:val="21"/>
        </w:rPr>
        <w:t xml:space="preserve">Record the lineage (v1 — v2 — v3 — Vision v2.0) inside the canonical document itself, so future readers understand why earlier drafts say less and are not tempted to merge stale material back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E2" w:sz="1"/>
              <w:left w:val="single" w:color="00D4FF" w:sz="18"/>
              <w:bottom w:val="single" w:color="C9D6E2" w:sz="1"/>
              <w:right w:val="single" w:color="C9D6E2" w:sz="1"/>
            </w:tcBorders>
            <w:shd w:fill="0B1730" w:val="clear"/>
            <w:tcMar>
              <w:top w:type="dxa" w:w="130"/>
              <w:left w:type="dxa" w:w="170"/>
              <w:bottom w:type="dxa" w:w="130"/>
              <w:right w:type="dxa" w:w="170"/>
            </w:tcMar>
          </w:tcPr>
          <w:p>
            <w:pPr>
              <w:spacing w:after="60"/>
            </w:pPr>
            <w:r>
              <w:rPr>
                <w:rFonts w:ascii="Inter" w:cs="Inter" w:eastAsia="Inter" w:hAnsi="Inter"/>
                <w:b/>
                <w:bCs/>
                <w:color w:val="00D4FF"/>
                <w:sz w:val="20"/>
                <w:szCs w:val="20"/>
              </w:rPr>
              <w:t xml:space="preserve">Bottom line</w:t>
            </w:r>
          </w:p>
          <w:p>
            <w:pPr>
              <w:spacing w:after="30" w:line="258"/>
            </w:pPr>
            <w:r>
              <w:rPr>
                <w:rFonts w:ascii="Inter" w:cs="Inter" w:eastAsia="Inter" w:hAnsi="Inter"/>
                <w:color w:val="EAF6FF"/>
                <w:sz w:val="19"/>
                <w:szCs w:val="19"/>
              </w:rPr>
              <w:t xml:space="preserve">Vision v2.0 is the strongest single articulation of PlantProcess IQ to date. It recovered the body that v2 had shed, closed the questions v1 left open, and added the engineering contract — the quality bar, the gap ledger, the operating doctrine — that turns “dazzling” into something a buyer’s technical reviewer can test. Finish the access-control section and choose your canonical document, and the specification is, for practical purposes, complete.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2" w:sz="4" w:space="4"/>
      </w:pBdr>
      <w:tabs>
        <w:tab w:val="right" w:pos="9360"/>
      </w:tabs>
    </w:pPr>
    <w:r>
      <w:rPr>
        <w:rFonts w:ascii="Inter" w:cs="Inter" w:eastAsia="Inter" w:hAnsi="Inter"/>
        <w:color w:val="8EA7C1"/>
        <w:sz w:val="16"/>
        <w:szCs w:val="16"/>
      </w:rPr>
      <w:t xml:space="preserve">SOU Industrial Software — confidential</w:t>
    </w:r>
    <w:r>
      <w:rPr>
        <w:rFonts w:ascii="Inter" w:cs="Inter" w:eastAsia="Inter" w:hAnsi="Inter"/>
        <w:color w:val="8EA7C1"/>
        <w:sz w:val="16"/>
        <w:szCs w:val="16"/>
      </w:rPr>
      <w:t xml:space="preserve">	Page </w:t>
    </w:r>
    <w:r>
      <w:rPr>
        <w:rFonts w:ascii="Inter" w:cs="Inter" w:eastAsia="Inter" w:hAnsi="Inter"/>
        <w:color w:val="8EA7C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2" w:sz="4" w:space="4"/>
      </w:pBdr>
      <w:tabs>
        <w:tab w:val="right" w:pos="9360"/>
      </w:tabs>
    </w:pPr>
    <w:r>
      <w:rPr>
        <w:rFonts w:ascii="Inter" w:cs="Inter" w:eastAsia="Inter" w:hAnsi="Inter"/>
        <w:b/>
        <w:bCs/>
        <w:color w:val="102A43"/>
        <w:sz w:val="16"/>
        <w:szCs w:val="16"/>
      </w:rPr>
      <w:t xml:space="preserve">PlantProcess </w:t>
    </w:r>
    <w:r>
      <w:rPr>
        <w:rFonts w:ascii="Inter" w:cs="Inter" w:eastAsia="Inter" w:hAnsi="Inter"/>
        <w:b/>
        <w:bCs/>
        <w:color w:val="1F9FC4"/>
        <w:sz w:val="16"/>
        <w:szCs w:val="16"/>
      </w:rPr>
      <w:t xml:space="preserve">IQ</w:t>
    </w:r>
    <w:r>
      <w:rPr>
        <w:rFonts w:ascii="Inter" w:cs="Inter" w:eastAsia="Inter" w:hAnsi="Inter"/>
        <w:color w:val="8EA7C1"/>
        <w:sz w:val="16"/>
        <w:szCs w:val="16"/>
      </w:rPr>
      <w:t xml:space="preserve"> — Version Lineage &amp; Improvement Analysis</w:t>
    </w:r>
    <w:r>
      <w:rPr>
        <w:rFonts w:ascii="Inter" w:cs="Inter" w:eastAsia="Inter" w:hAnsi="Inter"/>
        <w:color w:val="8EA7C1"/>
        <w:sz w:val="16"/>
        <w:szCs w:val="16"/>
      </w:rPr>
      <w:t xml:space="preserve">	31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50"/>
      </w:pPr>
      <w:rPr>
        <w:color w:val="00D4FF"/>
      </w:r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320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0D4FF" w:sz="12" w:space="5"/>
      </w:pBdr>
      <w:spacing w:after="150" w:before="340"/>
      <w:outlineLvl w:val="0"/>
    </w:pPr>
    <w:rPr>
      <w:rFonts w:ascii="Inter" w:cs="Inter" w:eastAsia="Inter" w:hAnsi="Inter"/>
      <w:b/>
      <w:bCs/>
      <w:color w:val="102A43"/>
      <w:sz w:val="30"/>
      <w:szCs w:val="30"/>
    </w:rPr>
  </w:style>
  <w:style w:type="paragraph" w:styleId="Heading2">
    <w:name w:val="Heading 2"/>
    <w:basedOn w:val="Normal"/>
    <w:next w:val="Normal"/>
    <w:qFormat/>
    <w:pPr>
      <w:keepNext/>
      <w:spacing w:after="100" w:before="240"/>
      <w:outlineLvl w:val="1"/>
    </w:pPr>
    <w:rPr>
      <w:rFonts w:ascii="Inter" w:cs="Inter" w:eastAsia="Inter" w:hAnsi="Inter"/>
      <w:b/>
      <w:bCs/>
      <w:color w:val="0B1730"/>
      <w:sz w:val="24"/>
      <w:szCs w:val="24"/>
    </w:rPr>
  </w:style>
  <w:style w:type="paragraph" w:styleId="Heading3">
    <w:name w:val="Heading 3"/>
    <w:basedOn w:val="Normal"/>
    <w:next w:val="Normal"/>
    <w:qFormat/>
    <w:pPr>
      <w:keepNext/>
      <w:spacing w:after="70" w:before="170"/>
      <w:outlineLvl w:val="2"/>
    </w:pPr>
    <w:rPr>
      <w:rFonts w:ascii="Inter" w:cs="Inter" w:eastAsia="Inter" w:hAnsi="Inter"/>
      <w:b/>
      <w:bCs/>
      <w:color w:val="102A4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PlantProcess IQ — Version Lineage &amp; Improvement Analysis</dc:title>
  <dc:creator>SOU Industrial Software</dc:creator>
  <dc:description>Comparative analysis of the 4-Track Vision, the AI &amp; ML Architecture (v2), Architecture v3, and the Product Vision &amp; Engineering Doctrine v2.0.</dc:description>
  <cp:lastModifiedBy>Un-named</cp:lastModifiedBy>
  <cp:revision>1</cp:revision>
  <dcterms:created xsi:type="dcterms:W3CDTF">2026-05-31T17:45:37.443Z</dcterms:created>
  <dcterms:modified xsi:type="dcterms:W3CDTF">2026-05-31T17:45:37.455Z</dcterms:modified>
</cp:coreProperties>
</file>

<file path=docProps/custom.xml><?xml version="1.0" encoding="utf-8"?>
<Properties xmlns="http://schemas.openxmlformats.org/officeDocument/2006/custom-properties" xmlns:vt="http://schemas.openxmlformats.org/officeDocument/2006/docPropsVTypes"/>
</file>