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i w:val="0"/>
          <w:color w:val="050B18"/>
          <w:sz w:val="84"/>
        </w:rPr>
        <w:t>PlantProcess IQ</w:t>
      </w:r>
    </w:p>
    <w:p>
      <w:pPr>
        <w:jc w:val="center"/>
      </w:pPr>
      <w:r>
        <w:rPr>
          <w:rFonts w:ascii="Arial" w:hAnsi="Arial" w:eastAsia="Arial"/>
          <w:b w:val="0"/>
          <w:i w:val="0"/>
          <w:color w:val="00D4FF"/>
          <w:sz w:val="36"/>
        </w:rPr>
        <w:t>Go-To-Market Master Plan - Version 4.1</w:t>
      </w:r>
    </w:p>
    <w:p>
      <w:pPr>
        <w:spacing w:before="20" w:after="160"/>
        <w:pBdr>
          <w:bottom w:val="single" w:sz="10" w:space="1" w:color="00D4FF"/>
        </w:pBdr>
      </w:pPr>
    </w:p>
    <w:p>
      <w:pPr>
        <w:jc w:val="center"/>
      </w:pPr>
      <w:r>
        <w:rPr>
          <w:rFonts w:ascii="Arial" w:hAnsi="Arial" w:eastAsia="Arial"/>
          <w:b w:val="0"/>
          <w:i/>
          <w:color w:val="5C7A94"/>
          <w:sz w:val="24"/>
        </w:rPr>
        <w:t>Competitive Pricing Realignment | Dark Industrial Brand Identity | License Architecture</w:t>
      </w:r>
    </w:p>
    <w:p>
      <w:pPr>
        <w:jc w:val="center"/>
      </w:pPr>
      <w:r>
        <w:rPr>
          <w:rFonts w:ascii="Arial" w:hAnsi="Arial" w:eastAsia="Arial"/>
          <w:b w:val="0"/>
          <w:i/>
          <w:color w:val="5C7A94"/>
          <w:sz w:val="24"/>
        </w:rPr>
        <w:t>30/60/90-Day Plan | Risk Register | Decision Gates | Commercial Assets | Master Task Table</w:t>
      </w:r>
    </w:p>
    <w:p>
      <w:pPr>
        <w:spacing w:before="360"/>
        <w:jc w:val="center"/>
      </w:pPr>
      <w:r>
        <w:rPr>
          <w:rFonts w:ascii="Arial" w:hAnsi="Arial" w:eastAsia="Arial"/>
          <w:b w:val="0"/>
          <w:i w:val="0"/>
          <w:color w:val="1C2B3A"/>
          <w:sz w:val="22"/>
        </w:rPr>
        <w:t>Karim Gamal Elsayed | Düsseldorf, Germany | May 2026</w:t>
      </w:r>
    </w:p>
    <w:p>
      <w:pPr>
        <w:jc w:val="center"/>
      </w:pPr>
      <w:r>
        <w:rPr>
          <w:rFonts w:ascii="Arial" w:hAnsi="Arial" w:eastAsia="Arial"/>
          <w:b/>
          <w:i w:val="0"/>
          <w:color w:val="C0392B"/>
          <w:sz w:val="20"/>
        </w:rPr>
        <w:t>CONFIDENTIAL - INTERNAL USE ONLY</w:t>
      </w:r>
    </w:p>
    <w:tbl>
      <w:tblPr>
        <w:tblStyle w:val="TableGrid"/>
        <w:tblW w:type="pct" w:w="5000"/>
        <w:jc w:val="center"/>
        <w:tblLayout w:type="autofit"/>
        <w:tblLook w:firstColumn="1" w:firstRow="1" w:lastColumn="0" w:lastRow="0" w:noHBand="0" w:noVBand="1" w:val="04A0"/>
      </w:tblPr>
      <w:tblGrid>
        <w:gridCol w:w="14256"/>
      </w:tblGrid>
      <w:tr>
        <w:trPr>
          <w:tblHeader w:val="true"/>
        </w:trPr>
        <w:tc>
          <w:tcPr>
            <w:tcW w:type="dxa" w:w="1425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V4.1 vs V4 Changes</w:t>
            </w:r>
          </w:p>
        </w:tc>
      </w:tr>
      <w:tr>
        <w:tc>
          <w:tcPr>
            <w:tcW w:type="dxa" w:w="1425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8"/>
              </w:rPr>
              <w:t>Key changes: (1) Pricing realigned to competitive market reality - Light reduced, Pro reduced for Phase 0-4, phase-up trigger defined. (2) Token model removed from customer-facing pricing and kept internal only. (3) Brand palette updated to dark industrial command-center identity. (4) 30/60/90 day plan added. (5) Risk register added. (6) Pre-demo/pre-pilot decision gates added. (7) Commercial assets checklist added. (8) Brainstorm inputs fully integrated: feature-license matrix expanded, honest AI/ML positioning, website blocks updated.</w:t>
            </w:r>
          </w:p>
        </w:tc>
      </w:tr>
    </w:tbl>
    <w:p>
      <w:pPr>
        <w:spacing w:after="60"/>
      </w:pPr>
    </w:p>
    <w:p>
      <w:r>
        <w:br w:type="page"/>
      </w:r>
    </w:p>
    <w:p>
      <w:pPr>
        <w:pStyle w:val="Heading1"/>
        <w:spacing w:before="320" w:after="100"/>
      </w:pPr>
      <w:r>
        <w:rPr>
          <w:rFonts w:ascii="Arial" w:hAnsi="Arial" w:eastAsia="Arial"/>
          <w:b/>
          <w:i w:val="0"/>
          <w:color w:val="050B18"/>
          <w:sz w:val="34"/>
        </w:rPr>
        <w:t>Table of Contents</w:t>
      </w:r>
    </w:p>
    <w:p>
      <w:pPr>
        <w:spacing w:before="20" w:after="160"/>
        <w:pBdr>
          <w:bottom w:val="single" w:sz="10" w:space="1" w:color="00D4FF"/>
        </w:pBdr>
      </w:pPr>
    </w:p>
    <w:p>
      <w:pPr>
        <w:spacing w:before="0" w:after="100"/>
      </w:pPr>
      <w:r>
        <w:rPr>
          <w:rFonts w:ascii="Arial" w:hAnsi="Arial" w:eastAsia="Arial"/>
          <w:b w:val="0"/>
          <w:i w:val="0"/>
          <w:color w:val="1C2B3A"/>
          <w:sz w:val="20"/>
        </w:rPr>
        <w:t>1. Executive Summary &amp; Current Situation</w:t>
      </w:r>
    </w:p>
    <w:p>
      <w:pPr>
        <w:spacing w:before="0" w:after="100"/>
      </w:pPr>
      <w:r>
        <w:rPr>
          <w:rFonts w:ascii="Arial" w:hAnsi="Arial" w:eastAsia="Arial"/>
          <w:b w:val="0"/>
          <w:i w:val="0"/>
          <w:color w:val="1C2B3A"/>
          <w:sz w:val="20"/>
        </w:rPr>
        <w:t>2. Brand Identity &amp; Market Positioning</w:t>
      </w:r>
    </w:p>
    <w:p>
      <w:pPr>
        <w:spacing w:before="0" w:after="100"/>
      </w:pPr>
      <w:r>
        <w:rPr>
          <w:rFonts w:ascii="Arial" w:hAnsi="Arial" w:eastAsia="Arial"/>
          <w:b w:val="0"/>
          <w:i w:val="0"/>
          <w:color w:val="1C2B3A"/>
          <w:sz w:val="20"/>
        </w:rPr>
        <w:t>3. License Architecture &amp; Competitive Pricing</w:t>
      </w:r>
    </w:p>
    <w:p>
      <w:pPr>
        <w:spacing w:before="0" w:after="100"/>
      </w:pPr>
      <w:r>
        <w:rPr>
          <w:rFonts w:ascii="Arial" w:hAnsi="Arial" w:eastAsia="Arial"/>
          <w:b w:val="0"/>
          <w:i w:val="0"/>
          <w:color w:val="1C2B3A"/>
          <w:sz w:val="20"/>
        </w:rPr>
        <w:t>4. Website Strategy &amp; Page Architecture</w:t>
      </w:r>
    </w:p>
    <w:p>
      <w:pPr>
        <w:spacing w:before="0" w:after="100"/>
      </w:pPr>
      <w:r>
        <w:rPr>
          <w:rFonts w:ascii="Arial" w:hAnsi="Arial" w:eastAsia="Arial"/>
          <w:b w:val="0"/>
          <w:i w:val="0"/>
          <w:color w:val="1C2B3A"/>
          <w:sz w:val="20"/>
        </w:rPr>
        <w:t>5. Go-To-Market Stages &amp; Month-by-Month Plan</w:t>
      </w:r>
    </w:p>
    <w:p>
      <w:pPr>
        <w:spacing w:before="0" w:after="100"/>
      </w:pPr>
      <w:r>
        <w:rPr>
          <w:rFonts w:ascii="Arial" w:hAnsi="Arial" w:eastAsia="Arial"/>
          <w:b w:val="0"/>
          <w:i w:val="0"/>
          <w:color w:val="1C2B3A"/>
          <w:sz w:val="20"/>
        </w:rPr>
        <w:t>6. 30/60/90-Day Execution Plan</w:t>
      </w:r>
    </w:p>
    <w:p>
      <w:pPr>
        <w:spacing w:before="0" w:after="100"/>
      </w:pPr>
      <w:r>
        <w:rPr>
          <w:rFonts w:ascii="Arial" w:hAnsi="Arial" w:eastAsia="Arial"/>
          <w:b w:val="0"/>
          <w:i w:val="0"/>
          <w:color w:val="1C2B3A"/>
          <w:sz w:val="20"/>
        </w:rPr>
        <w:t>7. Required Commercial Assets</w:t>
      </w:r>
    </w:p>
    <w:p>
      <w:pPr>
        <w:spacing w:before="0" w:after="100"/>
      </w:pPr>
      <w:r>
        <w:rPr>
          <w:rFonts w:ascii="Arial" w:hAnsi="Arial" w:eastAsia="Arial"/>
          <w:b w:val="0"/>
          <w:i w:val="0"/>
          <w:color w:val="1C2B3A"/>
          <w:sz w:val="20"/>
        </w:rPr>
        <w:t>8. Risk Register</w:t>
      </w:r>
    </w:p>
    <w:p>
      <w:pPr>
        <w:spacing w:before="0" w:after="100"/>
      </w:pPr>
      <w:r>
        <w:rPr>
          <w:rFonts w:ascii="Arial" w:hAnsi="Arial" w:eastAsia="Arial"/>
          <w:b w:val="0"/>
          <w:i w:val="0"/>
          <w:color w:val="1C2B3A"/>
          <w:sz w:val="20"/>
        </w:rPr>
        <w:t>9. Pre-Demo, Pre-Pilot &amp; Pre-License Decision Gates</w:t>
      </w:r>
    </w:p>
    <w:p>
      <w:pPr>
        <w:spacing w:before="0" w:after="100"/>
      </w:pPr>
      <w:r>
        <w:rPr>
          <w:rFonts w:ascii="Arial" w:hAnsi="Arial" w:eastAsia="Arial"/>
          <w:b w:val="0"/>
          <w:i w:val="0"/>
          <w:color w:val="1C2B3A"/>
          <w:sz w:val="20"/>
        </w:rPr>
        <w:t>10. Revenue Model &amp; Success Metrics</w:t>
      </w:r>
    </w:p>
    <w:p>
      <w:pPr>
        <w:spacing w:before="0" w:after="100"/>
      </w:pPr>
      <w:r>
        <w:rPr>
          <w:rFonts w:ascii="Arial" w:hAnsi="Arial" w:eastAsia="Arial"/>
          <w:b w:val="0"/>
          <w:i w:val="0"/>
          <w:color w:val="1C2B3A"/>
          <w:sz w:val="20"/>
        </w:rPr>
        <w:t>11. Master Task Table (V4.1)</w:t>
      </w:r>
    </w:p>
    <w:p>
      <w:pPr>
        <w:spacing w:before="0" w:after="100"/>
      </w:pPr>
      <w:r>
        <w:rPr>
          <w:rFonts w:ascii="Arial" w:hAnsi="Arial" w:eastAsia="Arial"/>
          <w:b w:val="0"/>
          <w:i w:val="0"/>
          <w:color w:val="1C2B3A"/>
          <w:sz w:val="20"/>
        </w:rPr>
        <w:t>12. Appendix - Source Traceability</w:t>
      </w:r>
    </w:p>
    <w:p>
      <w:r>
        <w:br w:type="page"/>
      </w:r>
    </w:p>
    <w:p>
      <w:pPr>
        <w:pStyle w:val="Heading1"/>
        <w:spacing w:before="320" w:after="100"/>
      </w:pPr>
      <w:r>
        <w:rPr>
          <w:rFonts w:ascii="Arial" w:hAnsi="Arial" w:eastAsia="Arial"/>
          <w:b/>
          <w:i w:val="0"/>
          <w:color w:val="050B18"/>
          <w:sz w:val="34"/>
        </w:rPr>
        <w:t>Section 1 - Executive Summary &amp; Current Situation</w:t>
      </w:r>
    </w:p>
    <w:p>
      <w:pPr>
        <w:spacing w:before="20" w:after="160"/>
        <w:pBdr>
          <w:bottom w:val="single" w:sz="10" w:space="1" w:color="00D4FF"/>
        </w:pBdr>
      </w:pPr>
    </w:p>
    <w:p>
      <w:pPr>
        <w:spacing w:before="0" w:after="100"/>
      </w:pPr>
      <w:r>
        <w:rPr>
          <w:rFonts w:ascii="Arial" w:hAnsi="Arial" w:eastAsia="Arial"/>
          <w:b w:val="0"/>
          <w:i w:val="0"/>
          <w:color w:val="1C2B3A"/>
          <w:sz w:val="20"/>
        </w:rPr>
        <w:t>This document is the single authoritative GTM + commercial execution plan for PlantProcess IQ as of 19 May 2026. It incorporates the unchanged product vision, the full code audit findings, the competitive pricing analysis, and the founder brainstorming inputs. Every pricing, feature, and milestone decision is aligned with the product rule: PlantProcess IQ is a generic manufacturing quality-intelligence layer, not a MES replacement, not a SCADA/L2 replacement, not BI-only, and not steel-only.</w:t>
      </w:r>
    </w:p>
    <w:p>
      <w:pPr>
        <w:pStyle w:val="Heading2"/>
        <w:spacing w:before="240" w:after="100"/>
      </w:pPr>
      <w:r>
        <w:rPr>
          <w:rFonts w:ascii="Arial" w:hAnsi="Arial" w:eastAsia="Arial"/>
          <w:b/>
          <w:i w:val="0"/>
          <w:color w:val="102A43"/>
          <w:sz w:val="26"/>
        </w:rPr>
        <w:t>1.1 Situation Assessment</w:t>
      </w:r>
    </w:p>
    <w:tbl>
      <w:tblPr>
        <w:tblStyle w:val="TableGrid"/>
        <w:tblW w:type="pct" w:w="5000"/>
        <w:jc w:val="center"/>
        <w:tblLayout w:type="autofit"/>
        <w:tblLook w:firstColumn="1" w:firstRow="1" w:lastColumn="0" w:lastRow="0" w:noHBand="0" w:noVBand="1" w:val="04A0"/>
      </w:tblPr>
      <w:tblGrid>
        <w:gridCol w:w="4752"/>
        <w:gridCol w:w="4752"/>
        <w:gridCol w:w="4752"/>
      </w:tblGrid>
      <w:tr>
        <w:trPr>
          <w:tblHeader w:val="true"/>
        </w:trPr>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Area</w:t>
            </w:r>
          </w:p>
        </w:tc>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Verdict</w:t>
            </w:r>
          </w:p>
        </w:tc>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Commercial Implication</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Vision</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Stable - unchanged</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Generic multi-industry intelligence layer. Not steel-only. Not MES replacement.</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Codebase</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393 files, 104,075 lines - materially strong</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Product is real. Demo and discovery can start with proper preparation.</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Security</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Improved but must be validated in Production mode</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Cannot sign pilot contracts until Phase 12 security hardening is complete.</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Connectors</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CSV, Excel, PostgreSQL visible - others not ready</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Only show tested connectors as available. MSSQL/Oracle = planned.</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Demo truth</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Golden-path tests exist - must pass repeatedly before customer screen share</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No customer demo until build + golden path + seeded data + PDF export all pass cleanly.</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GTM V4 pricing</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Light overpriced. Pro slightly high for Phase 0-4 state. Pro Plus well-positioned.</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V4.1 corrects pricing to match competitive reality.</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AI/ML language</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No trained ML models exist yet - rule-based scoring only</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Use: rule-based risk score, suspected contributor, correlation analysis. Never: AI prediction or guaranteed root cause.</w:t>
            </w:r>
          </w:p>
        </w:tc>
      </w:tr>
    </w:tbl>
    <w:p>
      <w:pPr>
        <w:spacing w:after="60"/>
      </w:pPr>
    </w:p>
    <w:p>
      <w:pPr>
        <w:pStyle w:val="Heading2"/>
        <w:spacing w:before="240" w:after="100"/>
      </w:pPr>
      <w:r>
        <w:rPr>
          <w:rFonts w:ascii="Arial" w:hAnsi="Arial" w:eastAsia="Arial"/>
          <w:b/>
          <w:i w:val="0"/>
          <w:color w:val="102A43"/>
          <w:sz w:val="26"/>
        </w:rPr>
        <w:t>1.2 One Operating Rule</w:t>
      </w:r>
    </w:p>
    <w:tbl>
      <w:tblPr>
        <w:tblW w:type="pct" w:w="5000"/>
        <w:jc w:val="center"/>
        <w:tblLayout w:type="autofit"/>
        <w:tblLook w:firstColumn="1" w:firstRow="1" w:lastColumn="0" w:lastRow="0" w:noHBand="0" w:noVBand="1" w:val="04A0"/>
      </w:tblPr>
      <w:tblGrid>
        <w:gridCol w:w="14256"/>
      </w:tblGrid>
      <w:tr>
        <w:tc>
          <w:tcPr>
            <w:tcW w:type="dxa" w:w="14256"/>
            <w:shd w:fill="EBF5FF"/>
            <w:tcBorders>
              <w:top w:val="single" w:sz="8" w:space="0" w:color="00D4FF"/>
              <w:left w:val="single" w:sz="8" w:space="0" w:color="00D4FF"/>
              <w:bottom w:val="single" w:sz="8" w:space="0" w:color="00D4FF"/>
              <w:right w:val="single" w:sz="8" w:space="0" w:color="00D4FF"/>
            </w:tcBorders>
            <w:tcMar>
              <w:top w:w="80" w:type="dxa"/>
              <w:start w:w="120" w:type="dxa"/>
              <w:bottom w:w="80" w:type="dxa"/>
              <w:end w:w="120" w:type="dxa"/>
            </w:tcMar>
          </w:tcPr>
          <w:p>
            <w:pPr>
              <w:spacing w:after="0"/>
            </w:pPr>
            <w:r>
              <w:rPr>
                <w:rFonts w:ascii="Arial" w:hAnsi="Arial" w:eastAsia="Arial"/>
                <w:b/>
                <w:i w:val="0"/>
                <w:color w:val="00D4FF"/>
                <w:sz w:val="18"/>
              </w:rPr>
              <w:t xml:space="preserve">OPERATING RULE: </w:t>
            </w:r>
            <w:r>
              <w:rPr>
                <w:rFonts w:ascii="Arial" w:hAnsi="Arial" w:eastAsia="Arial"/>
                <w:b w:val="0"/>
                <w:i/>
                <w:color w:val="1C2B3A"/>
                <w:sz w:val="18"/>
              </w:rPr>
              <w:t>Every product task must either strengthen the safe data path, prove the golden demo, improve the customer report, or make the commercial story clearer. Anything else waits. Soft marketing and warm engineer discovery can start now. Demo-based selling is conditionally ready only after the golden path is proven repeatedly against a clean dataset and the customer-grade PDF report is stable. Paid pilots remain blocked until security, RBAC, audit logging, connector honesty, data handling, and legal/commercial packaging are mature.</w:t>
            </w:r>
          </w:p>
        </w:tc>
      </w:tr>
    </w:tbl>
    <w:p>
      <w:pPr>
        <w:spacing w:after="40"/>
      </w:pPr>
    </w:p>
    <w:p>
      <w:r>
        <w:br w:type="page"/>
      </w:r>
    </w:p>
    <w:p>
      <w:pPr>
        <w:pStyle w:val="Heading1"/>
        <w:spacing w:before="320" w:after="100"/>
      </w:pPr>
      <w:r>
        <w:rPr>
          <w:rFonts w:ascii="Arial" w:hAnsi="Arial" w:eastAsia="Arial"/>
          <w:b/>
          <w:i w:val="0"/>
          <w:color w:val="050B18"/>
          <w:sz w:val="34"/>
        </w:rPr>
        <w:t>Section 2 - Brand Identity &amp; Market Positioning</w:t>
      </w:r>
    </w:p>
    <w:p>
      <w:pPr>
        <w:spacing w:before="20" w:after="160"/>
        <w:pBdr>
          <w:bottom w:val="single" w:sz="10" w:space="1" w:color="00D4FF"/>
        </w:pBdr>
      </w:pPr>
    </w:p>
    <w:tbl>
      <w:tblPr>
        <w:tblW w:type="pct" w:w="5000"/>
        <w:jc w:val="center"/>
        <w:tblLayout w:type="autofit"/>
        <w:tblLook w:firstColumn="1" w:firstRow="1" w:lastColumn="0" w:lastRow="0" w:noHBand="0" w:noVBand="1" w:val="04A0"/>
      </w:tblPr>
      <w:tblGrid>
        <w:gridCol w:w="14256"/>
      </w:tblGrid>
      <w:tr>
        <w:tc>
          <w:tcPr>
            <w:tcW w:type="dxa" w:w="14256"/>
            <w:shd w:fill="FFF3CD"/>
            <w:tcBorders>
              <w:top w:val="single" w:sz="8" w:space="0" w:color="CC8A00"/>
              <w:left w:val="single" w:sz="8" w:space="0" w:color="CC8A00"/>
              <w:bottom w:val="single" w:sz="8" w:space="0" w:color="CC8A00"/>
              <w:right w:val="single" w:sz="8" w:space="0" w:color="CC8A00"/>
            </w:tcBorders>
            <w:tcMar>
              <w:top w:w="80" w:type="dxa"/>
              <w:start w:w="120" w:type="dxa"/>
              <w:bottom w:w="80" w:type="dxa"/>
              <w:end w:w="120" w:type="dxa"/>
            </w:tcMar>
          </w:tcPr>
          <w:p>
            <w:pPr>
              <w:spacing w:after="0"/>
            </w:pPr>
            <w:r>
              <w:rPr>
                <w:rFonts w:ascii="Arial" w:hAnsi="Arial" w:eastAsia="Arial"/>
                <w:b/>
                <w:i w:val="0"/>
                <w:color w:val="CC8A00"/>
                <w:sz w:val="18"/>
              </w:rPr>
              <w:t xml:space="preserve">UPDATED: </w:t>
            </w:r>
            <w:r>
              <w:rPr>
                <w:rFonts w:ascii="Arial" w:hAnsi="Arial" w:eastAsia="Arial"/>
                <w:b w:val="0"/>
                <w:i/>
                <w:color w:val="1C2B3A"/>
                <w:sz w:val="18"/>
              </w:rPr>
              <w:t>Palette updated from navy/teal to dark industrial command-center identity. Visual style is now: dark digital-twin / AI manufacturing command center - deep navy/black, cyan neon accents, glass panels, subtle grid lines.</w:t>
            </w:r>
          </w:p>
        </w:tc>
      </w:tr>
    </w:tbl>
    <w:p>
      <w:pPr>
        <w:spacing w:after="40"/>
      </w:pPr>
    </w:p>
    <w:p>
      <w:pPr>
        <w:pStyle w:val="Heading2"/>
        <w:spacing w:before="240" w:after="100"/>
      </w:pPr>
      <w:r>
        <w:rPr>
          <w:rFonts w:ascii="Arial" w:hAnsi="Arial" w:eastAsia="Arial"/>
          <w:b/>
          <w:i w:val="0"/>
          <w:color w:val="102A43"/>
          <w:sz w:val="26"/>
        </w:rPr>
        <w:t>2.1 Brand Name, Tagline &amp; Voice</w:t>
      </w:r>
    </w:p>
    <w:tbl>
      <w:tblPr>
        <w:tblStyle w:val="TableGrid"/>
        <w:tblW w:type="pct" w:w="5000"/>
        <w:jc w:val="center"/>
        <w:tblLayout w:type="autofit"/>
        <w:tblLook w:firstColumn="1" w:firstRow="1" w:lastColumn="0" w:lastRow="0" w:noHBand="0" w:noVBand="1" w:val="04A0"/>
      </w:tblPr>
      <w:tblGrid>
        <w:gridCol w:w="7128"/>
        <w:gridCol w:w="7128"/>
      </w:tblGrid>
      <w:tr>
        <w:trPr>
          <w:tblHeader w:val="true"/>
        </w:trPr>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Attribute</w:t>
            </w:r>
          </w:p>
        </w:tc>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Definition</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Product Name</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PlantProcess IQ</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Short Name</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PPIQ</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Primary Tagline</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Connect Your Plant Data. Understand Your Process.</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Secondary Tagline</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Process-to-quality intelligence for manufacturing plants.</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Customer Promise</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Connect plant data. Discover quality drivers. Score risk earlier. Explain suspected contributors. Act with evidence.</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Elevator Pitch</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PlantProcess IQ connects fragmented MES, L2, inspection, lab and ERP data into one generic intelligence layer - enabling process engineers to investigate quality issues faster, detect suspected process contributors, and build custom monitoring dashboards without replacing existing systems.</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Brand Personality</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Industrial, intelligent, trusted, technical, calm, evidence-based. It should feel like plant operations + data science, not flashy consumer AI.</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What to NEVER say</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Guaranteed root cause. AI-powered prediction. Production-ready AI. Live Oracle/MSSQL ready today. We replace MES/L2/SCADA/BI.</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What to say now</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Rule-based risk scoring. Correlation analysis. Suspected contributor. Statistical pattern. Evidence-based investigation. Read-only intelligence layer.</w:t>
            </w:r>
          </w:p>
        </w:tc>
      </w:tr>
    </w:tbl>
    <w:p>
      <w:pPr>
        <w:spacing w:after="60"/>
      </w:pPr>
    </w:p>
    <w:p>
      <w:pPr>
        <w:pStyle w:val="Heading2"/>
        <w:spacing w:before="240" w:after="100"/>
      </w:pPr>
      <w:r>
        <w:rPr>
          <w:rFonts w:ascii="Arial" w:hAnsi="Arial" w:eastAsia="Arial"/>
          <w:b/>
          <w:i w:val="0"/>
          <w:color w:val="102A43"/>
          <w:sz w:val="26"/>
        </w:rPr>
        <w:t>2.2 Updated Color Palette - Dark Industrial Command Center</w:t>
      </w:r>
    </w:p>
    <w:tbl>
      <w:tblPr>
        <w:tblStyle w:val="TableGrid"/>
        <w:tblW w:type="pct" w:w="500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Role</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Hex Code</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Name</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Application</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Ultra-Dark Background</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#050B18</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Deep Navy Black</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App page background, website hero background, cover/landing background.</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Panel / Card Background</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#0B1730</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Panel Navy</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Sidebar, card surfaces, modal backgrounds, admin panel.</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Section Header Background</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#102A43</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Industrial Blue</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Table header rows, nav bar, section dividers on dark surfaces.</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Primary CTA / Accent</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#0A84FF</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Electric Blue</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Primary action buttons, active links, active nav item underline, badge fills.</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Highlight / Glow Accent</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#00D4FF</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Electric Cyan</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Icon glow effects, chart primary series, divider lines, hover highlights on dark background.</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Enterprise Blue</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#2F80ED</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Corporate Blue</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Secondary buttons, info badges, chart secondary series, Pro Plus tier badge.</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Success</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#2CE6A2</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Cyan Green</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Job running, status OK, validation passed, Pro Plus tier, positive indicators.</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Warning</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#FFB020</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Amber</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Data quality warnings, partial status, Pro tier badge, pending states.</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Critical</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#FF4D6D</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Hot Red</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Critical errors, security flags, CRITICAL task markers, failed jobs.</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Light Text (on dark)</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#EAF6FF</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Near White</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All primary text on dark backgrounds - headings, labels, card titles.</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Muted Text</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#8EA7C1</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Muted Steel</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Secondary labels, metadata, timestamps, placeholder text on dark background.</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Light Mode Surfaces (reports)</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#F4F6F8</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Light Grey</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PDF reports, printed deliverables, email-friendly document surfaces.</w:t>
            </w:r>
          </w:p>
        </w:tc>
      </w:tr>
    </w:tbl>
    <w:p>
      <w:pPr>
        <w:spacing w:after="60"/>
      </w:pPr>
    </w:p>
    <w:p>
      <w:pPr>
        <w:pStyle w:val="Heading2"/>
        <w:spacing w:before="240" w:after="100"/>
      </w:pPr>
      <w:r>
        <w:rPr>
          <w:rFonts w:ascii="Arial" w:hAnsi="Arial" w:eastAsia="Arial"/>
          <w:b/>
          <w:i w:val="0"/>
          <w:color w:val="102A43"/>
          <w:sz w:val="26"/>
        </w:rPr>
        <w:t>2.3 Typography</w:t>
      </w:r>
    </w:p>
    <w:tbl>
      <w:tblPr>
        <w:tblStyle w:val="TableGrid"/>
        <w:tblW w:type="pct" w:w="5000"/>
        <w:jc w:val="center"/>
        <w:tblLayout w:type="autofit"/>
        <w:tblLook w:firstColumn="1" w:firstRow="1" w:lastColumn="0" w:lastRow="0" w:noHBand="0" w:noVBand="1" w:val="04A0"/>
      </w:tblPr>
      <w:tblGrid>
        <w:gridCol w:w="4752"/>
        <w:gridCol w:w="4752"/>
        <w:gridCol w:w="4752"/>
      </w:tblGrid>
      <w:tr>
        <w:trPr>
          <w:tblHeader w:val="true"/>
        </w:trPr>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Element</w:t>
            </w:r>
          </w:p>
        </w:tc>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Font</w:t>
            </w:r>
          </w:p>
        </w:tc>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Notes</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Primary UI Font</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Inter (Google Fonts)</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Clean technical sans-serif. Avoid playful fonts. IBM Plex Sans or Sora acceptable alternatives.</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Monospace (SQL/Code)</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JetBrains Mono</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SQL editor, schema config, code preview, JSON display, terminal-style output.</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Minimum Body Size</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14px web, 12pt PDF</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Accessibility requirement. Never smaller for any UI text visible to customers.</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Heading Scale</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48 / 36 / 28 / 20 / 16px</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Website H1-H5. App: 24 / 18 / 14 / 12px. Consistent across all surfaces.</w:t>
            </w:r>
          </w:p>
        </w:tc>
      </w:tr>
    </w:tbl>
    <w:p>
      <w:pPr>
        <w:spacing w:after="60"/>
      </w:pPr>
    </w:p>
    <w:p>
      <w:pPr>
        <w:pStyle w:val="Heading2"/>
        <w:spacing w:before="240" w:after="100"/>
      </w:pPr>
      <w:r>
        <w:rPr>
          <w:rFonts w:ascii="Arial" w:hAnsi="Arial" w:eastAsia="Arial"/>
          <w:b/>
          <w:i w:val="0"/>
          <w:color w:val="102A43"/>
          <w:sz w:val="26"/>
        </w:rPr>
        <w:t>2.4 Logo Design Brief</w:t>
      </w:r>
    </w:p>
    <w:tbl>
      <w:tblPr>
        <w:tblStyle w:val="TableGrid"/>
        <w:tblW w:type="pct" w:w="5000"/>
        <w:jc w:val="center"/>
        <w:tblLayout w:type="autofit"/>
        <w:tblLook w:firstColumn="1" w:firstRow="1" w:lastColumn="0" w:lastRow="0" w:noHBand="0" w:noVBand="1" w:val="04A0"/>
      </w:tblPr>
      <w:tblGrid>
        <w:gridCol w:w="7128"/>
        <w:gridCol w:w="7128"/>
      </w:tblGrid>
      <w:tr>
        <w:trPr>
          <w:tblHeader w:val="true"/>
        </w:trPr>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Attribute</w:t>
            </w:r>
          </w:p>
        </w:tc>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Specification</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Concept</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A connected-node process line or circuit-like genealogy path - referencing both plant process steps and data network topology. Avoid steel-only coil/slab symbols; the logo must work for aluminum, pharma, paper, and automotive equally.</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Mark Shape</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Hexagonal grid fragment or interconnected nodes: 4-6 nodes, one dominant central node connected by clean lines. Clean, geometric, technical, not cold.</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Colors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Electric Cyan (#00D4FF) nodes on Deep Navy Black (#050B18) background. White variant for dark backgrounds. Dark variant for light/PDF use.</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Wordmark</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PlantProcess IQ - PlantProcess in Inter Bold, IQ in Electric Cyan (#00D4FF), slightly larger weight to draw attention.</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Variants Required</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Full horizontal, icon only favicon, stacked vertical. Each in full color, dark, light, monochrome.</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Do Not</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Rotate, recolor outside palette, stretch, add drop shadows, place on low-contrast backgrounds, use steel industry imagery, put in a generic square box.</w:t>
            </w:r>
          </w:p>
        </w:tc>
      </w:tr>
    </w:tbl>
    <w:p>
      <w:pPr>
        <w:spacing w:after="60"/>
      </w:pPr>
    </w:p>
    <w:p>
      <w:pPr>
        <w:pStyle w:val="Heading2"/>
        <w:spacing w:before="240" w:after="100"/>
      </w:pPr>
      <w:r>
        <w:rPr>
          <w:rFonts w:ascii="Arial" w:hAnsi="Arial" w:eastAsia="Arial"/>
          <w:b/>
          <w:i w:val="0"/>
          <w:color w:val="102A43"/>
          <w:sz w:val="26"/>
        </w:rPr>
        <w:t>2.5 In-App Brand Implementation</w:t>
      </w:r>
    </w:p>
    <w:tbl>
      <w:tblPr>
        <w:tblStyle w:val="TableGrid"/>
        <w:tblW w:type="pct" w:w="5000"/>
        <w:jc w:val="center"/>
        <w:tblLayout w:type="autofit"/>
        <w:tblLook w:firstColumn="1" w:firstRow="1" w:lastColumn="0" w:lastRow="0" w:noHBand="0" w:noVBand="1" w:val="04A0"/>
      </w:tblPr>
      <w:tblGrid>
        <w:gridCol w:w="7128"/>
        <w:gridCol w:w="7128"/>
      </w:tblGrid>
      <w:tr>
        <w:trPr>
          <w:tblHeader w:val="true"/>
        </w:trPr>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App Location</w:t>
            </w:r>
          </w:p>
        </w:tc>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Dark Industrial Implementation</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Page Background</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Deep Navy Black (#050B18). Full-bleed. No white space on main surfaces.</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Navigation Bar</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Panel Navy (#0B1730) background. Logo left, Electric Blue active state, Muted Steel inactive links. Height 56px.</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Sidebar</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Industrial Blue (#102A43) background. Icon + label items. Active: Electric Cyan left border + Electric Blue tint fill. Hover: subtle cyan glow.</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Cards / Panels</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Panel Navy (#0B1730) fill, 1px Electric Cyan (#00D4FF) border on hover. 12px corner radius. Subtle box shadow.</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Primary Buttons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Electric Blue (#0A84FF) fill, Near-White text, Inter 14px Semi-Bold, 8px radius. Hover: darken 10%. Disabled: 0.35 opacity.</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Chart Colors</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Primary series: Electric Cyan (#00D4FF). Secondary: Enterprise Blue (#2F80ED). Success states: Cyan Green (#2CE6A2). Alert: Hot Red (#FF4D6D).</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Status Badges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Running/OK = Cyan Green dot + label. Warning = Amber dot. Failed = Hot Red dot. Planned = Muted Steel dot.</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License Tier Badge</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Top-right corner of app header. Light = Muted Steel, Pro = Amber, Pro Plus = Electric Blue, Enterprise = Cyan Green.</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Reports / PDFs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Switch to Light Mode for all PDF deliverables. Brand header/footer maintained.</w:t>
            </w:r>
          </w:p>
        </w:tc>
      </w:tr>
    </w:tbl>
    <w:p>
      <w:pPr>
        <w:spacing w:after="60"/>
      </w:pPr>
    </w:p>
    <w:p>
      <w:pPr>
        <w:pStyle w:val="Heading1"/>
        <w:spacing w:before="320" w:after="100"/>
      </w:pPr>
      <w:r>
        <w:rPr>
          <w:rFonts w:ascii="Arial" w:hAnsi="Arial" w:eastAsia="Arial"/>
          <w:b/>
          <w:i w:val="0"/>
          <w:color w:val="050B18"/>
          <w:sz w:val="34"/>
        </w:rPr>
        <w:t>Section 3 - License Architecture &amp; Competitive Pricing</w:t>
      </w:r>
    </w:p>
    <w:p>
      <w:pPr>
        <w:spacing w:before="20" w:after="160"/>
        <w:pBdr>
          <w:bottom w:val="single" w:sz="10" w:space="1" w:color="00D4FF"/>
        </w:pBdr>
      </w:pPr>
    </w:p>
    <w:tbl>
      <w:tblPr>
        <w:tblW w:type="pct" w:w="5000"/>
        <w:jc w:val="center"/>
        <w:tblLayout w:type="autofit"/>
        <w:tblLook w:firstColumn="1" w:firstRow="1" w:lastColumn="0" w:lastRow="0" w:noHBand="0" w:noVBand="1" w:val="04A0"/>
      </w:tblPr>
      <w:tblGrid>
        <w:gridCol w:w="14256"/>
      </w:tblGrid>
      <w:tr>
        <w:tc>
          <w:tcPr>
            <w:tcW w:type="dxa" w:w="14256"/>
            <w:shd w:fill="FFF3CD"/>
            <w:tcBorders>
              <w:top w:val="single" w:sz="8" w:space="0" w:color="CC8A00"/>
              <w:left w:val="single" w:sz="8" w:space="0" w:color="CC8A00"/>
              <w:bottom w:val="single" w:sz="8" w:space="0" w:color="CC8A00"/>
              <w:right w:val="single" w:sz="8" w:space="0" w:color="CC8A00"/>
            </w:tcBorders>
            <w:tcMar>
              <w:top w:w="80" w:type="dxa"/>
              <w:start w:w="120" w:type="dxa"/>
              <w:bottom w:w="80" w:type="dxa"/>
              <w:end w:w="120" w:type="dxa"/>
            </w:tcMar>
          </w:tcPr>
          <w:p>
            <w:pPr>
              <w:spacing w:after="0"/>
            </w:pPr>
            <w:r>
              <w:rPr>
                <w:rFonts w:ascii="Arial" w:hAnsi="Arial" w:eastAsia="Arial"/>
                <w:b/>
                <w:i w:val="0"/>
                <w:color w:val="CC8A00"/>
                <w:sz w:val="18"/>
              </w:rPr>
              <w:t xml:space="preserve">UPDATED: </w:t>
            </w:r>
            <w:r>
              <w:rPr>
                <w:rFonts w:ascii="Arial" w:hAnsi="Arial" w:eastAsia="Arial"/>
                <w:b w:val="0"/>
                <w:i/>
                <w:color w:val="1C2B3A"/>
                <w:sz w:val="18"/>
              </w:rPr>
              <w:t>V4 pricing has been adjusted based on competitive market analysis. Token model removed from customer-facing materials and kept as internal architecture only.</w:t>
            </w:r>
          </w:p>
        </w:tc>
      </w:tr>
    </w:tbl>
    <w:p>
      <w:pPr>
        <w:spacing w:after="40"/>
      </w:pPr>
    </w:p>
    <w:p>
      <w:pPr>
        <w:spacing w:before="0" w:after="100"/>
      </w:pPr>
      <w:r>
        <w:rPr>
          <w:rFonts w:ascii="Arial" w:hAnsi="Arial" w:eastAsia="Arial"/>
          <w:b w:val="0"/>
          <w:i w:val="0"/>
          <w:color w:val="1C2B3A"/>
          <w:sz w:val="20"/>
        </w:rPr>
        <w:t>Competitive benchmarks used: Seeq ($1,000/user/year entry), Tulip Essentials ($12,000/year minimum for 10 interfaces), Braincube (quote-only, EUR 80k-EUR 200k enterprise), Primetals/PSI Metals (EUR 500k-EUR 2M turnkey implementation), Power BI (EUR 120-EUR 840/user/year, no manufacturing domain model). The true competition for PPIQ's first customers is not Seeq or Braincube - it is Power BI used as a makeshift analytics layer and the current manual SQL/Excel investigation process.</w:t>
      </w:r>
    </w:p>
    <w:p>
      <w:pPr>
        <w:pStyle w:val="Heading2"/>
        <w:spacing w:before="240" w:after="100"/>
      </w:pPr>
      <w:r>
        <w:rPr>
          <w:rFonts w:ascii="Arial" w:hAnsi="Arial" w:eastAsia="Arial"/>
          <w:b/>
          <w:i w:val="0"/>
          <w:color w:val="102A43"/>
          <w:sz w:val="26"/>
        </w:rPr>
        <w:t>3.1 V4 vs V4.1 Pricing Changes - Rationale</w:t>
      </w:r>
    </w:p>
    <w:tbl>
      <w:tblPr>
        <w:tblStyle w:val="TableGrid"/>
        <w:tblW w:type="pct" w:w="500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Tier</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V4 Price</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V4.1 Price (Updated)</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Rationale for Change</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Light</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EUR 3,500-EUR 5,000/year</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EUR 1,200-EUR 2,000/year</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V4 was overpriced for 1 user + CSV only + 2 pages + no ML. Must be cheap enough for a single engineer to buy without budget approval.</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Pro</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EUR 12,000-EUR 18,000/year</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EUR 8,000-EUR 12,000 now; phase-up to EUR 12,000-EUR 18,000 after Phase 6+7</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New product discount until self-service page builder is complete.</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Pro Plus</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EUR 25,000-EUR 40,000/year</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EUR 25,000-EUR 40,000 - kept</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Well-positioned. 20 users + unlimited pages + 4 ML learning jobs + Suggestion page.</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Enterprise</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EUR 50,000-EUR 90,000/year</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EUR 50,000-EUR 90,000/year - kept; do not lead with this in Year 1</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Correct for long-term. Do not promote actively until 2+ Pro Plus customers signed and ML pipeline operational.</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Token Model</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Visible to customers</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Internal architecture only</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6"/>
              </w:rPr>
              <w:t>No manufacturing competitor charges tokens. Use simple feature-level limits in contracts.</w:t>
            </w:r>
          </w:p>
        </w:tc>
      </w:tr>
    </w:tbl>
    <w:p>
      <w:pPr>
        <w:spacing w:after="60"/>
      </w:pPr>
    </w:p>
    <w:p>
      <w:pPr>
        <w:pStyle w:val="Heading2"/>
        <w:spacing w:before="240" w:after="100"/>
      </w:pPr>
      <w:r>
        <w:rPr>
          <w:rFonts w:ascii="Arial" w:hAnsi="Arial" w:eastAsia="Arial"/>
          <w:b/>
          <w:i w:val="0"/>
          <w:color w:val="102A43"/>
          <w:sz w:val="26"/>
        </w:rPr>
        <w:t>3.2 Presentation Script - How to Compare PPIQ Pricing to Competitors</w:t>
      </w:r>
    </w:p>
    <w:tbl>
      <w:tblPr>
        <w:tblW w:type="pct" w:w="5000"/>
        <w:jc w:val="center"/>
        <w:tblLayout w:type="autofit"/>
        <w:tblLook w:firstColumn="1" w:firstRow="1" w:lastColumn="0" w:lastRow="0" w:noHBand="0" w:noVBand="1" w:val="04A0"/>
      </w:tblPr>
      <w:tblGrid>
        <w:gridCol w:w="14256"/>
      </w:tblGrid>
      <w:tr>
        <w:tc>
          <w:tcPr>
            <w:tcW w:type="dxa" w:w="14256"/>
            <w:shd w:fill="EBF5FF"/>
            <w:tcBorders>
              <w:top w:val="single" w:sz="8" w:space="0" w:color="102A43"/>
              <w:left w:val="single" w:sz="8" w:space="0" w:color="102A43"/>
              <w:bottom w:val="single" w:sz="8" w:space="0" w:color="102A43"/>
              <w:right w:val="single" w:sz="8" w:space="0" w:color="102A43"/>
            </w:tcBorders>
            <w:tcMar>
              <w:top w:w="80" w:type="dxa"/>
              <w:start w:w="120" w:type="dxa"/>
              <w:bottom w:w="80" w:type="dxa"/>
              <w:end w:w="120" w:type="dxa"/>
            </w:tcMar>
          </w:tcPr>
          <w:p>
            <w:pPr>
              <w:spacing w:after="0"/>
            </w:pPr>
            <w:r>
              <w:rPr>
                <w:rFonts w:ascii="Arial" w:hAnsi="Arial" w:eastAsia="Arial"/>
                <w:b/>
                <w:i w:val="0"/>
                <w:color w:val="102A43"/>
                <w:sz w:val="18"/>
              </w:rPr>
              <w:t xml:space="preserve">CUSTOMER SCRIPT: </w:t>
            </w:r>
            <w:r>
              <w:rPr>
                <w:rFonts w:ascii="Arial" w:hAnsi="Arial" w:eastAsia="Arial"/>
                <w:b w:val="0"/>
                <w:i/>
                <w:color w:val="1C2B3A"/>
                <w:sz w:val="18"/>
              </w:rPr>
              <w:t>The two alternatives most customers consider are general BI tools like Power BI, or full MES platforms from vendors like Primetals Technologies or PSI Metals. Power BI is cheaper but has no manufacturing domain model, genealogy, quality correlation engine, data quality scan, or process-parameter risk scoring. MES platforms are much more expensive and usually require long implementation projects. PlantProcess IQ sits between these two: a manufacturing-specific intelligence layer that connects existing data sources, runs correlation and risk analysis, and lets engineers build custom monitoring pages without replacing existing systems.</w:t>
            </w:r>
          </w:p>
        </w:tc>
      </w:tr>
    </w:tbl>
    <w:p>
      <w:pPr>
        <w:spacing w:after="40"/>
      </w:pPr>
    </w:p>
    <w:p>
      <w:pPr>
        <w:pStyle w:val="Heading2"/>
        <w:spacing w:before="240" w:after="100"/>
      </w:pPr>
      <w:r>
        <w:rPr>
          <w:rFonts w:ascii="Arial" w:hAnsi="Arial" w:eastAsia="Arial"/>
          <w:b/>
          <w:i w:val="0"/>
          <w:color w:val="102A43"/>
          <w:sz w:val="26"/>
        </w:rPr>
        <w:t>3.3 License Tier Comparison Table (Updated V4.1)</w:t>
      </w:r>
    </w:p>
    <w:tbl>
      <w:tblPr>
        <w:tblStyle w:val="TableGrid"/>
        <w:tblW w:type="pct" w:w="500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Attribute</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Light</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Pro</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Pro Plus</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Enterprise</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Named Users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1 user</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Up to 5 users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Up to 20 users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Unlimited</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Annual Price (Year 1)</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EUR 1,200-EUR 2,000</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EUR 8,000-EUR 12,000 now; phase-up later</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EUR 25,000-EUR 40,000</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EUR 50,000-EUR 90,000 + setup</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Dynamic Pages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2-3 pages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Up to 8 pages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Up to 20 pages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Unlimited custom</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Data Sources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1 source: CSV/Excel only</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3 sources: CSV, Excel, PostgreSQL</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5-8 sources: all tested types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Unlimited + custom connectors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Scheduled Refresh Jobs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Manual / daily only</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Up to 5 jobs, 15-min minimum interval</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Unlimited jobs, 2-min minimum interval</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Configurable per contract</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DB Config + Schema Config</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Limited; no SQL editor</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SQL editor + JOIN views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Advanced + KPI builder</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Advanced + custom support</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Jobs Monitor</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Basic view only</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with history</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with ML job entries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SLA-backed</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Data Quality Page</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Basic scan</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categories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 row-level</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Custom checks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Correlation Analysis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Not included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Basic manual run only</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 InspectionJob</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Custom ML jobs</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Risk Dashboard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Not included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Rule-based view only</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 contributors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Custom thresholds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ML Learning Jobs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Reserved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Reserved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4 jobs, configurable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Configurable</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Suggestion &amp; Recommendation</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Not included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Not included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AI-assisted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Custom prompts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Investigation Report PDF</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Not included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Basic PDF</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with genealogy</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Branded + custom</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Readiness Assessment Report</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Not included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3-dimension</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7-dimension full</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White-label PDF</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RBAC / User Roles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Viewer + Admin only</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Admin, Engineer, DataManager, Viewer</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RBAC</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Enterprise RBAC + SSO roadmap</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Deployment</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Cloud demo env</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Cloud OR on-prem</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Cloud OR on-prem OR private cloud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On-prem + air-gap + custom</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Support</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Email, best effort</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Email, 48h response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Email + video, 24h response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Dedicated, 4h SLA</w:t>
            </w:r>
          </w:p>
        </w:tc>
      </w:tr>
    </w:tbl>
    <w:p>
      <w:pPr>
        <w:spacing w:after="60"/>
      </w:pPr>
    </w:p>
    <w:p>
      <w:pPr>
        <w:pStyle w:val="Heading2"/>
        <w:spacing w:before="240" w:after="100"/>
      </w:pPr>
      <w:r>
        <w:rPr>
          <w:rFonts w:ascii="Arial" w:hAnsi="Arial" w:eastAsia="Arial"/>
          <w:b/>
          <w:i w:val="0"/>
          <w:color w:val="102A43"/>
          <w:sz w:val="26"/>
        </w:rPr>
        <w:t>3.4 Feature-to-License Detail Matrix</w:t>
      </w:r>
    </w:p>
    <w:tbl>
      <w:tblPr>
        <w:tblStyle w:val="TableGrid"/>
        <w:tblW w:type="pct" w:w="500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Feature</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Light</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Pro</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Pro Plus</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5"/>
              </w:rPr>
              <w:t>Enterprise</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Read-only source registry</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CSV / Excel import</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PostgreSQL connector</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 when validated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MSSQL / Oracle / MySQL</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Planned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Planned / add-on</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 after implementation</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DB Link configuration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Limited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Dump / staging retention</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Limited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Schema config / SQL view builder</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Basic</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Advanced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Advanced + support</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Cross-source JOIN execution</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KPI view builder</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Widget script layer</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Dashboard page builder</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2-3 pages, basic widgets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Up to 8 pages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Up to 20 pages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Unlimited</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System dashboard templates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2 read-only templates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6 templates + custom</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All templates + custom</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Custom + branded</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Data quality scan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Basic</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Custom checks</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Risk dashboard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View only</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 contributors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Custom rules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Correlation page manual run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Basic</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Correlation page scheduled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ML Learning Jobs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Configurable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Configurable</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Suggestion &amp; Recommendation page</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AI explanation credits (future)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Reserved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Reserved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Reserved / future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Custom when available</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Investigation report PDF</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Basic only</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Full with genealogy</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Branded</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Readiness assessment PDF</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3-dimension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7-dimension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White-label</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Immutable audit log</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Required by contract</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Tenant data isolation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Single user</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Custom isolation policy</w:t>
            </w:r>
          </w:p>
        </w:tc>
      </w:tr>
    </w:tbl>
    <w:p>
      <w:pPr>
        <w:spacing w:after="60"/>
      </w:pPr>
    </w:p>
    <w:p>
      <w:pPr>
        <w:pStyle w:val="Heading2"/>
        <w:spacing w:before="240" w:after="100"/>
      </w:pPr>
      <w:r>
        <w:rPr>
          <w:rFonts w:ascii="Arial" w:hAnsi="Arial" w:eastAsia="Arial"/>
          <w:b/>
          <w:i w:val="0"/>
          <w:color w:val="102A43"/>
          <w:sz w:val="26"/>
        </w:rPr>
        <w:t>3.5 Commercial Services (Non-License Revenue)</w:t>
      </w:r>
    </w:p>
    <w:tbl>
      <w:tblPr>
        <w:tblStyle w:val="TableGrid"/>
        <w:tblW w:type="pct" w:w="5000"/>
        <w:jc w:val="center"/>
        <w:tblLayout w:type="autofit"/>
        <w:tblLook w:firstColumn="1" w:firstRow="1" w:lastColumn="0" w:lastRow="0" w:noHBand="0" w:noVBand="1" w:val="04A0"/>
      </w:tblPr>
      <w:tblGrid>
        <w:gridCol w:w="4752"/>
        <w:gridCol w:w="4752"/>
        <w:gridCol w:w="4752"/>
      </w:tblGrid>
      <w:tr>
        <w:trPr>
          <w:tblHeader w:val="true"/>
        </w:trPr>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Service</w:t>
            </w:r>
          </w:p>
        </w:tc>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Price</w:t>
            </w:r>
          </w:p>
        </w:tc>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Scope</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Data Diagnostic</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3,500-EUR 6,500</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Customer provides CSV/Excel export. Analysis: data quality, mapping feasibility, correlation readiness. Delivered as 12-page PDF + 30-min call. Entry service for all tiers.</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Correlation Diagnostic Pilot</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12,000-EUR 20,000</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8-12 week engagement. One route, one defect family, defined scope. 40/30/30 payment. Pilot success leads to annual license conversion.</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Schema Config Workshop</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2,500-EUR 4,000</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2-day session: design and build source mapping, SQL views, KPI definitions. Included in Pro Plus onboarding. Add-on for Pro.</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Annual License + Support Renewal</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Per tier above</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12-month renewal. Includes platform updates, new connector versions, monthly model refresh. Invoiced annually in advance.</w:t>
            </w:r>
          </w:p>
        </w:tc>
      </w:tr>
    </w:tbl>
    <w:p>
      <w:pPr>
        <w:spacing w:after="60"/>
      </w:pPr>
    </w:p>
    <w:p>
      <w:pPr>
        <w:pStyle w:val="Heading1"/>
        <w:spacing w:before="320" w:after="100"/>
      </w:pPr>
      <w:r>
        <w:rPr>
          <w:rFonts w:ascii="Arial" w:hAnsi="Arial" w:eastAsia="Arial"/>
          <w:b/>
          <w:i w:val="0"/>
          <w:color w:val="050B18"/>
          <w:sz w:val="34"/>
        </w:rPr>
        <w:t>Section 4 - Website Strategy &amp; Page Architecture</w:t>
      </w:r>
    </w:p>
    <w:p>
      <w:pPr>
        <w:spacing w:before="20" w:after="160"/>
        <w:pBdr>
          <w:bottom w:val="single" w:sz="10" w:space="1" w:color="00D4FF"/>
        </w:pBdr>
      </w:pPr>
    </w:p>
    <w:tbl>
      <w:tblPr>
        <w:tblW w:type="pct" w:w="5000"/>
        <w:jc w:val="center"/>
        <w:tblLayout w:type="autofit"/>
        <w:tblLook w:firstColumn="1" w:firstRow="1" w:lastColumn="0" w:lastRow="0" w:noHBand="0" w:noVBand="1" w:val="04A0"/>
      </w:tblPr>
      <w:tblGrid>
        <w:gridCol w:w="14256"/>
      </w:tblGrid>
      <w:tr>
        <w:tc>
          <w:tcPr>
            <w:tcW w:type="dxa" w:w="14256"/>
            <w:shd w:fill="FFF3CD"/>
            <w:tcBorders>
              <w:top w:val="single" w:sz="8" w:space="0" w:color="CC8A00"/>
              <w:left w:val="single" w:sz="8" w:space="0" w:color="CC8A00"/>
              <w:bottom w:val="single" w:sz="8" w:space="0" w:color="CC8A00"/>
              <w:right w:val="single" w:sz="8" w:space="0" w:color="CC8A00"/>
            </w:tcBorders>
            <w:tcMar>
              <w:top w:w="80" w:type="dxa"/>
              <w:start w:w="120" w:type="dxa"/>
              <w:bottom w:w="80" w:type="dxa"/>
              <w:end w:w="120" w:type="dxa"/>
            </w:tcMar>
          </w:tcPr>
          <w:p>
            <w:pPr>
              <w:spacing w:after="0"/>
            </w:pPr>
            <w:r>
              <w:rPr>
                <w:rFonts w:ascii="Arial" w:hAnsi="Arial" w:eastAsia="Arial"/>
                <w:b/>
                <w:i w:val="0"/>
                <w:color w:val="CC8A00"/>
                <w:sz w:val="18"/>
              </w:rPr>
              <w:t xml:space="preserve">UPDATED: </w:t>
            </w:r>
            <w:r>
              <w:rPr>
                <w:rFonts w:ascii="Arial" w:hAnsi="Arial" w:eastAsia="Arial"/>
                <w:b w:val="0"/>
                <w:i/>
                <w:color w:val="1C2B3A"/>
                <w:sz w:val="18"/>
              </w:rPr>
              <w:t>Website content blocks updated: security section, proof section with honesty statement, non-goals section, founder credibility section. Website visual style updated to match dark industrial brand.</w:t>
            </w:r>
          </w:p>
        </w:tc>
      </w:tr>
    </w:tbl>
    <w:p>
      <w:pPr>
        <w:spacing w:after="40"/>
      </w:pPr>
    </w:p>
    <w:p>
      <w:pPr>
        <w:spacing w:before="0" w:after="100"/>
      </w:pPr>
      <w:r>
        <w:rPr>
          <w:rFonts w:ascii="Arial" w:hAnsi="Arial" w:eastAsia="Arial"/>
          <w:b w:val="0"/>
          <w:i w:val="0"/>
          <w:color w:val="1C2B3A"/>
          <w:sz w:val="20"/>
        </w:rPr>
        <w:t>The website must look like the app - dark industrial digital-twin / AI manufacturing command-center identity. Not a generic SaaS homepage. The first version can be a single landing page. Build timing: launch by Month 3-4 after Phase 0 completion.</w:t>
      </w:r>
    </w:p>
    <w:p>
      <w:pPr>
        <w:pStyle w:val="Heading2"/>
        <w:spacing w:before="240" w:after="100"/>
      </w:pPr>
      <w:r>
        <w:rPr>
          <w:rFonts w:ascii="Arial" w:hAnsi="Arial" w:eastAsia="Arial"/>
          <w:b/>
          <w:i w:val="0"/>
          <w:color w:val="102A43"/>
          <w:sz w:val="26"/>
        </w:rPr>
        <w:t>4.1 Website Architecture - Content Blocks</w:t>
      </w:r>
    </w:p>
    <w:tbl>
      <w:tblPr>
        <w:tblStyle w:val="TableGrid"/>
        <w:tblW w:type="pct" w:w="5000"/>
        <w:jc w:val="center"/>
        <w:tblLayout w:type="autofit"/>
        <w:tblLook w:firstColumn="1" w:firstRow="1" w:lastColumn="0" w:lastRow="0" w:noHBand="0" w:noVBand="1" w:val="04A0"/>
      </w:tblPr>
      <w:tblGrid>
        <w:gridCol w:w="7128"/>
        <w:gridCol w:w="7128"/>
      </w:tblGrid>
      <w:tr>
        <w:trPr>
          <w:tblHeader w:val="true"/>
        </w:trPr>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Block</w:t>
            </w:r>
          </w:p>
        </w:tc>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Required Content</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Hero</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Headline: Process-to-quality intelligence for manufacturing plants. Subheadline: Connect MES/L2/inspection/lab data. Build genealogy. Monitor data jobs. Investigate defects. Explain suspected quality drivers. CTA: Request Founder Demo + Download 2-Page Engineer Brief.</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Problem</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Show fragmented plant data: MES, L2 process historian, inspection devices, lab systems, downtime logs, ERP, Excel exports, manual SQL investigation. The pain: Investigation takes 3 days. The data is there. You just cannot connect it fast enough.</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How it Works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4-step flow: connector to dump/staging copy; schema mapping/SQL view layer; canonical model + jobs monitor; dashboards/correlation/risk score/investigation PDF report.</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Features</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DB Link configuration, Schema configuration, Jobs monitor, Dynamic dashboard builder, Data quality scan, Correlation analysis, Rule-based risk scoring, Investigation PDF report.</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Industries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Steel first demo story, then aluminum, paper, pharma, tire, food, chemicals, automotive. Tagline: One platform. Any industry. Your configuration.</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Pricing</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Show packages with starting from language. Full pricing in proposal only. Compare PPIQ Light/Pro/Pro Plus vs generic BI tool vs full MES.</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Security</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Read-only access. Customer-approved data only. On-prem/private deployment. RBAC. Immutable audit log. No production control/writeback. GDPR-aware design.</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Proof</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Screenshots: Dashboard, Admin DB config, Schema config SQL editor, Jobs Monitor, Investigation report. Until first customer: honest statement - actively validating with early-access partners.</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Non-Goals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PlantProcess IQ is NOT a replacement for MES, SCADA, or L2 systems. It does not write back to production control. It does not generate guaranteed root-cause conclusions.</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About / Founder</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Karim relevant experience: 12 years in plant automation, MES implementation, PSI Metals, Ezz Steel - described without confidential employer/customer details.</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Contact</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Simple form: Name, Company, Plant Type, Message. Email forwarding alias. LinkedIn link. No calendar booking required in V1.</w:t>
            </w:r>
          </w:p>
        </w:tc>
      </w:tr>
    </w:tbl>
    <w:p>
      <w:pPr>
        <w:spacing w:after="60"/>
      </w:pPr>
    </w:p>
    <w:p>
      <w:pPr>
        <w:pStyle w:val="Heading2"/>
        <w:spacing w:before="240" w:after="100"/>
      </w:pPr>
      <w:r>
        <w:rPr>
          <w:rFonts w:ascii="Arial" w:hAnsi="Arial" w:eastAsia="Arial"/>
          <w:b/>
          <w:i w:val="0"/>
          <w:color w:val="102A43"/>
          <w:sz w:val="26"/>
        </w:rPr>
        <w:t>4.2 Design Specifications</w:t>
      </w:r>
    </w:p>
    <w:tbl>
      <w:tblPr>
        <w:tblStyle w:val="TableGrid"/>
        <w:tblW w:type="pct" w:w="5000"/>
        <w:jc w:val="center"/>
        <w:tblLayout w:type="autofit"/>
        <w:tblLook w:firstColumn="1" w:firstRow="1" w:lastColumn="0" w:lastRow="0" w:noHBand="0" w:noVBand="1" w:val="04A0"/>
      </w:tblPr>
      <w:tblGrid>
        <w:gridCol w:w="7128"/>
        <w:gridCol w:w="7128"/>
      </w:tblGrid>
      <w:tr>
        <w:trPr>
          <w:tblHeader w:val="true"/>
        </w:trPr>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Element</w:t>
            </w:r>
          </w:p>
        </w:tc>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Specification</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Background</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Full-bleed Deep Navy Black for hero, sidebar panels. Section alternates: Panel Navy for feature cards. Light Grey only for PDF/print.</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Nav</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Fixed top. Industrial Blue background. Logo left. Center: Home | Product | Industries | Pricing | Security | Contact. Right: Request Demo button.</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Charts/Icons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SVG icons in Electric Cyan. Animated SVG for How it Works flow. No stock photography. Use engineering/process iconography.</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Mobile</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Full mobile responsiveness. Nav collapses to hamburger. Pricing cards stack vertically.</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SEO Meta</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Title: PlantProcess IQ - Manufacturing Intelligence Platform. Description includes MES, inspection, lab and process data; quality investigation; suspected contributors; generic platform.</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Technology</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Next.js or Astro deployed to Vercel or Netlify. Static for V1. Domain: plantprocessiq.com or .io.</w:t>
            </w:r>
          </w:p>
        </w:tc>
      </w:tr>
    </w:tbl>
    <w:p>
      <w:pPr>
        <w:spacing w:after="60"/>
      </w:pPr>
    </w:p>
    <w:p>
      <w:r>
        <w:br w:type="page"/>
      </w:r>
    </w:p>
    <w:p>
      <w:pPr>
        <w:pStyle w:val="Heading1"/>
        <w:spacing w:before="320" w:after="100"/>
      </w:pPr>
      <w:r>
        <w:rPr>
          <w:rFonts w:ascii="Arial" w:hAnsi="Arial" w:eastAsia="Arial"/>
          <w:b/>
          <w:i w:val="0"/>
          <w:color w:val="050B18"/>
          <w:sz w:val="34"/>
        </w:rPr>
        <w:t>Section 5 - Go-To-Market Stages &amp; Month-by-Month Plan</w:t>
      </w:r>
    </w:p>
    <w:p>
      <w:pPr>
        <w:spacing w:before="20" w:after="160"/>
        <w:pBdr>
          <w:bottom w:val="single" w:sz="10" w:space="1" w:color="00D4FF"/>
        </w:pBdr>
      </w:pPr>
    </w:p>
    <w:p>
      <w:pPr>
        <w:pStyle w:val="Heading2"/>
        <w:spacing w:before="240" w:after="100"/>
      </w:pPr>
      <w:r>
        <w:rPr>
          <w:rFonts w:ascii="Arial" w:hAnsi="Arial" w:eastAsia="Arial"/>
          <w:b/>
          <w:i w:val="0"/>
          <w:color w:val="102A43"/>
          <w:sz w:val="26"/>
        </w:rPr>
        <w:t>5.1 Commercial Stage Gates (Updated)</w:t>
      </w:r>
    </w:p>
    <w:tbl>
      <w:tblPr>
        <w:tblStyle w:val="TableGrid"/>
        <w:tblW w:type="pct" w:w="500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Stage</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Timing</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Primary Goal</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Technical Gate Required</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Revenue Gate</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Stage 1: Soft Marketing</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Now - Active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LinkedIn presence, problem-led content, brand story, 2-page engineer brief live.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Brand identity done. Screenshots ready. Architecture diagram. Non-goals statement published.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EUR 0 - awareness only</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Stage 2: Engineer Discovery</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Month 1-2</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5-10 discovery calls. Validate pain. Identify decision-ready contacts.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P0-01 to P0-10 complete. Golden path passes. Landing page live.</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EUR 0 - qualify leads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Stage 3: Demo-Based Sales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Month 3-4</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Live product demo to qualified leads. CSV/Excel import proven.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Phase 0 H-01 to H-14 complete. Data Quality + Risk pages functional end-to-end.</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First Data Diagnostic: EUR 3,500-EUR 5,000</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Stage 4: Paid Diagnostic</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Month 5-6</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Sell and deliver Data Diagnostic. 12-page PDF report to customer.</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Phase 11 Tasks 72-74 complete. 7-dim readiness + PDF export working.</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2-3 diagnostics: EUR 10k-EUR 20k total</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Stage 5: Pilot Sales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Month 7-8</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Sign first paid pilot contract.</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Phase 12 security hardening complete. Critical/High bugs resolved. Legal/commercial packaging ready.</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Pilot contract: EUR 12k-EUR 20k</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Stage 6: Annual License</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Month 12-15</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Convert pilot to Pro or Pro Plus annual license.</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Phase 6+7 complete for Pro Plus upgrade.</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Pro: EUR 8k-EUR 12k. Pro Plus: EUR 25k-EUR 40k</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Stage 7: Scale + Website Launch</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Month 14-18</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Website fully live. Demo video published. DACH market outreach.</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Phase 9+10 ML jobs complete. Pro Plus fully operational.</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5"/>
              </w:rPr>
              <w:t>Year 2 ARR: EUR 50k-EUR 100k</w:t>
            </w:r>
          </w:p>
        </w:tc>
      </w:tr>
    </w:tbl>
    <w:p>
      <w:pPr>
        <w:spacing w:after="60"/>
      </w:pPr>
    </w:p>
    <w:p>
      <w:pPr>
        <w:pStyle w:val="Heading2"/>
        <w:spacing w:before="240" w:after="100"/>
      </w:pPr>
      <w:r>
        <w:rPr>
          <w:rFonts w:ascii="Arial" w:hAnsi="Arial" w:eastAsia="Arial"/>
          <w:b/>
          <w:i w:val="0"/>
          <w:color w:val="102A43"/>
          <w:sz w:val="26"/>
        </w:rPr>
        <w:t>5.2 Month-by-Month Execution Plan</w:t>
      </w:r>
    </w:p>
    <w:tbl>
      <w:tblPr>
        <w:tblStyle w:val="TableGrid"/>
        <w:tblW w:type="pct" w:w="500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4"/>
              </w:rPr>
              <w:t>Month</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4"/>
              </w:rPr>
              <w:t>Hrs/Wk</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4"/>
              </w:rPr>
              <w:t>Build &amp; Technical</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4"/>
              </w:rPr>
              <w:t>Sales, Marketing &amp; Brand</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4"/>
              </w:rPr>
              <w:t>Revenue Target</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M1</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2-3</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LEGAL: Verify side-work clause. P0-01 to P0-04. Finalize brand palette. Register domain.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LinkedIn headline/about. List Ezz Steel contacts. Send 5 warm reconnect messages. Post Article 1.</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EUR 0. Foundation.</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M2</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3-4</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P0-05 to P0-10. CSV + Excel connectors. Commission logo SVG.</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Follow up with M1 contacts. 10 connection requests/day. Post dashboard screen recording.</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EUR 0 - first calls booked</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M3</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4-5</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Complete Phase 0. Website Home + Pricing pages live.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Run first 3-5 demo calls. 3-question discovery. Send 2-page engineer brief.</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First qualified leads</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M4</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4-5</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Complete 7-dimension readiness scoring + report endpoint + full PDF. Website Product + Industries pages.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Offer Data Diagnostic to 2 most engaged contacts. Price EUR 3,500-EUR 4,500 first reference.</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EUR 3,500-EUR 4,500</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M5</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4-5</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JobDefinition worker registration. Synthetic dataset pack. Demo script. Website full launch.</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Execute first Data Diagnostic. Deliver in video call. Offer pilot scope.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EUR 3,500-EUR 5,000 delivered</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M6</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4-5</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Import scheduling, Run Now/Pause, job history. SQL editor. Upgrade Investigation PDF.</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Raise diagnostic to EUR 5,000-EUR 6,500. Second diagnostic offer.</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EUR 7k-EUR 11k total</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M7</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4-5</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Schema config: SQL editor, JOIN execution, KPI builder, mapping workbench. Start Phase 12 security.</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Schema Config demo. Pilot proposal EUR 12k-EUR 18k sent.</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Pilot proposal sent</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M8</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5-6</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RBAC, tenant isolation, audit log, retention, secrets. Register entity if required.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Negotiate pilot. Collect 40% upfront.</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EUR 4,800-EUR 7,200 upfront</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M9-M10</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5-6</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MSSQL connector. Staging state machine, checksums, bulk insert, monitoring UI, validation.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Execute pilot: Wk1 load, Wk2 DQ, Wk3 correlation, Wk4-5 reports.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Midpoint EUR 3.6k-EUR 5.4k</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M11-M12</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5-6</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Transform rules, unit normalization, failed-row viewer, lineage. PageDefinition entity.</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Final pilot delivery. Annual license discussion. Case study.</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Year 1 total EUR 20k-EUR 30k</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M13-M15</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6-8</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Page management UI, templates, widget script layer, Pro Plus license enforcement.</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Pro price upgrades. First Pro Plus discussion.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First annual license EUR 12k-EUR 25k</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M16-M18</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6-8</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ML foundation, 4 learning jobs, ML Correlation Page, Suggestion page. Demo video.</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Pro Plus price confirmed. Website updated with video. DACH outreach.</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3"/>
              </w:rPr>
              <w:t>Year 2 ARR EUR 50k-EUR 100k</w:t>
            </w:r>
          </w:p>
        </w:tc>
      </w:tr>
    </w:tbl>
    <w:p>
      <w:pPr>
        <w:spacing w:after="60"/>
      </w:pPr>
    </w:p>
    <w:p>
      <w:r>
        <w:br w:type="page"/>
      </w:r>
    </w:p>
    <w:p>
      <w:pPr>
        <w:pStyle w:val="Heading1"/>
        <w:spacing w:before="320" w:after="100"/>
      </w:pPr>
      <w:r>
        <w:rPr>
          <w:rFonts w:ascii="Arial" w:hAnsi="Arial" w:eastAsia="Arial"/>
          <w:b/>
          <w:i w:val="0"/>
          <w:color w:val="050B18"/>
          <w:sz w:val="34"/>
        </w:rPr>
        <w:t>Section 6 - 30/60/90-Day Execution Plan</w:t>
      </w:r>
    </w:p>
    <w:p>
      <w:pPr>
        <w:spacing w:before="20" w:after="160"/>
        <w:pBdr>
          <w:bottom w:val="single" w:sz="10" w:space="1" w:color="00D4FF"/>
        </w:pBdr>
      </w:pPr>
    </w:p>
    <w:tbl>
      <w:tblPr>
        <w:tblStyle w:val="TableGrid"/>
        <w:tblW w:type="pct" w:w="5000"/>
        <w:jc w:val="center"/>
        <w:tblLayout w:type="autofit"/>
        <w:tblLook w:firstColumn="1" w:firstRow="1" w:lastColumn="0" w:lastRow="0" w:noHBand="0" w:noVBand="1" w:val="04A0"/>
      </w:tblPr>
      <w:tblGrid>
        <w:gridCol w:w="7128"/>
        <w:gridCol w:w="7128"/>
      </w:tblGrid>
      <w:tr>
        <w:trPr>
          <w:tblHeader w:val="true"/>
        </w:trPr>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Timeframe</w:t>
            </w:r>
          </w:p>
        </w:tc>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Execution Focus</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First 30 days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Close all pre-demo gates: security validation, connector truth, golden path E2E, language audit, data safety statement, pre-demo checklist. Screenshot pack created. Landing page draft live. 2-page engineer brief published. 10 warm contacts messaged. LinkedIn profile updated.</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Day 31-60</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Run first 3-5 discovery calls and 3 friendly demos. Complete CSV/Excel/PostgreSQL diagnostic path end-to-end. Finish customer-grade PDF report export. Prepare Diagnostic SOW, NDA, and pricing proposal. First Data Diagnostic sold and delivered.</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Day 61-90</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Convert one strong engineer champion into a small paid diagnostic. Deliver the report in a presentation call. Collect structured feedback: what worked, what was missing, what was confusing. Refine pricing and package matrix.</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Month 4-6</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Turn diagnostic into pilot proposal if value is confirmed. Harden security, audit, deployment, tests, and support model. Second diagnostic delivered. Website fully live.</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Month 7-12</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Target: 1-2 paid diagnostics and one serious pilot signed. First annual license proposal sent. Build case study before any content claiming customers or results.</w:t>
            </w:r>
          </w:p>
        </w:tc>
      </w:tr>
    </w:tbl>
    <w:p>
      <w:pPr>
        <w:spacing w:after="60"/>
      </w:pPr>
    </w:p>
    <w:p>
      <w:pPr>
        <w:pStyle w:val="Heading1"/>
        <w:spacing w:before="320" w:after="100"/>
      </w:pPr>
      <w:r>
        <w:rPr>
          <w:rFonts w:ascii="Arial" w:hAnsi="Arial" w:eastAsia="Arial"/>
          <w:b/>
          <w:i w:val="0"/>
          <w:color w:val="050B18"/>
          <w:sz w:val="34"/>
        </w:rPr>
        <w:t>Section 7 - Required Commercial Assets</w:t>
      </w:r>
    </w:p>
    <w:p>
      <w:pPr>
        <w:spacing w:before="20" w:after="160"/>
        <w:pBdr>
          <w:bottom w:val="single" w:sz="10" w:space="1" w:color="00D4FF"/>
        </w:pBdr>
      </w:pPr>
    </w:p>
    <w:tbl>
      <w:tblPr>
        <w:tblStyle w:val="TableGrid"/>
        <w:tblW w:type="pct" w:w="500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ID</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Asset</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Content</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Output</w:t>
            </w:r>
          </w:p>
        </w:tc>
        <w:tc>
          <w:tcPr>
            <w:tcW w:type="dxa" w:w="2851"/>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Gate</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A01</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Landing page v1</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Hero, problem, how it works, features, industry examples, pricing direction, founder demo CTA.</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Live URL</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Before broad outreach</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A02</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Architecture diagram</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Connector to staging/dump to schema config to canonical model to jobs monitor to analytics/risk/report.</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1 slide / SVG</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Before discovery demos</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A03</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5 Screenshots pack</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Dashboard, Admin DB config, Schema config SQL editor, Jobs Monitor, Investigation/report PDF.</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High-res PNG exports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Before engineer calls</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A04</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2-page engineer brief</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Problem, why now, read-only safety, what the demo proves, feedback requested.</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PDF / DOCX</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Week 1 of Month 1</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A05</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20-min demo script</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Exact click-by-click script: Admin, Jobs Monitor, Dashboard, Schema Config, Correlation, Investigation Report.</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Markdown/PDF script</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Before first demo</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A06</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Diagnostic offer one-pager</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Scope, inputs, deliverables, timeline, price range, assumptions, exclusions.</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1-page PDF</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Before first revenue ask</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A07</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License feature matrix</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Light/Pro/Pro Plus/Enterprise comparison. Simplified customer-facing version.</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Website pricing + proposal table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Before first proposal</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A08</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Security &amp; data-handling brief</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Read-only access, no production control, customer data only with NDA, on-prem option, RBAC, audit log.</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1-2 page PDF</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Before IT/security conversation</w:t>
            </w:r>
          </w:p>
        </w:tc>
      </w:tr>
      <w:tr>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A09</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Founder credibility page</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12 years MES/L2/process-quality experience. PSI Metals, Ezz Steel references without confidential details.</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Website About / PDF bio</w:t>
            </w:r>
          </w:p>
        </w:tc>
        <w:tc>
          <w:tcPr>
            <w:tcW w:type="dxa" w:w="2851"/>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Before external outreach</w:t>
            </w:r>
          </w:p>
        </w:tc>
      </w:tr>
      <w:tr>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A10</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Case study template</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Problem, data sources, method, findings, impact. Fill with first real customer with permission.</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DOCX template now; PDF later</w:t>
            </w:r>
          </w:p>
        </w:tc>
        <w:tc>
          <w:tcPr>
            <w:tcW w:type="dxa" w:w="2851"/>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4"/>
              </w:rPr>
              <w:t>Before Diagnostic 1</w:t>
            </w:r>
          </w:p>
        </w:tc>
      </w:tr>
    </w:tbl>
    <w:p>
      <w:pPr>
        <w:spacing w:after="60"/>
      </w:pPr>
    </w:p>
    <w:p>
      <w:r>
        <w:br w:type="page"/>
      </w:r>
    </w:p>
    <w:p>
      <w:pPr>
        <w:pStyle w:val="Heading1"/>
        <w:spacing w:before="320" w:after="100"/>
      </w:pPr>
      <w:r>
        <w:rPr>
          <w:rFonts w:ascii="Arial" w:hAnsi="Arial" w:eastAsia="Arial"/>
          <w:b/>
          <w:i w:val="0"/>
          <w:color w:val="050B18"/>
          <w:sz w:val="34"/>
        </w:rPr>
        <w:t>Section 8 - Risk Register</w:t>
      </w:r>
    </w:p>
    <w:p>
      <w:pPr>
        <w:spacing w:before="20" w:after="160"/>
        <w:pBdr>
          <w:bottom w:val="single" w:sz="10" w:space="1" w:color="00D4FF"/>
        </w:pBdr>
      </w:pPr>
    </w:p>
    <w:tbl>
      <w:tblPr>
        <w:tblStyle w:val="TableGrid"/>
        <w:tblW w:type="pct" w:w="500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ID</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Risk</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Severity</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Mitigation</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R1</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Overclaiming AI/ML before trained models exist.</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HIGH</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Language audit before every customer touchpoint. Use rule-based risk scoring and correlation analysis.</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R2</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Showing too much admin complexity in demos.</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HIGH</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Strict 20-minute demo story. Admin area shown only for jobs monitor and connector config.</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R3</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Selling a paid diagnostic before the PDF/report deliverable is customer-grade.</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HIGH</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Do not ask for money until report quality passes internal review.</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R4</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Connector readiness overstatement.</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HIGH</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UI must mark all non-tested connectors as Planned. Failing this check cancels demo.</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R5</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Legal conflict with current employment.</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HIGH</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Review SMS contract and confirm safe legal path before paid work.</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R6</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Pricing perception mismatch.</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MEDIUM</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Keep Light limited. Lead with Pro or Pro Plus in enterprise conversations.</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R7</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Warm engineers interested but budget takes 6+ months.</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MEDIUM</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Keep diagnostics small under EUR 5,000. Maintain 5-10 active contacts.</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R8</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Product perceived as steel-only.</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MEDIUM</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Steel is demo data only. Keep generic model terminology.</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R9</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Golden-path failure during customer demo.</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HIGH</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Mandatory pre-demo checklist: build, tests, E2E with seeded data, report export.</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R10</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Data confidentiality incident.</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HIGH</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NDA before customer data. Only synthetic or customer-approved exports in demos.</w:t>
            </w:r>
          </w:p>
        </w:tc>
      </w:tr>
    </w:tbl>
    <w:p>
      <w:pPr>
        <w:spacing w:after="60"/>
      </w:pPr>
    </w:p>
    <w:p>
      <w:pPr>
        <w:pStyle w:val="Heading1"/>
        <w:spacing w:before="320" w:after="100"/>
      </w:pPr>
      <w:r>
        <w:rPr>
          <w:rFonts w:ascii="Arial" w:hAnsi="Arial" w:eastAsia="Arial"/>
          <w:b/>
          <w:i w:val="0"/>
          <w:color w:val="050B18"/>
          <w:sz w:val="34"/>
        </w:rPr>
        <w:t>Section 9 - Pre-Demo, Pre-Pilot &amp; Pre-License Decision Gates</w:t>
      </w:r>
    </w:p>
    <w:p>
      <w:pPr>
        <w:spacing w:before="20" w:after="160"/>
        <w:pBdr>
          <w:bottom w:val="single" w:sz="10" w:space="1" w:color="00D4FF"/>
        </w:pBdr>
      </w:pPr>
    </w:p>
    <w:tbl>
      <w:tblPr>
        <w:tblStyle w:val="TableGrid"/>
        <w:tblW w:type="pct" w:w="5000"/>
        <w:jc w:val="center"/>
        <w:tblLayout w:type="autofit"/>
        <w:tblLook w:firstColumn="1" w:firstRow="1" w:lastColumn="0" w:lastRow="0" w:noHBand="0" w:noVBand="1" w:val="04A0"/>
      </w:tblPr>
      <w:tblGrid>
        <w:gridCol w:w="7128"/>
        <w:gridCol w:w="7128"/>
      </w:tblGrid>
      <w:tr>
        <w:trPr>
          <w:tblHeader w:val="true"/>
        </w:trPr>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Gate</w:t>
            </w:r>
          </w:p>
        </w:tc>
        <w:tc>
          <w:tcPr>
            <w:tcW w:type="dxa" w:w="7128"/>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Must-Pass Criteria - All Required</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Before a Discovery Call</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Landing page draft live. 2-page engineer brief ready. Screenshots pack ready. Architecture diagram ready. Non-goals statement published. NDA template available.</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Before a Friendly Demo</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Build passes. Language audit passes. Golden-path E2E passes with synthetic data. No 401/403/404/500 errors. Pre-demo checklist signed off.</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Before a Paid Diagnostic</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Report export is customer-grade. Diagnostic SOW template ready. NDA template ready. Data input checklist ready. Diagnostic pricing confirmed.</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Before a Real Pilot Contract</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Phase 12 security hardening complete. Critical/High bugs resolved. Connector readiness honest. Deployment model defined. Support obligations documented. Legal entity or agreement ready.</w:t>
            </w:r>
          </w:p>
        </w:tc>
      </w:tr>
      <w:tr>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Before Annual License Sales</w:t>
            </w:r>
          </w:p>
        </w:tc>
        <w:tc>
          <w:tcPr>
            <w:tcW w:type="dxa" w:w="7128"/>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At least one delivered diagnostic or completed pilot exists. Case study written. Customer-grade readiness report PDF working. Pro Plus requires Phase 6+7 complete.</w:t>
            </w:r>
          </w:p>
        </w:tc>
      </w:tr>
      <w:tr>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Before Pro Price Upgrade</w:t>
            </w:r>
          </w:p>
        </w:tc>
        <w:tc>
          <w:tcPr>
            <w:tcW w:type="dxa" w:w="7128"/>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Phase 6+7 shipped, one paying Pro customer, and self-service demo works without backend code changes.</w:t>
            </w:r>
          </w:p>
        </w:tc>
      </w:tr>
    </w:tbl>
    <w:p>
      <w:pPr>
        <w:spacing w:after="60"/>
      </w:pPr>
    </w:p>
    <w:p>
      <w:r>
        <w:br w:type="page"/>
      </w:r>
    </w:p>
    <w:p>
      <w:pPr>
        <w:pStyle w:val="Heading1"/>
        <w:spacing w:before="320" w:after="100"/>
      </w:pPr>
      <w:r>
        <w:rPr>
          <w:rFonts w:ascii="Arial" w:hAnsi="Arial" w:eastAsia="Arial"/>
          <w:b/>
          <w:i w:val="0"/>
          <w:color w:val="050B18"/>
          <w:sz w:val="34"/>
        </w:rPr>
        <w:t>Section 10 - Revenue Model &amp; Success Metrics</w:t>
      </w:r>
    </w:p>
    <w:p>
      <w:pPr>
        <w:spacing w:before="20" w:after="160"/>
        <w:pBdr>
          <w:bottom w:val="single" w:sz="10" w:space="1" w:color="00D4FF"/>
        </w:pBdr>
      </w:pPr>
    </w:p>
    <w:p>
      <w:pPr>
        <w:pStyle w:val="Heading2"/>
        <w:spacing w:before="240" w:after="100"/>
      </w:pPr>
      <w:r>
        <w:rPr>
          <w:rFonts w:ascii="Arial" w:hAnsi="Arial" w:eastAsia="Arial"/>
          <w:b/>
          <w:i w:val="0"/>
          <w:color w:val="102A43"/>
          <w:sz w:val="26"/>
        </w:rPr>
        <w:t>10.1 Revenue Scenarios</w:t>
      </w:r>
    </w:p>
    <w:tbl>
      <w:tblPr>
        <w:tblStyle w:val="TableGrid"/>
        <w:tblW w:type="pct" w:w="500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Scenario</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Year 1 Revenue</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Year 2 Revenue</w:t>
            </w:r>
          </w:p>
        </w:tc>
        <w:tc>
          <w:tcPr>
            <w:tcW w:type="dxa" w:w="3564"/>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Key Assumptions</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Conservative</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8,000-EUR 15,000</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25,000-EUR 45,000</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Ezz Steel contacts slow to respond. 2 diagnostics, 1 partial pilot.</w:t>
            </w:r>
          </w:p>
        </w:tc>
      </w:tr>
      <w:tr>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Realistic Target</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20,000-EUR 35,000</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50,000-EUR 90,000</w:t>
            </w:r>
          </w:p>
        </w:tc>
        <w:tc>
          <w:tcPr>
            <w:tcW w:type="dxa" w:w="3564"/>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3 diagnostics + 1 pilot. 2-3 Tier 1 contacts respond positively. 1-2 referrals.</w:t>
            </w:r>
          </w:p>
        </w:tc>
      </w:tr>
      <w:tr>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Optimistic</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35,000-EUR 60,000</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100,000-EUR 150,000</w:t>
            </w:r>
          </w:p>
        </w:tc>
        <w:tc>
          <w:tcPr>
            <w:tcW w:type="dxa" w:w="3564"/>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Strong warm network response. Pilot case study generates referrals. DACH automotive contact.</w:t>
            </w:r>
          </w:p>
        </w:tc>
      </w:tr>
    </w:tbl>
    <w:p>
      <w:pPr>
        <w:spacing w:after="60"/>
      </w:pPr>
    </w:p>
    <w:p>
      <w:pPr>
        <w:pStyle w:val="Heading2"/>
        <w:spacing w:before="240" w:after="100"/>
      </w:pPr>
      <w:r>
        <w:rPr>
          <w:rFonts w:ascii="Arial" w:hAnsi="Arial" w:eastAsia="Arial"/>
          <w:b/>
          <w:i w:val="0"/>
          <w:color w:val="102A43"/>
          <w:sz w:val="26"/>
        </w:rPr>
        <w:t>10.2 Monthly Success Metrics to Track</w:t>
      </w:r>
    </w:p>
    <w:tbl>
      <w:tblPr>
        <w:tblStyle w:val="TableGrid"/>
        <w:tblW w:type="pct" w:w="5000"/>
        <w:jc w:val="center"/>
        <w:tblLayout w:type="autofit"/>
        <w:tblLook w:firstColumn="1" w:firstRow="1" w:lastColumn="0" w:lastRow="0" w:noHBand="0" w:noVBand="1" w:val="04A0"/>
      </w:tblPr>
      <w:tblGrid>
        <w:gridCol w:w="4752"/>
        <w:gridCol w:w="4752"/>
        <w:gridCol w:w="4752"/>
      </w:tblGrid>
      <w:tr>
        <w:trPr>
          <w:tblHeader w:val="true"/>
        </w:trPr>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Metric</w:t>
            </w:r>
          </w:p>
        </w:tc>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Month 1-6 Target</w:t>
            </w:r>
          </w:p>
        </w:tc>
        <w:tc>
          <w:tcPr>
            <w:tcW w:type="dxa" w:w="4752"/>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7"/>
              </w:rPr>
              <w:t>Month 7-18 Target</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LinkedIn connection requests accepted/week</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20-30/week</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50-80/week growing</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Discovery calls completed</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5-10 by Month 3</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2-3 new calls/month from Month 7</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Data Diagnostics sold</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1 by Month 4, 2 by Month 6</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5-8 by Month 12</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Pilot proposals sent</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1 by Month 7</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2-3 by Month 12</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Pilot conversion rate</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N/A first proposal</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Target: 40-60%</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Revenue cumulative</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5k-EUR 10k by Month 6</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EUR 20k-EUR 35k by Month 12</w:t>
            </w:r>
          </w:p>
        </w:tc>
      </w:tr>
      <w:tr>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CRM contacts qualified</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3-5 by Month 3</w:t>
            </w:r>
          </w:p>
        </w:tc>
        <w:tc>
          <w:tcPr>
            <w:tcW w:type="dxa" w:w="4752"/>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10-15 by Month 12</w:t>
            </w:r>
          </w:p>
        </w:tc>
      </w:tr>
      <w:tr>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Pre-demo checklist pass rate</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100%</w:t>
            </w:r>
          </w:p>
        </w:tc>
        <w:tc>
          <w:tcPr>
            <w:tcW w:type="dxa" w:w="4752"/>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7"/>
              </w:rPr>
              <w:t>100% maintained</w:t>
            </w:r>
          </w:p>
        </w:tc>
      </w:tr>
    </w:tbl>
    <w:p>
      <w:pPr>
        <w:spacing w:after="60"/>
      </w:pPr>
    </w:p>
    <w:p>
      <w:r>
        <w:br w:type="page"/>
      </w:r>
    </w:p>
    <w:p>
      <w:pPr>
        <w:pStyle w:val="Heading1"/>
        <w:spacing w:before="320" w:after="100"/>
      </w:pPr>
      <w:r>
        <w:rPr>
          <w:rFonts w:ascii="Arial" w:hAnsi="Arial" w:eastAsia="Arial"/>
          <w:b/>
          <w:i w:val="0"/>
          <w:color w:val="050B18"/>
          <w:sz w:val="34"/>
        </w:rPr>
        <w:t>Section 11 - Master Task Table (V4.1)</w:t>
      </w:r>
    </w:p>
    <w:p>
      <w:pPr>
        <w:spacing w:before="20" w:after="160"/>
        <w:pBdr>
          <w:bottom w:val="single" w:sz="10" w:space="1" w:color="00D4FF"/>
        </w:pBdr>
      </w:pPr>
    </w:p>
    <w:p>
      <w:pPr>
        <w:spacing w:before="0" w:after="100"/>
      </w:pPr>
      <w:r>
        <w:rPr>
          <w:rFonts w:ascii="Arial" w:hAnsi="Arial" w:eastAsia="Arial"/>
          <w:b w:val="0"/>
          <w:i/>
          <w:color w:val="5C7A94"/>
          <w:sz w:val="19"/>
        </w:rPr>
        <w:t>This master task table integrates all development, brand, website, commercial, and legal tasks extracted from the brainstorming source. Total tasks extracted: 52.</w:t>
      </w:r>
    </w:p>
    <w:tbl>
      <w:tblPr>
        <w:tblStyle w:val="TableGrid"/>
        <w:tblW w:type="pct" w:w="5000"/>
        <w:jc w:val="center"/>
        <w:tblLayout w:type="autofit"/>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rPr>
          <w:tblHeader w:val="true"/>
        </w:trPr>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ID</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Ref</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Task Name</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Type</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Side</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Area</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Priority</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Month</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Effort</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Description</w:t>
            </w:r>
          </w:p>
        </w:tc>
        <w:tc>
          <w:tcPr>
            <w:tcW w:type="dxa" w:w="1296"/>
            <w:shd w:fill="050B18"/>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i w:val="0"/>
                <w:color w:val="FFFFFF"/>
                <w:sz w:val="11"/>
              </w:rPr>
              <w:t>Validation</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Remove Signing Key + Default Password from Base Config</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Security</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30 min</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Remove SigningKey + BootstrapAdminPassword from base appsettings.json. Startup validator refuses to start in Production without env variable PlantProcess__Auth__SigningKey.</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API refuses to start in Production without env var. Starts normally in Development.</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Fix Hardcoded Admin Role — Enable Multi-Role JWT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Security</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1 hr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Remove hardcoded ClaimTypes.Role=Admin. Add username→role map in config. Expose correct role in LoginResponse and frontend auth context.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Admin token = Admin. Engineer token = Engineer. Engineer token rejected by Admin-only endpoint with 403.</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P0-03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SEC-03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Guard DevSeedEndpoints Behind IsDevelopment()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Security</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30 min</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Wrap app.MapDevSeedEndpoints() in if (app.Environment.IsDevelopment()) in Program.cs.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GET /dev/database-summary returns 404 in Production.</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P0-04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SEC-04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Move JWT Token to httpOnly Cookie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Security</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2–3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Replace localStorage JWT with httpOnly cookie. Update apiClient.ts. Backend sets cookie on login.</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Token not visible in browser JS console. XSS cannot steal token.</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P0-05</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DEMO-GATE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Run Full Golden-Path E2E Before Every Demo</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Process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 Quality</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M1–ongoing</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 setup</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Login → Admin/Jobs Monitor → Dashboard → Data Quality → Risk → Readiness → PDF. Must pass cleanly with seeded data.</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All 8 pages load. No 401/403/500 errors. PDF generates correctly.</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P0-06</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DAT-01/03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Fix DTO Contracts: DataQuality + Risk Dashboard Pages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Data Correctness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2–3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Align DataQualityPage.tsx and RiskDashboardPage.tsx fetch URLs and response shapes to backend DTOs. Both pages must populate with real data.</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 pages show real data from 100-row synthetic dataset. No empty-state fallback.</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P0-07</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CONN-01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Connector Provider Honesty — Only Show Tested Connectors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Modification</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Trust/Compliance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1 hr</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UI must mark MSSQL, Oracle, MySQL as "Planned." Only CSV, Excel, PostgreSQL (when tested) shown as available.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Connector selection UI shows "Planned" for all untested providers.</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P0-08</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LANG-01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Complete ML/AI Language Audit — Replace All Overclaiming Terms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Modification</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Compliance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Grep all .tsx for: "ML prediction", "AI-powered", "machine learning", "guaranteed root cause." Replace with approved terms. Add disclaimers on Risk + Correlation pages.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Zero overclaiming ML/AI terms in UI. Risk Dashboard says "Rule-Based Risk Score."</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P0-09</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LEGAL-01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Add Data Handling Safety Statement to Demo + Website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Process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Legal/Trust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1 hr</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Every commercial asset and demo states: read-only, no production control, no confidential data used without NDA, on-prem deployment available.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Statement visible on website and referenced in every customer-facing PDF.</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P0-10</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DEMO-CHECK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Create and Enforce Pre-Demo Checklist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Process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 Quality</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CRITICAL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1 hr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language audit, golden-path E2E, seeded data, PDF report export — all must pass. No customer screen share unless checklist signed off.</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Checklist document exists and is referenced before every demo.</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P1-11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H-03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and Validate CSV Connector End-to-End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Connector</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CsvConnector.cs implementing ISchemaReader + IDataSourceReader. Upload/point to CSV → schema preview → import batch → staging rows visible in Jobs Monitor.</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5,000-row CSV imports cleanly. Schema discovery returns correct column types.</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P1-12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H-04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and Validate Excel Connector End-to-End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Connector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ExcelConnector.cs using EPPlus/ClosedXML. Multi-sheet, merged cells, empty rows. Upload → preview → import batch.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Multi-sheet .xlsx imports correctly. First 1,000 rows clean.</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P1-13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H-02/H-05</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ISchemaReader + IDataSourceReader Interfaces + ConnectorFactory</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Connector</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Define connector interfaces. ConnectorFactory resolves by ProviderType. CSV + Excel implement both interfaces.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Factory resolves correct connector for each ProviderType.</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P1-14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H-06/H-07</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Schema Discovery + Source Preview API Endpoints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Connector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GET /connectors/{id}/schema → discovered table/column metadata. GET /connectors/{id}/preview → first 50 rows. Used in Schema Config Panel.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 shows live schema and preview from real CSV source.</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P1-15</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SC-01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Prove Schema View Builder SQL Safety + Read-Only Execution</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Verification</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Core Feature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Monaco editor in SchemaViewBuilderPanel confirmed working. SafeSqlValidator blocks DROP/INSERT/UPDATE. SELECT preview executes against dump/staging only.</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DROP TABLE rejected with clear error. SELECT JOIN preview works.</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P1-16</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SC-DEMO</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Create 3 Demo Schema Views: Genealogy Join, Defect Join, KPI View</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 Prep</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Three demo SQL views: material genealogy join (heat ID + piece ID), surface defect join, KPI computed view. Saved and referenced in mapping + dashboard.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All 3 views load correctly against synthetic data.</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P1-17</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MAP-01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Create Canonical Mapping Demo for One Route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 Prep</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Mapping populates: MaterialUnit, ProcessStep, ParameterObservation, QualityEvent, GenealogyEdge for EAF/LF → Caster → HSM → Inspection demo route.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All 5 canonical entity types populated from synthetic CSV imports.</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P1-18</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A-01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Register All Workers as Independent JobDefinition Records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Core Feature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On startup, register: ImportBatchQueueProcessor, DataQualityScanWorker, RiskScoringWorker, TelemetryIngestionWorker as separate JobDefinition entries with real-time status.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Jobs Monitor shows all 4 jobs independently. No duplicates after restart.</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P1-19</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A-02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Add Run Now / Pause / Resume Controls to Jobs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Core Feature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Run Now, Pause, Resume buttons update persisted job state and show in job history.</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Button actions reflected in Jobs Monitor status immediately.</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P1-20</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PERF-01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Create EF Migration for All Critical DB Indexes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Hot Fix</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Database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VERY 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1 hr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Migration AddCriticalQueryIndexes: material_units(site_id), quality_events(material_unit_id, event_at_utc composite), parameter_observations(material_unit_id, observed_at_utc), risk_scores(material_unit_id), staging_records(source_dataset_def_id).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EXPLAIN ANALYZE shows Index Scan on all filtered queries. No Seq Scan on 50k+ row queries.</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P2-21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UI-01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Fix Dashboard Layout Persistence (localStorage → 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3–4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Replace localStorage layout storage with backend PUT /dashboard/layout. Layout survives browser refresh and works for second user.</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Dashboard layout persists across sessions and users.</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P2-22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UI-02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Verify WidgetBuilderWizard Calls Real Metadata Service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Verification</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Confirm WidgetBuilderWizardContent.tsx calls DashboardMetadataService API (not hardcoded lists). Network tab shows real /metadata/... calls.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Wizard shows real field names from connected source.</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P2-23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DASH-01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Create 5 System Dashboard Templates Seeded in DB</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Core Feature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Quality Overview, Process Parameter Monitor, Risk Dashboard, Data Quality, Investigation Launcher — all loaded from DB, not hardcoded.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All 5 templates load correctly against synthetic dataset.</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P2-24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DAT-02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Fix FeatureEngineeringService QualityEventCount Bug</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Data Correctness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1 hr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Fix BuildEquipmentExposure() — assign QualityEventCount per equipment, not total signal count inflated to all equipment.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Each equipment shows its own correct QualityEventCount.</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P2-25</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DAT-04</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Fix ParseDate Transform — Add All Plant Date Formats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Data Correctness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Add format parsers: dd/MM/yyyy, yyyy-MM-dd HH:mm:ss.fff, Unix epoch long, ISO 8601 with offset. Structured error for unrecognized format.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All 6 formats parse correctly. Unrecognized returns structured error row.</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P2-26</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DAT-05</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Persist RiskScore Explanation JSON Field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Bug Fix</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Data Correctness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Add Explanation JSON field to RiskScore entity. Persist contributors in RiskScoreService. Investigation Report loads stored contributors without recomputing.</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Investigation Report loads contributors from stored JSON.</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P3-31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TASK-74</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Readiness Assessment PDF Export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Core Feature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M4</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PDF: cover page, executive summary, 7-dimension score cards (colored), findings tables, pilot feasibility matrix, disclaimer footer. Standalone customer deliverable.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PDF generated with all sections. Suitable for direct customer delivery.</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P3-32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TASK-72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Upgrade Readiness Scoring to 7 Dimensions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Core Feature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Upgrade ApplicationReadinessService: Source Availability, Schema Completeness, Mapping Coverage, Genealogy Linkage, Data Quality, Correlation Readiness, Prediction Readiness. Each: 0–100 score + reasons.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7-dimension scores in API response. Scores respond to real data state.</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P3-33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TASK-73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Commercial Readiness Report Endpoint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Core Feature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M4</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POST /readiness/report: executive summary, per-dimension scores, pilot feasibility, recommended next actions, go/no-go for 3 pilot scopes.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Report returns all sections. Go/no-go consistent with dimension scores.</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P3-34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Synthetic Dataset Pack (Steel Demo Story)</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 Prep</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M5</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6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6-month synthetic steel production history. 500+ defect occurrences. 3 documented hidden correlations (EAF temp vs surface defect, roughing speed vs thickness, cooling rate vs hardness). One-command seeding.</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Fresh DB seeded → 3 correlations discoverable. Reproducible.</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P3-35</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Write 20-Minute Demo Script + 5-Minute Executive Version</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 Prep</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M5</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Full click-by-click demo script: Admin → Jobs → Dashboard → Schema Config SQL editor → Correlation → Investigation Report. Exact talking points per step.</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Demo deliverable in 20 minutes. Executive version in 5 minutes.</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P4-41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BRAND-01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Finalize Dark Industrial Brand Identity</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Brand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Marketing</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Complete brand reference card using V4.1 palette (Section 2). Single PDF/Figma file. Distribute to any design work going forward.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Brand card exists. App and website changes use V4.1 colors.</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P4-42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BRAND-02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Commission or Design Logo SVG (Domain-Neutral)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Brand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Design</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Marketing</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4–8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PPIQ logo per Section 2.4. No steel-specific imagery. Delivers: icon SVG, horizontal SVG, 3 color variants. Works at 16px favicon and 256px hero.</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Logo renders correctly at all sizes. All variants complete.</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P4-43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BRAND-03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Apply Dark Industrial In-App Branding (Full)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Modification</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UI/Brand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4–6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Implement all in-app brand per Section 2.5: Deep Navy Black page background, Panel Navy cards, Industrial Blue nav, Electric Blue buttons, Cyan icons/accents, status badges, license badge, favicon, browser tab title.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App matches brand identity. Dark industrial theme applied consistently.</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P4-44</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WEB-01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Register Domain + Set Up Hosting + Email Alias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Infra</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Website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Register plantprocessiq.com (or .io). Vercel/Netlify. SSL configured. info@plantprocessiq.com forwarding alias set up.</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Domain resolves to deployed site with valid SSL.</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P4-45</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WEB-02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and Deploy Website V1 (5 Pages, Dark Industrial)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Website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M3–6</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16–24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per Section 4: Home, Product, Industries, Pricing, Contact. Dark industrial theme. Non-goals section. Security section. Proof section with honesty statement. Founder credibility page.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All 5 pages live. Mobile responsive. Contact form sends email.</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P5-51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DISC-01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50-Contact Warm Engineer Target List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Sales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Discovery</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Groups: Tier 1 (Ezz Steel former colleagues), Tier 2 (other MENA plants via warm intro), Tier 3 (DACH process engineers). Columns: name, plant, country, relationship strength, plant type, estimated decision power.</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Spreadsheet/CRM with 50 contacts, tiered and prioritized.</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P5-52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DISC-02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Send Low-Pressure Feedback Requests (Not Pitches)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Sales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Discovery</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Message framing: "I built a tool for defect investigation and I want honest engineer feedback. Can I show you 20 minutes of it?" No product brochure attached.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5 warm contacts messaged in Month 1. Track response rate.</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P5-53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DISC-03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Complete 5–10 Discovery Calls with Structured Notes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Sales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Discovery</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Ongoing</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Track per call: What does investigation look like today? Which source systems? How long does a defect trace take? Who is the budget owner? What would success look like?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5 calls complete by Month 3. 10 by Month 5. Findings feed demo script updates.</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P5-54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SOW-01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Create Diagnostic SOW Template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Sales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Commercial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Scope: customer provides CSV/Excel export, PPIQ delivers 12-page PDF in 5 working days. Input requirements, exclusions, assumptions, price range, payment terms.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SOW template exists before first revenue conversation.</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P5-55</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LEGAL-02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Create NDA + Data Processing Statement Template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Legal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Legal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3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Protects customer data and PPIQ IP. Excludes confidential employer/third-party data. Signed before any customer data is received.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NDA template exists and is used for every diagnostic engagement.</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SEC-12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PHASE12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 12 Security Hardening (Full — Pilot Gate)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Security</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M8</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12–16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Complete: JWT production-safe, RBAC all 4 roles, tenant isolation, immutable audit log, data retention policy, secret resolution via env vars only. Prerequisite for any pilot contract signature.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Production-mode startup passes security checklist. Audit log records all data access events.</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P6-61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LEGAL-03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Verify Employment Contract Side-Work Clause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Legal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Legal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IMPORTANT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2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Read SMS employment contract for Nebentätigkeit restrictions. Book lawyer consultation if unclear. Confirm safe legal path before any paid customer work.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Written clearance or safe legal path confirmed. No paid engagement without this.</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P6-64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COMP-01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Register Einzelunternehmen When Customer Requires It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Process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Both</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Legal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NORMAL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Month 6–9</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1 week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Germany: Gewerbeanmeldung or Freiberufler. €20–€30 cost. Only when a customer IT/legal department specifically asks for a formal entity.</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Entity registered if and when required by customer. Do not register prematurely.</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PM-01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PHASE6-1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Create PageDefinition Entity and Page CRUD API</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 6</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NORMAL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M12</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4–5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PageDefinition entity: name, type, layout JSON, owner user ID, system-template flag, industry tag, created/updated-at. CRUD endpoints. Cascade-delete widget definitions.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PageDefinition CRUD works. Migration applies cleanly.</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PM-02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PHASE6-2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Page Management UI with Widget Library Panel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 6</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NORMAL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M13</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8–10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Page management: view pages + templates, create blank/from template, drag-drop widget library (all chart types), configure via wizard, save. Edit mode distinct from view mode.</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User creates page, adds 3 widgets, configures, saves. Loads for second user.</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WS-01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PHASE7-1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Add WidgetQueryExpression Field + Generic Query Endpoint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 7</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NORMAL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M13</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5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WidgetQueryExpression JSON on DashboardWidgetDefinition. POST /widgets/execute with groupBy, aggregation, filter, sort. SafeSqlValidator applied. Feature-level limit per license tier.</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Correct grouped data returned. DROP TABLE blocked.</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WS-02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PHASE7-2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Widget Script Layer UI in WidgetBuilderWizard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Frontend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 7</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NORMAL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M14</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6–8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Script layer step: groupBy field selector, aggregation dropdown, date range filter, plain-English summary, preview calling generic query endpoint.</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WidgetQueryExpression generated. Preview shows correct data.</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ML-01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PHASE9-1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Build Quality Label Builder Service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 9</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NORMAL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M16</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QualityLabelBuilderService creates labeled training data: material units + parameter vectors + outcome labels (defect, downtime, KPI). Configurable label window.</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Label builder produces correctly labeled dataset.</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ML-02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PHASE9-2</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Register 4 ML Learning Jobs in Worker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Phase 9</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NORMAL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M16</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 scheduled jobs: params-vs-defects (nightly), params-vs-downtime (nightly), params-vs-KPIs (nightly), full-corpus (weekly). All in Jobs Monitor. Status tracking.</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All 4 ML jobs in Jobs Monitor. Schedules configurable.</w:t>
            </w:r>
          </w:p>
        </w:tc>
      </w:tr>
      <w:tr>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TEST-01</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BACKEND-TEST</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Add Unit Tests for Core Analytics Services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Testing</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NORMAL</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M4–5</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6–8 hrs</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xUnit tests: CorrelationService (binning, lift), FeatureEngineeringService (QualityEventCount per equipment), RiskScoreService, ParseDate transforms, SafeSqlValidator. &gt;30 tests, &gt;70% coverage.</w:t>
            </w:r>
          </w:p>
        </w:tc>
        <w:tc>
          <w:tcPr>
            <w:tcW w:type="dxa" w:w="1296"/>
            <w:shd w:fill="FFFF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dotnet test passes &gt;30 tests all green.</w:t>
            </w:r>
          </w:p>
        </w:tc>
      </w:tr>
      <w:tr>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MSSQL-01</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CONNECTOR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Add SQL Server Read-Only Connector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New Task</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Backend</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Connector</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NORMAL</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M9</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4–6 hrs</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SqlServerConnector.cs via Microsoft.Data.SqlClient. INFORMATION_SCHEMA.COLUMNS discovery. Keyset pagination row reads. Read-only SQL Server login enforcement. Register in ConnectorFactory.</w:t>
            </w:r>
          </w:p>
        </w:tc>
        <w:tc>
          <w:tcPr>
            <w:tcW w:type="dxa" w:w="1296"/>
            <w:shd w:fill="EBF5FF"/>
            <w:tcBorders>
              <w:top w:val="single" w:sz="4" w:space="0" w:color="BDC3C7"/>
              <w:left w:val="single" w:sz="4" w:space="0" w:color="BDC3C7"/>
              <w:bottom w:val="single" w:sz="4" w:space="0" w:color="BDC3C7"/>
              <w:right w:val="single" w:sz="4" w:space="0" w:color="BDC3C7"/>
            </w:tcBorders>
            <w:tcMar>
              <w:top w:w="80" w:type="dxa"/>
              <w:start w:w="100" w:type="dxa"/>
              <w:bottom w:w="80" w:type="dxa"/>
              <w:end w:w="100" w:type="dxa"/>
            </w:tcMar>
            <w:vAlign w:val="top"/>
          </w:tcPr>
          <w:p>
            <w:r/>
            <w:r>
              <w:rPr>
                <w:rFonts w:ascii="Arial" w:hAnsi="Arial" w:eastAsia="Arial"/>
                <w:b w:val="0"/>
                <w:i w:val="0"/>
                <w:color w:val="1C2B3A"/>
                <w:sz w:val="11"/>
              </w:rPr>
              <w:t>SQL Server schema discovery correct. Preview returns 50 rows. Write operations fail at DB.</w:t>
            </w:r>
          </w:p>
        </w:tc>
      </w:tr>
    </w:tbl>
    <w:p>
      <w:pPr>
        <w:spacing w:after="60"/>
      </w:pPr>
    </w:p>
    <w:p>
      <w:r>
        <w:br w:type="page"/>
      </w:r>
    </w:p>
    <w:p>
      <w:pPr>
        <w:pStyle w:val="Heading1"/>
        <w:spacing w:before="320" w:after="100"/>
      </w:pPr>
      <w:r>
        <w:rPr>
          <w:rFonts w:ascii="Arial" w:hAnsi="Arial" w:eastAsia="Arial"/>
          <w:b/>
          <w:i w:val="0"/>
          <w:color w:val="050B18"/>
          <w:sz w:val="34"/>
        </w:rPr>
        <w:t>Section 12 - Appendix: Source Traceability</w:t>
      </w:r>
    </w:p>
    <w:p>
      <w:pPr>
        <w:spacing w:before="20" w:after="160"/>
        <w:pBdr>
          <w:bottom w:val="single" w:sz="10" w:space="1" w:color="00D4FF"/>
        </w:pBdr>
      </w:pPr>
    </w:p>
    <w:p>
      <w:pPr>
        <w:spacing w:before="0" w:after="100"/>
      </w:pPr>
      <w:r>
        <w:rPr>
          <w:rFonts w:ascii="Arial" w:hAnsi="Arial" w:eastAsia="Arial"/>
          <w:b w:val="0"/>
          <w:i w:val="0"/>
          <w:color w:val="1C2B3A"/>
          <w:sz w:val="20"/>
        </w:rPr>
        <w:t>This DOCX was generated from the user-provided brainstorming source file: Pasted text.txt. The pasted source was a JavaScript docx-generation draft containing the full V4.1 GTM plan, dark industrial brand palette, competitive pricing realignment, website strategy, risk register, decision gates, revenue model, and master task table.</w:t>
      </w:r>
    </w:p>
    <w:p>
      <w:pPr>
        <w:spacing w:before="0" w:after="100"/>
      </w:pPr>
      <w:r>
        <w:rPr>
          <w:rFonts w:ascii="Arial" w:hAnsi="Arial" w:eastAsia="Arial"/>
          <w:b w:val="0"/>
          <w:i w:val="0"/>
          <w:color w:val="1C2B3A"/>
          <w:sz w:val="20"/>
        </w:rPr>
        <w:t>I converted the source into a native Word document with formatted headings, tables, header/footer, landscape page setup for wide tables, and render-checked output.</w:t>
      </w:r>
    </w:p>
    <w:sectPr w:rsidR="00FC693F" w:rsidRPr="0006063C" w:rsidSect="00034616">
      <w:headerReference w:type="default" r:id="rId9"/>
      <w:footerReference w:type="default" r:id="rId10"/>
      <w:pgSz w:w="15840" w:h="12240" w:orient="landscape"/>
      <w:pgMar w:top="792" w:right="792" w:bottom="792"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C7A94"/>
        <w:sz w:val="16"/>
      </w:rPr>
      <w:t>Karim Gamal Elsayed | Düsseldorf, Germany | plantprocessiq.com | CONFIDENTIAL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rFonts w:ascii="Arial" w:hAnsi="Arial" w:eastAsia="Arial"/>
        <w:b w:val="0"/>
        <w:i w:val="0"/>
        <w:color w:val="5C7A94"/>
        <w:sz w:val="16"/>
      </w:rPr>
      <w:t>PlantProcess IQ - GTM Plan V4.1 | Competitive Pricing + Dark Industrial Brand + Master Task 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50B1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C2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