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0" w:hRule="atLeast"/>
        </w:trPr>
        <w:tc>
          <w:tcPr>
            <w:tcW w:type="dxa" w:w="9360"/>
            <w:tcBorders>
              <w:top w:val="none" w:color="050B18" w:sz="0"/>
              <w:left w:val="none" w:color="050B18" w:sz="0"/>
              <w:bottom w:val="none" w:color="050B18" w:sz="0"/>
              <w:right w:val="none" w:color="050B18" w:sz="0"/>
            </w:tcBorders>
            <w:shd w:fill="050B18" w:val="clear"/>
            <w:tcMar>
              <w:top w:type="dxa" w:w="300"/>
              <w:left w:type="dxa" w:w="200"/>
              <w:bottom w:type="dxa" w:w="300"/>
              <w:right w:type="dxa" w:w="200"/>
            </w:tcMar>
            <w:vAlign w:val="center"/>
          </w:tcPr>
          <w:p>
            <w:pPr>
              <w:spacing w:after="90"/>
              <w:jc w:val="center"/>
            </w:pPr>
            <w:r>
              <w:rPr>
                <w:b/>
                <w:bCs/>
                <w:color w:val="8EA7C1"/>
                <w:sz w:val="19"/>
                <w:szCs w:val="19"/>
              </w:rPr>
              <w:t xml:space="preserve">SOU  INDUSTRIAL  SOFTWARE</w:t>
            </w:r>
          </w:p>
          <w:p>
            <w:pPr>
              <w:spacing w:after="50"/>
              <w:jc w:val="center"/>
            </w:pPr>
            <w:r>
              <w:rPr>
                <w:b/>
                <w:bCs/>
                <w:color w:val="EAF6FF"/>
                <w:sz w:val="62"/>
                <w:szCs w:val="62"/>
              </w:rPr>
              <w:t xml:space="preserve">PlantProcess </w:t>
            </w:r>
            <w:r>
              <w:rPr>
                <w:b/>
                <w:bCs/>
                <w:color w:val="00D4FF"/>
                <w:sz w:val="62"/>
                <w:szCs w:val="62"/>
              </w:rPr>
              <w:t xml:space="preserve">IQ</w:t>
            </w:r>
          </w:p>
          <w:p>
            <w:pPr>
              <w:spacing w:after="150"/>
              <w:jc w:val="center"/>
            </w:pPr>
            <w:r>
              <w:rPr>
                <w:color w:val="EAF6FF"/>
                <w:sz w:val="29"/>
                <w:szCs w:val="29"/>
              </w:rPr>
              <w:t xml:space="preserve">Product Vision, Design &amp; Architecture Doctrine</w:t>
            </w:r>
          </w:p>
          <w:p>
            <w:pPr>
              <w:pBdr>
                <w:top w:val="single" w:color="00D4FF" w:sz="10" w:space="8"/>
              </w:pBdr>
              <w:spacing w:after="70" w:before="40"/>
              <w:jc w:val="center"/>
            </w:pPr>
            <w:r>
              <w:rPr>
                <w:b/>
                <w:bCs/>
                <w:color w:val="00D4FF"/>
                <w:sz w:val="21"/>
                <w:szCs w:val="21"/>
              </w:rPr>
              <w:t xml:space="preserve">Version 5.1   ·   Hardened Target + Buyer Plain-Terms Layer</w:t>
            </w:r>
          </w:p>
          <w:p>
            <w:pPr>
              <w:spacing w:after="0"/>
              <w:jc w:val="center"/>
            </w:pPr>
            <w:r>
              <w:rPr>
                <w:i/>
                <w:iCs/>
                <w:color w:val="8EA7C1"/>
                <w:sz w:val="18"/>
                <w:szCs w:val="18"/>
              </w:rPr>
              <w:t xml:space="preserve">Connect Your Plant Data.  Understand Your Process.</w:t>
            </w:r>
          </w:p>
        </w:tc>
      </w:tr>
    </w:tbl>
    <w:p>
      <w:pPr>
        <w:spacing w:after="260"/>
      </w:pPr>
      <w:r>
        <w:t xml:space="preserve"/>
      </w:r>
    </w:p>
    <w:p>
      <w:pPr>
        <w:spacing w:after="140" w:before="0" w:line="274"/>
      </w:pPr>
      <w:r>
        <w:rPr>
          <w:b/>
          <w:bCs/>
          <w:color w:val="102A43"/>
          <w:sz w:val="20"/>
          <w:szCs w:val="20"/>
        </w:rPr>
        <w:t xml:space="preserve">Prepared for:   </w:t>
      </w:r>
      <w:r>
        <w:rPr>
          <w:color w:val="16202D"/>
          <w:sz w:val="20"/>
          <w:szCs w:val="20"/>
        </w:rPr>
        <w:t xml:space="preserve">Karim · SOU Industrial Software, Düsseldorf</w:t>
      </w:r>
    </w:p>
    <w:p>
      <w:pPr>
        <w:spacing w:after="140" w:before="0" w:line="274"/>
      </w:pPr>
      <w:r>
        <w:rPr>
          <w:b/>
          <w:bCs/>
          <w:color w:val="102A43"/>
          <w:sz w:val="20"/>
          <w:szCs w:val="20"/>
        </w:rPr>
        <w:t xml:space="preserve">Status:   </w:t>
      </w:r>
      <w:r>
        <w:rPr>
          <w:color w:val="16202D"/>
          <w:sz w:val="20"/>
          <w:szCs w:val="20"/>
        </w:rPr>
        <w:t xml:space="preserve">Canonical doctrine. Supersedes the v4.0 doctrine (1 June 2026) as the single source of truth for the next task list, for implementation validation, and for answering any customer or procurement question.</w:t>
      </w:r>
    </w:p>
    <w:p>
      <w:pPr>
        <w:spacing w:after="140" w:before="0" w:line="274"/>
      </w:pPr>
      <w:r>
        <w:rPr>
          <w:b/>
          <w:bCs/>
          <w:color w:val="102A43"/>
          <w:sz w:val="20"/>
          <w:szCs w:val="20"/>
        </w:rPr>
        <w:t xml:space="preserve">Date:   </w:t>
      </w:r>
      <w:r>
        <w:rPr>
          <w:color w:val="16202D"/>
          <w:sz w:val="20"/>
          <w:szCs w:val="20"/>
        </w:rPr>
        <w:t xml:space="preserve">3 June 2026</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Lineage — five documents, one direction</w:t>
            </w:r>
          </w:p>
          <w:p>
            <w:pPr>
              <w:spacing w:after="60" w:line="256"/>
            </w:pPr>
            <w:r>
              <w:rPr>
                <w:b/>
                <w:bCs/>
                <w:color w:val="16202D"/>
                <w:sz w:val="20"/>
                <w:szCs w:val="20"/>
              </w:rPr>
              <w:t xml:space="preserve">Compass → </w:t>
            </w:r>
            <w:r>
              <w:rPr>
                <w:color w:val="16202D"/>
                <w:sz w:val="20"/>
                <w:szCs w:val="20"/>
              </w:rPr>
              <w:t xml:space="preserve">the 4-Track Vision (founder intent).   </w:t>
            </w:r>
            <w:r>
              <w:rPr>
                <w:b/>
                <w:bCs/>
                <w:color w:val="16202D"/>
                <w:sz w:val="20"/>
                <w:szCs w:val="20"/>
              </w:rPr>
              <w:t xml:space="preserve">v1 → </w:t>
            </w:r>
            <w:r>
              <w:rPr>
                <w:color w:val="16202D"/>
                <w:sz w:val="20"/>
                <w:szCs w:val="20"/>
              </w:rPr>
              <w:t xml:space="preserve">Version-Improvement Analysis.   </w:t>
            </w:r>
            <w:r>
              <w:rPr>
                <w:b/>
                <w:bCs/>
                <w:color w:val="16202D"/>
                <w:sz w:val="20"/>
                <w:szCs w:val="20"/>
              </w:rPr>
              <w:t xml:space="preserve">v2/v3 → </w:t>
            </w:r>
            <w:r>
              <w:rPr>
                <w:color w:val="16202D"/>
                <w:sz w:val="20"/>
                <w:szCs w:val="20"/>
              </w:rPr>
              <w:t xml:space="preserve">first structured doctrine.   </w:t>
            </w:r>
            <w:r>
              <w:rPr>
                <w:b/>
                <w:bCs/>
                <w:color w:val="16202D"/>
                <w:sz w:val="20"/>
                <w:szCs w:val="20"/>
              </w:rPr>
              <w:t xml:space="preserve">v4 → </w:t>
            </w:r>
            <w:r>
              <w:rPr>
                <w:color w:val="16202D"/>
                <w:sz w:val="20"/>
                <w:szCs w:val="20"/>
              </w:rPr>
              <w:t xml:space="preserve">the doctrine that showed instead of told.   </w:t>
            </w:r>
            <w:r>
              <w:rPr>
                <w:b/>
                <w:bCs/>
                <w:color w:val="16202D"/>
                <w:sz w:val="20"/>
                <w:szCs w:val="20"/>
              </w:rPr>
              <w:t xml:space="preserve">v5 → </w:t>
            </w:r>
            <w:r>
              <w:rPr>
                <w:color w:val="16202D"/>
                <w:sz w:val="20"/>
                <w:szCs w:val="20"/>
              </w:rPr>
              <w:t xml:space="preserve">this document.</w:t>
            </w:r>
          </w:p>
          <w:p>
            <w:pPr>
              <w:spacing w:after="0" w:line="256"/>
            </w:pPr>
            <w:r>
              <w:rPr>
                <w:color w:val="16202D"/>
                <w:sz w:val="18"/>
                <w:szCs w:val="18"/>
              </w:rPr>
              <w:t xml:space="preserve">v5 keeps every honest boundary and every worked artifact of v4, then closes the gaps a hard technical and commercial review exposes — so the function description is ready before the question is asked. The 4-Track Vision remains the backbone; §20 proves every point still has a home.</w:t>
            </w:r>
          </w:p>
        </w:tc>
      </w:tr>
    </w:tbl>
    <w:p>
      <w:pPr>
        <w:sectPr>
          <w:pgSz w:w="12240" w:h="15840" w:orient="portrait"/>
          <w:pgMar w:top="1440" w:right="1440" w:bottom="1440" w:left="1440" w:header="708" w:footer="708" w:gutter="0"/>
          <w:pgNumType/>
          <w:docGrid w:linePitch="360"/>
        </w:sectPr>
      </w:pPr>
    </w:p>
    <w:p>
      <w:pPr>
        <w:spacing w:after="160"/>
      </w:pPr>
      <w:r>
        <w:rPr>
          <w:b/>
          <w:bCs/>
          <w:color w:val="102A43"/>
          <w:sz w:val="34"/>
          <w:szCs w:val="34"/>
        </w:rPr>
        <w:t xml:space="preserve">Contents</w:t>
      </w:r>
    </w:p>
    <w:sdt>
      <w:sdtPr>
        <w:alias w:val="Right-click and choose “Update Field” to populate this tabl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 Canonical Decision Record</w:t>
      </w:r>
    </w:p>
    <w:p>
      <w:pPr>
        <w:pBdr>
          <w:bottom w:val="single" w:color="00D4FF" w:sz="14" w:space="1"/>
        </w:pBdr>
        <w:spacing w:after="140" w:before="20"/>
      </w:pPr>
      <w:r>
        <w:t xml:space="preserve"/>
      </w:r>
    </w:p>
    <w:p>
      <w:pPr>
        <w:spacing w:after="140" w:before="0" w:line="274"/>
      </w:pPr>
      <w:r>
        <w:rPr>
          <w:color w:val="16202D"/>
          <w:sz w:val="20"/>
          <w:szCs w:val="20"/>
        </w:rPr>
        <w:t xml:space="preserve">This document is the destination, not a status report and not a task list. It defines what "done" means for PlantProcess IQ (PPIQ) so every task, every line of code and every demo can be measured against one fixed target. v5 preserves v4's structure and every honest boundary, then commits — with concrete designs and numbers a senior reviewer can audit — to the answers v4 left thin: data egress and model governance, identity and authentication, licensing and deployment topology, OT-safe data acquisition, time-series scale, accessibility and internationalization, data-coverage honesty, blended-heat genealogy, security and compliance, and a quantified value and competitive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Decision area</w:t>
            </w:r>
          </w:p>
        </w:tc>
        <w:tc>
          <w:tcPr>
            <w:tcW w:type="dxa" w:w="66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Committed target</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Canonical artifact</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PlantProcess IQ Product Vision, Design &amp; Architecture Doctrine v5.0. One document is the source of truth; this is it.</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Relationship to the compass</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4-Track Vision remains founder intent. v5 is its faithful, deepened expression — nothing is dropped; §20 proves it line by line.</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Relationship to v4</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v5 preserves v4's structure, honest boundaries and worked artifacts, then closes every gap a senior technical or commercial reviewer would raise.</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Source for the task list</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next backlog is generated from §21. Every task maps to one acceptance gate, one validation method and one evidence artifact — no vague "done."</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Deployment posture (new)</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One codebase, four topologies: SOU-hosted SaaS, customer-cloud, on-prem and air-gapped. Logical isolation in shared SaaS; physical isolation when dedicated (§16.1).</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Data boundary (new)</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Deterministic engines compute inside the tenant — no plant data is sent anywhere to be calculated. The assistant LLM is a swappable, self-hostable component behind a gateway; only minimal, permission-scoped evidence ever leaves, and only under contract (§7.8).</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Identity (new)</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Argon2id password hashing, mandatory MFA for admin roles, SSO + SCIM, in-memory access tokens with HttpOnly refresh cookies. The browser localStorage access token is retired (§10.2).</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Licensing (new)</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Cryptographically signed, offline-verifiable entitlements; subscription by default, perpetual available for air-gapped; tamper-evident; defined expiration behaviour (§9.3-9.4).</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non-negotiable</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PPIQ must feel generic, configurable, secure, evidence-based, demo-safe and buyer-review-ready — without pretending to be a MES, SCADA, Level-2 system, or a guaranteed-root-cause AI.</w:t>
            </w:r>
          </w:p>
        </w:tc>
      </w:tr>
    </w:tbl>
    <w:p>
      <w:pPr>
        <w:pStyle w:val="Heading2"/>
      </w:pPr>
      <w:r>
        <w:t xml:space="preserve">0.1 Design decisions and their rationale</w:t>
      </w:r>
    </w:p>
    <w:p>
      <w:pPr>
        <w:spacing w:after="140" w:before="0" w:line="274"/>
      </w:pPr>
      <w:r>
        <w:rPr>
          <w:color w:val="16202D"/>
          <w:sz w:val="20"/>
          <w:szCs w:val="20"/>
        </w:rPr>
        <w:t xml:space="preserve">A doctrine shows its reasoning so future contributors do not relitigate settled trade-offs. These are the load-bearing decisions and why each was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050"/>
        <w:gridCol w:w="4160"/>
      </w:tblGrid>
      <w:tr>
        <w:trPr>
          <w:tblHeader/>
        </w:trPr>
        <w:tc>
          <w:tcPr>
            <w:tcW w:type="dxa" w:w="21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Decision</w:t>
            </w:r>
          </w:p>
        </w:tc>
        <w:tc>
          <w:tcPr>
            <w:tcW w:type="dxa" w:w="30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Chosen path</w:t>
            </w:r>
          </w:p>
        </w:tc>
        <w:tc>
          <w:tcPr>
            <w:tcW w:type="dxa" w:w="41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Why (and what was rejected)</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Where customer data lives first</w:t>
            </w:r>
          </w:p>
        </w:tc>
        <w:tc>
          <w:tcPr>
            <w:tcW w:type="dxa" w:w="30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Source-shaped staging copies, mapped to canonical later.</w:t>
            </w:r>
          </w:p>
        </w:tc>
        <w:tc>
          <w:tcPr>
            <w:tcW w:type="dxa" w:w="41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plant will never remodel its databases to suit us. Rejected: forcing data into the canonical schema on import, which breaks on the first unexpected source.</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How joins are authored</w:t>
            </w:r>
          </w:p>
        </w:tc>
        <w:tc>
          <w:tcPr>
            <w:tcW w:type="dxa" w:w="30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Explicit, versioned, mapping-authored safe-SQL views + a business-key dictionary.</w:t>
            </w:r>
          </w:p>
        </w:tc>
        <w:tc>
          <w:tcPr>
            <w:tcW w:type="dxa" w:w="41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Real plants have no single universal key. Rejected: automatic join inference — unauditable and fails silently.</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How intelligence escalates</w:t>
            </w:r>
          </w:p>
        </w:tc>
        <w:tc>
          <w:tcPr>
            <w:tcW w:type="dxa" w:w="30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 → Information → Simple → Advanced → Suggestions → Assistant.</w:t>
            </w:r>
          </w:p>
        </w:tc>
        <w:tc>
          <w:tcPr>
            <w:tcW w:type="dxa" w:w="41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Trust is built in stages; users see transparent math before AI. Rejected: raw-data-to-chatbot, a black box buyers distrust.</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Who computes the numbers</w:t>
            </w:r>
          </w:p>
        </w:tc>
        <w:tc>
          <w:tcPr>
            <w:tcW w:type="dxa" w:w="30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Deterministic engines compute; the assistant narrates with citations.</w:t>
            </w:r>
          </w:p>
        </w:tc>
        <w:tc>
          <w:tcPr>
            <w:tcW w:type="dxa" w:w="41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Every figure stays reproducible and defensible. Rejected: letting the LLM do arithmetic or rank findings.</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How pages are built</w:t>
            </w:r>
          </w:p>
        </w:tc>
        <w:tc>
          <w:tcPr>
            <w:tcW w:type="dxa" w:w="30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Composed from Page + Widget definitions via the HMI.</w:t>
            </w:r>
          </w:p>
        </w:tc>
        <w:tc>
          <w:tcPr>
            <w:tcW w:type="dxa" w:w="41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One generic mechanism, not 100k endpoints. Rejected: bespoke pages per chart.</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What the demo is</w:t>
            </w:r>
          </w:p>
        </w:tc>
        <w:tc>
          <w:tcPr>
            <w:tcW w:type="dxa" w:w="30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first real release on prepared data, built entirely through the HMI.</w:t>
            </w:r>
          </w:p>
        </w:tc>
        <w:tc>
          <w:tcPr>
            <w:tcW w:type="dxa" w:w="41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If we hardcode, we fake ourselves and miss real bugs. Rejected: a separate demo app or hardcoded screens.</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Where the assistant model runs (new)</w:t>
            </w:r>
          </w:p>
        </w:tc>
        <w:tc>
          <w:tcPr>
            <w:tcW w:type="dxa" w:w="30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swappable model gateway: self-hosted by default for Enterprise/on-prem, a contracted zero-retention private endpoint for SaaS, or bring-your-own-model.</w:t>
            </w:r>
          </w:p>
        </w:tc>
        <w:tc>
          <w:tcPr>
            <w:tcW w:type="dxa" w:w="41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Customer data sovereignty is non-negotiable. Rejected: hardwiring one public LLM and shipping raw plant data to it.</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Multi-tenant vs on-prem (new)</w:t>
            </w:r>
          </w:p>
        </w:tc>
        <w:tc>
          <w:tcPr>
            <w:tcW w:type="dxa" w:w="30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One codebase: TenantId + database row-level security for shared SaaS; the same code single-tenant for dedicated and air-gapped.</w:t>
            </w:r>
          </w:p>
        </w:tc>
        <w:tc>
          <w:tcPr>
            <w:tcW w:type="dxa" w:w="41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Two forks would diverge and double the bugs. Rejected: a separate on-prem product.</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Time-series at scale (new)</w:t>
            </w:r>
          </w:p>
        </w:tc>
        <w:tc>
          <w:tcPr>
            <w:tcW w:type="dxa" w:w="30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Time-series-optimized staging — hypertables / columnar partitioning, compression, downsampling, retention.</w:t>
            </w:r>
          </w:p>
        </w:tc>
        <w:tc>
          <w:tcPr>
            <w:tcW w:type="dxa" w:w="41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Process parameters are billions of rows. Rejected: a naive row-per-observation table in vanilla Postgres.</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How we reach plant data (new)</w:t>
            </w:r>
          </w:p>
        </w:tc>
        <w:tc>
          <w:tcPr>
            <w:tcW w:type="dxa" w:w="30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 Edge Collector in the customer DMZ pushes data one-way; change-data-capture or a read replica is preferred over polling the primary.</w:t>
            </w:r>
          </w:p>
        </w:tc>
        <w:tc>
          <w:tcPr>
            <w:tcW w:type="dxa" w:w="41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Plant IT will not let an app query the live historian every two minutes. Rejected: the core app opening connections into the OT network.</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Configurator skill (new)</w:t>
            </w:r>
          </w:p>
        </w:tc>
        <w:tc>
          <w:tcPr>
            <w:tcW w:type="dxa" w:w="30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no-code visual mapper + industry templates for the common case; safe-SQL for the long tail.</w:t>
            </w:r>
          </w:p>
        </w:tc>
        <w:tc>
          <w:tcPr>
            <w:tcW w:type="dxa" w:w="41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SQL-only product cannot scale to many plants. Rejected: requiring a SQL author for every dashboard.</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How value is proven (new)</w:t>
            </w:r>
          </w:p>
        </w:tc>
        <w:tc>
          <w:tcPr>
            <w:tcW w:type="dxa" w:w="30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demo proves the engine; a Proof-of-Value pilot proves the signal on the customer's own data.</w:t>
            </w:r>
          </w:p>
        </w:tc>
        <w:tc>
          <w:tcPr>
            <w:tcW w:type="dxa" w:w="41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Synthetic data can only prove the machinery runs. Rejected: claiming the demo proves real-world discovery.</w:t>
            </w:r>
          </w:p>
        </w:tc>
      </w:tr>
    </w:tbl>
    <w:p>
      <w:pPr>
        <w:pStyle w:val="Heading2"/>
      </w:pPr>
      <w:r>
        <w:t xml:space="preserve">0.2 What v5 hardens over v4 (the change ledger)</w:t>
      </w:r>
    </w:p>
    <w:p>
      <w:pPr>
        <w:spacing w:after="140" w:before="0" w:line="274"/>
      </w:pPr>
      <w:r>
        <w:rPr>
          <w:color w:val="16202D"/>
          <w:sz w:val="20"/>
          <w:szCs w:val="20"/>
        </w:rPr>
        <w:t xml:space="preserve">Every gap and partial surfaced in a buyer-side review of v4 is closed here. This table is the proof and the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0"/>
        <w:gridCol w:w="1960"/>
      </w:tblGrid>
      <w:tr>
        <w:trPr>
          <w:tblHeader/>
        </w:trPr>
        <w:tc>
          <w:tcPr>
            <w:tcW w:type="dxa" w:w="7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Hardened area — what v5 now commits</w:t>
            </w:r>
          </w:p>
        </w:tc>
        <w:tc>
          <w:tcPr>
            <w:tcW w:type="dxa" w:w="19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Home</w:t>
            </w:r>
          </w:p>
        </w:tc>
      </w:tr>
      <w:tr>
        <w:tc>
          <w:tcPr>
            <w:tcW w:type="dxa" w:w="7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 egress &amp; model governance — provider, exactly what leaves the plant, retention/training opt-out, bring-your-own-model</w:t>
            </w:r>
          </w:p>
        </w:tc>
        <w:tc>
          <w:tcPr>
            <w:tcW w:type="dxa" w:w="1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§7.8</w:t>
            </w:r>
          </w:p>
        </w:tc>
      </w:tr>
      <w:tr>
        <w:tc>
          <w:tcPr>
            <w:tcW w:type="dxa" w:w="7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Identity &amp; authentication — Argon2id, MFA, SSO/SCIM, session policy, retire the localStorage token</w:t>
            </w:r>
          </w:p>
        </w:tc>
        <w:tc>
          <w:tcPr>
            <w:tcW w:type="dxa" w:w="1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§10.2</w:t>
            </w:r>
          </w:p>
        </w:tc>
      </w:tr>
      <w:tr>
        <w:tc>
          <w:tcPr>
            <w:tcW w:type="dxa" w:w="7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Licensing — signed offline-verifiable entitlements, subscription/perpetual, expiration behaviour, anti-tamper</w:t>
            </w:r>
          </w:p>
        </w:tc>
        <w:tc>
          <w:tcPr>
            <w:tcW w:type="dxa" w:w="1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§9.3-9.5</w:t>
            </w:r>
          </w:p>
        </w:tc>
      </w:tr>
      <w:tr>
        <w:tc>
          <w:tcPr>
            <w:tcW w:type="dxa" w:w="7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OT-safe data acquisition — Edge Collector, CDC/replica, source-load budget, initial historical backfill</w:t>
            </w:r>
          </w:p>
        </w:tc>
        <w:tc>
          <w:tcPr>
            <w:tcW w:type="dxa" w:w="1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§4.6-4.8</w:t>
            </w:r>
          </w:p>
        </w:tc>
      </w:tr>
      <w:tr>
        <w:tc>
          <w:tcPr>
            <w:tcW w:type="dxa" w:w="7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Connector breadth — process historians (PI / IP.21), OPC-UA, MQTT/Kafka, SAP / REST / LIMS</w:t>
            </w:r>
          </w:p>
        </w:tc>
        <w:tc>
          <w:tcPr>
            <w:tcW w:type="dxa" w:w="1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§4.7</w:t>
            </w:r>
          </w:p>
        </w:tc>
      </w:tr>
      <w:tr>
        <w:tc>
          <w:tcPr>
            <w:tcW w:type="dxa" w:w="7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Upstream schema-drift detection &amp; mapping health</w:t>
            </w:r>
          </w:p>
        </w:tc>
        <w:tc>
          <w:tcPr>
            <w:tcW w:type="dxa" w:w="1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§4.9</w:t>
            </w:r>
          </w:p>
        </w:tc>
      </w:tr>
      <w:tr>
        <w:tc>
          <w:tcPr>
            <w:tcW w:type="dxa" w:w="7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Time-series scale, sizing &amp; hosting — reference architecture and footprint by plant size</w:t>
            </w:r>
          </w:p>
        </w:tc>
        <w:tc>
          <w:tcPr>
            <w:tcW w:type="dxa" w:w="1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§16.2-16.3</w:t>
            </w:r>
          </w:p>
        </w:tc>
      </w:tr>
      <w:tr>
        <w:tc>
          <w:tcPr>
            <w:tcW w:type="dxa" w:w="7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Cold-start &amp; time-to-maturity — what day 1 shows; how history accelerates readiness</w:t>
            </w:r>
          </w:p>
        </w:tc>
        <w:tc>
          <w:tcPr>
            <w:tcW w:type="dxa" w:w="1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§6.3</w:t>
            </w:r>
          </w:p>
        </w:tc>
      </w:tr>
      <w:tr>
        <w:tc>
          <w:tcPr>
            <w:tcW w:type="dxa" w:w="7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Blended-heat genealogy — casting-transition provenance with weighting</w:t>
            </w:r>
          </w:p>
        </w:tc>
        <w:tc>
          <w:tcPr>
            <w:tcW w:type="dxa" w:w="1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§5.3</w:t>
            </w:r>
          </w:p>
        </w:tc>
      </w:tr>
      <w:tr>
        <w:tc>
          <w:tcPr>
            <w:tcW w:type="dxa" w:w="7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Data-coverage honesty — no silent survivorship; every analysis states its population</w:t>
            </w:r>
          </w:p>
        </w:tc>
        <w:tc>
          <w:tcPr>
            <w:tcW w:type="dxa" w:w="1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§5.4</w:t>
            </w:r>
          </w:p>
        </w:tc>
      </w:tr>
      <w:tr>
        <w:tc>
          <w:tcPr>
            <w:tcW w:type="dxa" w:w="7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Defect-label quality — noisy-label handling and cross-device catalog harmonization</w:t>
            </w:r>
          </w:p>
        </w:tc>
        <w:tc>
          <w:tcPr>
            <w:tcW w:type="dxa" w:w="1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§5.5</w:t>
            </w:r>
          </w:p>
        </w:tc>
      </w:tr>
      <w:tr>
        <w:tc>
          <w:tcPr>
            <w:tcW w:type="dxa" w:w="7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Accessibility &amp; internationalization — WCAG 2.1 AA, contrast-safe theme, RTL, units, timezones</w:t>
            </w:r>
          </w:p>
        </w:tc>
        <w:tc>
          <w:tcPr>
            <w:tcW w:type="dxa" w:w="1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§8.6-8.7</w:t>
            </w:r>
          </w:p>
        </w:tc>
      </w:tr>
      <w:tr>
        <w:tc>
          <w:tcPr>
            <w:tcW w:type="dxa" w:w="7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Concurrency &amp; collaboration — optimistic locking, presence, conflict resolution</w:t>
            </w:r>
          </w:p>
        </w:tc>
        <w:tc>
          <w:tcPr>
            <w:tcW w:type="dxa" w:w="1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§8.9, §12.3</w:t>
            </w:r>
          </w:p>
        </w:tc>
      </w:tr>
      <w:tr>
        <w:tc>
          <w:tcPr>
            <w:tcW w:type="dxa" w:w="7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Assistant assurance — evaluation harness, tool-selection tests, model-version governance</w:t>
            </w:r>
          </w:p>
        </w:tc>
        <w:tc>
          <w:tcPr>
            <w:tcW w:type="dxa" w:w="1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§7.9</w:t>
            </w:r>
          </w:p>
        </w:tc>
      </w:tr>
      <w:tr>
        <w:tc>
          <w:tcPr>
            <w:tcW w:type="dxa" w:w="7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Security, privacy &amp; compliance — secure SDLC, SOC 2 / ISO 27001, GDPR, GxP / 21 CFR Part 11</w:t>
            </w:r>
          </w:p>
        </w:tc>
        <w:tc>
          <w:tcPr>
            <w:tcW w:type="dxa" w:w="1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§18</w:t>
            </w:r>
          </w:p>
        </w:tc>
      </w:tr>
      <w:tr>
        <w:tc>
          <w:tcPr>
            <w:tcW w:type="dxa" w:w="7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Value, ROI &amp; competitive positioning — payback model and where PPIQ wins</w:t>
            </w:r>
          </w:p>
        </w:tc>
        <w:tc>
          <w:tcPr>
            <w:tcW w:type="dxa" w:w="1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§19</w:t>
            </w:r>
          </w:p>
        </w:tc>
      </w:tr>
    </w:tbl>
    <w:p>
      <w:pPr>
        <w:spacing w:after="60"/>
      </w:pPr>
      <w:r>
        <w:t xml:space="preserve"/>
      </w:r>
    </w:p>
    <w:p>
      <w:pPr>
        <w:pStyle w:val="Heading2"/>
      </w:pPr>
      <w:r>
        <w:t xml:space="preserve">0.3 What v5.1 adds — a buyer plain-terms layer</w:t>
      </w:r>
    </w:p>
    <w:p>
      <w:pPr>
        <w:spacing w:after="140" w:before="0" w:line="274"/>
      </w:pPr>
      <w:r>
        <w:rPr>
          <w:color w:val="16202D"/>
          <w:sz w:val="20"/>
          <w:szCs w:val="20"/>
        </w:rPr>
        <w:t xml:space="preserve">v5.0 already answered the hard technical and commercial questions. v5.1 keeps every word of v5.0 and adds, at the end of each chapter, a short "in plain terms — for buyers, not engineers" section carrying the customer-facing tables, simple logic diagrams and flowcharts a procurement team and a skeptical plant manager ask for. It also makes several v5.0 commitments concrete: exact entitlement axes, hard-vs-soft caps, the licence lifecycle, the capability-by-role matrix, the configuration-capability matrix, the assistant assurance targets, named-seat policy, password / MFA specifics, a connector certification table and the OT one-way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How to read v5.1</w:t>
            </w:r>
          </w:p>
          <w:p>
            <w:pPr>
              <w:spacing w:after="0" w:line="256"/>
            </w:pPr>
            <w:r>
              <w:rPr>
                <w:color w:val="16202D"/>
                <w:sz w:val="18"/>
                <w:szCs w:val="18"/>
              </w:rPr>
              <w:t xml:space="preserve">Engineers read the chapter body; buyers can read the "B · in plain terms" section at the end of each chapter. Every customer table, diagram and flowchart lives there, consistent with the engineering text above it.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Core target statement</w:t>
            </w:r>
          </w:p>
          <w:p>
            <w:pPr>
              <w:spacing w:after="0" w:line="256"/>
            </w:pPr>
            <w:r>
              <w:rPr>
                <w:color w:val="16202D"/>
                <w:sz w:val="18"/>
                <w:szCs w:val="18"/>
              </w:rPr>
              <w:t xml:space="preserve">PlantProcess IQ is a configurable, read-only process-to-quality intelligence layer for manufacturing plants. It connects fragmented plant data through an OT-safe collector, stages source-shaped copies in a time-series-optimized store, maps them into a canonical manufacturing model through an explicit, versioned mapping engine, composes dynamic dashboards and widgets from data (never hardcoded), runs transparent simple analysis and credible advanced analysis, quantifies business impact in euros, generates deterministic evidence-ranked suggestions, and answers through a grounded AI assistant that explains the math but never invents it — all without replacing the customer's MES, L2, SCADA, PLC or BI, all under enterprise-grade security, identity and licensing, and all provable on the customer's own data.</w:t>
            </w:r>
          </w:p>
        </w:tc>
      </w:tr>
    </w:tbl>
    <w:p>
      <w:pPr>
        <w:pStyle w:val="Heading1"/>
      </w:pPr>
      <w:r>
        <w:t xml:space="preserve">1 · Executive Product Target &amp; the Three-Sensations North Star</w:t>
      </w:r>
    </w:p>
    <w:p>
      <w:pPr>
        <w:pBdr>
          <w:bottom w:val="single" w:color="00D4FF" w:sz="14" w:space="1"/>
        </w:pBdr>
        <w:spacing w:after="140" w:before="20"/>
      </w:pPr>
      <w:r>
        <w:t xml:space="preserve"/>
      </w:r>
    </w:p>
    <w:p>
      <w:pPr>
        <w:spacing w:after="140" w:before="0" w:line="274"/>
      </w:pPr>
      <w:r>
        <w:rPr>
          <w:color w:val="16202D"/>
          <w:sz w:val="20"/>
          <w:szCs w:val="20"/>
        </w:rPr>
        <w:t xml:space="preserve">PPIQ is not a dashboard project. It is a generic plant-intelligence platform that lets each plant connect its own sources, define its own mappings, build its own pages, monitor its own jobs, and investigate its own quality, downtime and KPI questions — with evidence. It carries the user from fragmented raw data to trustworthy operational understanding, and never asks for blind faith in a black box.</w:t>
      </w:r>
    </w:p>
    <w:p>
      <w:pPr>
        <w:spacing w:after="140" w:before="0" w:line="274"/>
      </w:pPr>
      <w:r>
        <w:rPr>
          <w:color w:val="16202D"/>
          <w:sz w:val="20"/>
          <w:szCs w:val="20"/>
        </w:rPr>
        <w:t xml:space="preserve">Everything serves one emotional target, the North Star: three sensations the buyer must feel in the first demo. v5 keeps each operational and adds the fourth proof a buyer signs against — that the value is measured in euros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2450"/>
        <w:gridCol w:w="2150"/>
        <w:gridCol w:w="2910"/>
      </w:tblGrid>
      <w:tr>
        <w:trPr>
          <w:tblHeader/>
        </w:trPr>
        <w:tc>
          <w:tcPr>
            <w:tcW w:type="dxa" w:w="18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Sensation</w:t>
            </w:r>
          </w:p>
        </w:tc>
        <w:tc>
          <w:tcPr>
            <w:tcW w:type="dxa" w:w="24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it means to the buyer</w:t>
            </w:r>
          </w:p>
        </w:tc>
        <w:tc>
          <w:tcPr>
            <w:tcW w:type="dxa" w:w="21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delivers it</w:t>
            </w:r>
          </w:p>
        </w:tc>
        <w:tc>
          <w:tcPr>
            <w:tcW w:type="dxa" w:w="291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How it is proven live</w:t>
            </w:r>
          </w:p>
        </w:tc>
      </w:tr>
      <w:tr>
        <w:tc>
          <w:tcPr>
            <w:tcW w:type="dxa" w:w="18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"It already speaks my plant."</w:t>
            </w:r>
          </w:p>
        </w:tc>
        <w:tc>
          <w:tcPr>
            <w:tcW w:type="dxa" w:w="24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system understood my data, my keys, my line — without me remodelling anything.</w:t>
            </w:r>
          </w:p>
        </w:tc>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OT-safe collector + source-shaped staging + the mapping engine + canonical genealogy (§4-5).</w:t>
            </w:r>
          </w:p>
        </w:tc>
        <w:tc>
          <w:tcPr>
            <w:tcW w:type="dxa" w:w="29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Connect a real source, map it, and walk a genealogy thread from a coil back to its melt — on the customer's own key names.</w:t>
            </w:r>
          </w:p>
        </w:tc>
      </w:tr>
      <w:tr>
        <w:tc>
          <w:tcPr>
            <w:tcW w:type="dxa" w:w="18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"It told me something I didn't know — and proved it."</w:t>
            </w:r>
          </w:p>
        </w:tc>
        <w:tc>
          <w:tcPr>
            <w:tcW w:type="dxa" w:w="24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non-obvious quality/downtime driver, with the evidence and method shown.</w:t>
            </w:r>
          </w:p>
        </w:tc>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Advanced analysis + value model + deterministic suggestions (§6-7).</w:t>
            </w:r>
          </w:p>
        </w:tc>
        <w:tc>
          <w:tcPr>
            <w:tcW w:type="dxa" w:w="29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Run an inspection job on a real defect; surface a stable, stratified, evidence-ranked suspected contributor with a quantified euro impact range.</w:t>
            </w:r>
          </w:p>
        </w:tc>
      </w:tr>
      <w:tr>
        <w:tc>
          <w:tcPr>
            <w:tcW w:type="dxa" w:w="18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"It won't embarrass me."</w:t>
            </w:r>
          </w:p>
        </w:tc>
        <w:tc>
          <w:tcPr>
            <w:tcW w:type="dxa" w:w="24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 can click anything in front of my boss or my customer and nothing breaks or lies.</w:t>
            </w:r>
          </w:p>
        </w:tc>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Zero-Defect Quality Bar + the honesty contract (§2, §13).</w:t>
            </w:r>
          </w:p>
        </w:tc>
        <w:tc>
          <w:tcPr>
            <w:tcW w:type="dxa" w:w="29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Every button works; every slow call shows progress; no "could not load"; the assistant refuses to guess and cites every number.</w:t>
            </w:r>
          </w:p>
        </w:tc>
      </w:tr>
      <w:tr>
        <w:tc>
          <w:tcPr>
            <w:tcW w:type="dxa" w:w="18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"And it pays for itself."</w:t>
            </w:r>
          </w:p>
        </w:tc>
        <w:tc>
          <w:tcPr>
            <w:tcW w:type="dxa" w:w="24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money it saves is bigger than what it costs, and I can see the arithmetic.</w:t>
            </w:r>
          </w:p>
        </w:tc>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value engine + the ROI model + the Proof-of-Value pilot (§7.5, §19, §14.5).</w:t>
            </w:r>
          </w:p>
        </w:tc>
        <w:tc>
          <w:tcPr>
            <w:tcW w:type="dxa" w:w="29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worked business case on the customer's own pilot data, with payback period and every input drill-throughable.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Layer of the journey</w:t>
            </w:r>
          </w:p>
        </w:tc>
        <w:tc>
          <w:tcPr>
            <w:tcW w:type="dxa" w:w="56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Target outcome</w:t>
            </w:r>
          </w:p>
        </w:tc>
      </w:tr>
      <w:tr>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 — raw source-shaped copies (PostgreSQL, MSSQL, MySQL, Oracle, historians, OPC-UA, files)</w:t>
            </w:r>
          </w:p>
        </w:tc>
        <w:tc>
          <w:tcPr>
            <w:tcW w:type="dxa" w:w="5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system speaks the plant without forcing it to remodel its databases.</w:t>
            </w:r>
          </w:p>
        </w:tc>
      </w:tr>
      <w:tr>
        <w:tc>
          <w:tcPr>
            <w:tcW w:type="dxa" w:w="3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Information — mapped canonical entities, business keys, genealogy, parameters, defects, downtime, KPIs</w:t>
            </w:r>
          </w:p>
        </w:tc>
        <w:tc>
          <w:tcPr>
            <w:tcW w:type="dxa" w:w="5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Raw data becomes joinable, navigable, explainable plant information.</w:t>
            </w:r>
          </w:p>
        </w:tc>
      </w:tr>
      <w:tr>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Simple analysis — counts, rates, averages, trends, thresholds, KPI formulas</w:t>
            </w:r>
          </w:p>
        </w:tc>
        <w:tc>
          <w:tcPr>
            <w:tcW w:type="dxa" w:w="5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Immediate, transparent insight with zero AI dependency.</w:t>
            </w:r>
          </w:p>
        </w:tc>
      </w:tr>
      <w:tr>
        <w:tc>
          <w:tcPr>
            <w:tcW w:type="dxa" w:w="3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Advanced analysis — correlation, stability, stratification, suspected-contributor ranking, risk</w:t>
            </w:r>
          </w:p>
        </w:tc>
        <w:tc>
          <w:tcPr>
            <w:tcW w:type="dxa" w:w="5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Patterns hard to see by hand, with method and evidence on the surface.</w:t>
            </w:r>
          </w:p>
        </w:tc>
      </w:tr>
      <w:tr>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Suggestions — evidence-linked, impact-ranked next actions</w:t>
            </w:r>
          </w:p>
        </w:tc>
        <w:tc>
          <w:tcPr>
            <w:tcW w:type="dxa" w:w="5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product proposes what to inspect, tune, monitor or validate next — never a guaranteed root cause.</w:t>
            </w:r>
          </w:p>
        </w:tc>
      </w:tr>
      <w:tr>
        <w:tc>
          <w:tcPr>
            <w:tcW w:type="dxa" w:w="3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AI assistant — grounded conversation over approved evidence and tools</w:t>
            </w:r>
          </w:p>
        </w:tc>
        <w:tc>
          <w:tcPr>
            <w:tcW w:type="dxa" w:w="5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Natural-language questions answered with cited evidence and guided next steps.</w:t>
            </w:r>
          </w:p>
        </w:tc>
      </w:tr>
    </w:tbl>
    <w:p>
      <w:pPr>
        <w:pStyle w:val="Heading2"/>
      </w:pPr>
      <w:r>
        <w:t xml:space="preserve">1.B · In plain terms — for buyers, not engineers</w:t>
      </w:r>
    </w:p>
    <w:p>
      <w:pPr>
        <w:spacing w:after="120" w:before="0" w:line="274"/>
      </w:pPr>
      <w:r>
        <w:rPr>
          <w:i/>
          <w:iCs/>
          <w:color w:val="8EA7C1"/>
          <w:sz w:val="19"/>
          <w:szCs w:val="19"/>
        </w:rPr>
        <w:t xml:space="preserve">Who buys PlantProcess IQ, the pain it removes, and the one thing that proves it in the first meeting.</w:t>
      </w:r>
    </w:p>
    <w:p>
      <w:pPr>
        <w:spacing w:after="60" w:before="80" w:line="274"/>
      </w:pPr>
      <w:r>
        <w:rPr>
          <w:b/>
          <w:bCs/>
          <w:color w:val="102A43"/>
          <w:sz w:val="18"/>
          <w:szCs w:val="18"/>
        </w:rPr>
        <w:t xml:space="preserve">▸ Buyer summary by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440"/>
        <w:gridCol w:w="2440"/>
        <w:gridCol w:w="2440"/>
      </w:tblGrid>
      <w:tr>
        <w:trPr>
          <w:tblHeader/>
        </w:trPr>
        <w:tc>
          <w:tcPr>
            <w:tcW w:type="dxa" w:w="204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Buyer</w:t>
            </w:r>
          </w:p>
        </w:tc>
        <w:tc>
          <w:tcPr>
            <w:tcW w:type="dxa" w:w="244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Main pain</w:t>
            </w:r>
          </w:p>
        </w:tc>
        <w:tc>
          <w:tcPr>
            <w:tcW w:type="dxa" w:w="244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PPIQ solves</w:t>
            </w:r>
          </w:p>
        </w:tc>
        <w:tc>
          <w:tcPr>
            <w:tcW w:type="dxa" w:w="244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Demo proof</w:t>
            </w:r>
          </w:p>
        </w:tc>
      </w:tr>
      <w:tr>
        <w:tc>
          <w:tcPr>
            <w:tcW w:type="dxa" w:w="20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Plant Manager</w:t>
            </w:r>
          </w:p>
        </w:tc>
        <w:tc>
          <w:tcPr>
            <w:tcW w:type="dxa" w:w="24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Losses and downtime</w:t>
            </w:r>
          </w:p>
        </w:tc>
        <w:tc>
          <w:tcPr>
            <w:tcW w:type="dxa" w:w="24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Euro impact and priority actions</w:t>
            </w:r>
          </w:p>
        </w:tc>
        <w:tc>
          <w:tcPr>
            <w:tcW w:type="dxa" w:w="24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Monthly value report</w:t>
            </w:r>
          </w:p>
        </w:tc>
      </w:tr>
      <w:tr>
        <w:tc>
          <w:tcPr>
            <w:tcW w:type="dxa" w:w="20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Quality Manager</w:t>
            </w:r>
          </w:p>
        </w:tc>
        <w:tc>
          <w:tcPr>
            <w:tcW w:type="dxa" w:w="24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Defects and claims</w:t>
            </w:r>
          </w:p>
        </w:tc>
        <w:tc>
          <w:tcPr>
            <w:tcW w:type="dxa" w:w="24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Defect-driver investigation</w:t>
            </w:r>
          </w:p>
        </w:tc>
        <w:tc>
          <w:tcPr>
            <w:tcW w:type="dxa" w:w="24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Edge-crack / defect story</w:t>
            </w:r>
          </w:p>
        </w:tc>
      </w:tr>
      <w:tr>
        <w:tc>
          <w:tcPr>
            <w:tcW w:type="dxa" w:w="20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Process Engineer</w:t>
            </w:r>
          </w:p>
        </w:tc>
        <w:tc>
          <w:tcPr>
            <w:tcW w:type="dxa" w:w="24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Manual investigation in Excel</w:t>
            </w:r>
          </w:p>
        </w:tc>
        <w:tc>
          <w:tcPr>
            <w:tcW w:type="dxa" w:w="24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Heat-to-coil genealogy and analysis</w:t>
            </w:r>
          </w:p>
        </w:tc>
        <w:tc>
          <w:tcPr>
            <w:tcW w:type="dxa" w:w="24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One-click genealogy</w:t>
            </w:r>
          </w:p>
        </w:tc>
      </w:tr>
      <w:tr>
        <w:tc>
          <w:tcPr>
            <w:tcW w:type="dxa" w:w="20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IT / OT Manager</w:t>
            </w:r>
          </w:p>
        </w:tc>
        <w:tc>
          <w:tcPr>
            <w:tcW w:type="dxa" w:w="24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Security risk</w:t>
            </w:r>
          </w:p>
        </w:tc>
        <w:tc>
          <w:tcPr>
            <w:tcW w:type="dxa" w:w="24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Read-only Edge Collector</w:t>
            </w:r>
          </w:p>
        </w:tc>
        <w:tc>
          <w:tcPr>
            <w:tcW w:type="dxa" w:w="24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 write-back architecture</w:t>
            </w:r>
          </w:p>
        </w:tc>
      </w:tr>
      <w:tr>
        <w:tc>
          <w:tcPr>
            <w:tcW w:type="dxa" w:w="20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CFO / Procurement</w:t>
            </w:r>
          </w:p>
        </w:tc>
        <w:tc>
          <w:tcPr>
            <w:tcW w:type="dxa" w:w="24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ROI uncertainty</w:t>
            </w:r>
          </w:p>
        </w:tc>
        <w:tc>
          <w:tcPr>
            <w:tcW w:type="dxa" w:w="24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Bounded value model</w:t>
            </w:r>
          </w:p>
        </w:tc>
        <w:tc>
          <w:tcPr>
            <w:tcW w:type="dxa" w:w="24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Payback model on your data</w:t>
            </w:r>
          </w:p>
        </w:tc>
      </w:tr>
    </w:tbl>
    <w:p>
      <w:pPr>
        <w:spacing w:after="60" w:before="80" w:line="274"/>
      </w:pPr>
      <w:r>
        <w:rPr>
          <w:b/>
          <w:bCs/>
          <w:color w:val="102A43"/>
          <w:sz w:val="18"/>
          <w:szCs w:val="18"/>
        </w:rPr>
        <w:t xml:space="preserve">▸ The value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Fragmented plant data (MES, L2, historian, lab, files)</w:t>
            </w:r>
          </w:p>
          <w:p>
            <w:pPr>
              <w:spacing w:after="0" w:before="0" w:line="240"/>
            </w:pPr>
            <w:r>
              <w:rPr>
                <w:rFonts w:ascii="JetBrains Mono" w:cs="JetBrains Mono" w:eastAsia="JetBrains Mono" w:hAnsi="JetBrains Mono"/>
                <w:color w:val="EAF6FF"/>
                <w:sz w:val="16"/>
                <w:szCs w:val="16"/>
              </w:rPr>
              <w:t xml:space="preserve">          |</w:t>
            </w:r>
          </w:p>
          <w:p>
            <w:pPr>
              <w:spacing w:after="0" w:before="0" w:line="240"/>
            </w:pPr>
            <w:r>
              <w:rPr>
                <w:rFonts w:ascii="JetBrains Mono" w:cs="JetBrains Mono" w:eastAsia="JetBrains Mono" w:hAnsi="JetBrains Mono"/>
                <w:color w:val="EAF6FF"/>
                <w:sz w:val="16"/>
                <w:szCs w:val="16"/>
              </w:rPr>
              <w:t xml:space="preserve">          v</w:t>
            </w:r>
          </w:p>
          <w:p>
            <w:pPr>
              <w:spacing w:after="0" w:before="0" w:line="240"/>
            </w:pPr>
            <w:r>
              <w:rPr>
                <w:rFonts w:ascii="JetBrains Mono" w:cs="JetBrains Mono" w:eastAsia="JetBrains Mono" w:hAnsi="JetBrains Mono"/>
                <w:color w:val="EAF6FF"/>
                <w:sz w:val="16"/>
                <w:szCs w:val="16"/>
              </w:rPr>
              <w:t xml:space="preserve">Understand WHY defects / losses / downtime happen   (with evidence)</w:t>
            </w:r>
          </w:p>
          <w:p>
            <w:pPr>
              <w:spacing w:after="0" w:before="0" w:line="240"/>
            </w:pPr>
            <w:r>
              <w:rPr>
                <w:rFonts w:ascii="JetBrains Mono" w:cs="JetBrains Mono" w:eastAsia="JetBrains Mono" w:hAnsi="JetBrains Mono"/>
                <w:color w:val="EAF6FF"/>
                <w:sz w:val="16"/>
                <w:szCs w:val="16"/>
              </w:rPr>
              <w:t xml:space="preserve">          |</w:t>
            </w:r>
          </w:p>
          <w:p>
            <w:pPr>
              <w:spacing w:after="0" w:before="0" w:line="240"/>
            </w:pPr>
            <w:r>
              <w:rPr>
                <w:rFonts w:ascii="JetBrains Mono" w:cs="JetBrains Mono" w:eastAsia="JetBrains Mono" w:hAnsi="JetBrains Mono"/>
                <w:color w:val="EAF6FF"/>
                <w:sz w:val="16"/>
                <w:szCs w:val="16"/>
              </w:rPr>
              <w:t xml:space="preserve">          v</w:t>
            </w:r>
          </w:p>
          <w:p>
            <w:pPr>
              <w:spacing w:after="0" w:before="0" w:line="240"/>
            </w:pPr>
            <w:r>
              <w:rPr>
                <w:rFonts w:ascii="JetBrains Mono" w:cs="JetBrains Mono" w:eastAsia="JetBrains Mono" w:hAnsi="JetBrains Mono"/>
                <w:color w:val="EAF6FF"/>
                <w:sz w:val="16"/>
                <w:szCs w:val="16"/>
              </w:rPr>
              <w:t xml:space="preserve">Euro impact  -&gt;  priority actions  -&gt;  proof it paid for itself</w:t>
            </w:r>
          </w:p>
        </w:tc>
      </w:tr>
    </w:tbl>
    <w:p>
      <w:pPr>
        <w:pStyle w:val="Heading1"/>
      </w:pPr>
      <w:r>
        <w:t xml:space="preserve">2 · Product Boundary &amp; the Honesty Contract</w:t>
      </w:r>
    </w:p>
    <w:p>
      <w:pPr>
        <w:pBdr>
          <w:bottom w:val="single" w:color="00D4FF" w:sz="14" w:space="1"/>
        </w:pBdr>
        <w:spacing w:after="140" w:before="20"/>
      </w:pPr>
      <w:r>
        <w:t xml:space="preserve"/>
      </w:r>
    </w:p>
    <w:p>
      <w:pPr>
        <w:spacing w:after="140" w:before="0" w:line="274"/>
      </w:pPr>
      <w:r>
        <w:rPr>
          <w:color w:val="16202D"/>
          <w:sz w:val="20"/>
          <w:szCs w:val="20"/>
        </w:rPr>
        <w:t xml:space="preserve">PPIQ is commercially ambitious but technically honest. Its strength is not that it replaces plant systems — it is that it connects and explains the data those systems already produce. Per the compass, the honesty contract is the product's integrity and its strongest sales asset: a skeptical process engineer trusts a tool that says "suspected contributor, here is the evidence" far more than one that promises "root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Boundary</w:t>
            </w:r>
          </w:p>
        </w:tc>
        <w:tc>
          <w:tcPr>
            <w:tcW w:type="dxa" w:w="66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Committed wording</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Not a MES replacement</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PPIQ does not execute production orders, dispatching, recipes or shop-floor commands.</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Not SCADA / L2 / PLC</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PPIQ sends no control commands and joins no real-time automation loop. It is read-only.</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Not generic BI</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PPIQ carries manufacturing semantics — genealogy, process-quality entities, analysis workflows, suggestions and assistant tooling.</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Not guaranteed-root-cause AI</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PPIQ surfaces suspected contributors, statistical patterns, risk signals and evidence-ranked recommendations.</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Not steel-only</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demo is flat steel; the architecture stays generic for aluminium, paper, pharma, automotive and discrete manufacturing.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Forbidden language</w:t>
            </w:r>
          </w:p>
        </w:tc>
        <w:tc>
          <w:tcPr>
            <w:tcW w:type="dxa" w:w="46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Approved language</w:t>
            </w:r>
          </w:p>
        </w:tc>
      </w:tr>
      <w:tr>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Guaranteed root cause</w:t>
            </w:r>
          </w:p>
        </w:tc>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Suspected / likely contributor; evidence-ranked factor</w:t>
            </w:r>
          </w:p>
        </w:tc>
      </w:tr>
      <w:tr>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AI-powered prediction; production-ready AI</w:t>
            </w:r>
          </w:p>
        </w:tc>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ML readiness; statistical learning; risk scoring; correlation analysis</w:t>
            </w:r>
          </w:p>
        </w:tc>
      </w:tr>
      <w:tr>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Live Oracle/MSSQL ready today (unless proven)</w:t>
            </w:r>
          </w:p>
        </w:tc>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Connector capability and availability shown explicitly per source type</w:t>
            </w:r>
          </w:p>
        </w:tc>
      </w:tr>
      <w:tr>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 replace MES / L2 / SCADA / BI</w:t>
            </w:r>
          </w:p>
        </w:tc>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 connect around existing systems and turn fragmented data into process-to-quality intelligence</w:t>
            </w:r>
          </w:p>
        </w:tc>
      </w:tr>
      <w:tr>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Autonomous optimization</w:t>
            </w:r>
          </w:p>
        </w:tc>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Decision support and guided investigation with human approval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honesty mechanism — enforced in code, not just promised</w:t>
            </w:r>
          </w:p>
          <w:p>
            <w:pPr>
              <w:spacing w:after="60" w:line="256"/>
            </w:pPr>
            <w:r>
              <w:rPr>
                <w:b/>
                <w:bCs/>
                <w:color w:val="16202D"/>
                <w:sz w:val="20"/>
                <w:szCs w:val="20"/>
              </w:rPr>
              <w:t xml:space="preserve">Provenance handles. </w:t>
            </w:r>
            <w:r>
              <w:rPr>
                <w:color w:val="16202D"/>
                <w:sz w:val="20"/>
                <w:szCs w:val="20"/>
              </w:rPr>
              <w:t xml:space="preserve">Every numeric or qualitative claim PPIQ surfaces — in a widget, a suggestion, or an assistant answer — carries an evidence handle resolving to a finding, job run, dataset, source table, or document section. A claim without a resolvable handle is not rendered.</w:t>
            </w:r>
          </w:p>
          <w:p>
            <w:pPr>
              <w:spacing w:after="60" w:line="256"/>
            </w:pPr>
            <w:r>
              <w:rPr>
                <w:b/>
                <w:bCs/>
                <w:color w:val="16202D"/>
                <w:sz w:val="20"/>
                <w:szCs w:val="20"/>
              </w:rPr>
              <w:t xml:space="preserve">No-fabrication guard. </w:t>
            </w:r>
            <w:r>
              <w:rPr>
                <w:color w:val="16202D"/>
                <w:sz w:val="20"/>
                <w:szCs w:val="20"/>
              </w:rPr>
              <w:t xml:space="preserve">The assistant assembles answers from tool results and retrieval only; any sentence containing a number that lacks a handle is rejected before display. The model explains the math; it never performs it.</w:t>
            </w:r>
          </w:p>
          <w:p>
            <w:pPr>
              <w:spacing w:after="0" w:line="256"/>
            </w:pPr>
            <w:r>
              <w:rPr>
                <w:b/>
                <w:bCs/>
                <w:color w:val="16202D"/>
                <w:sz w:val="20"/>
                <w:szCs w:val="20"/>
              </w:rPr>
              <w:t xml:space="preserve">Anti-facade rule. </w:t>
            </w:r>
            <w:r>
              <w:rPr>
                <w:color w:val="16202D"/>
                <w:sz w:val="20"/>
                <w:szCs w:val="20"/>
              </w:rPr>
              <w:t xml:space="preserve">Synthetic or seeded demo rows are tagged origin = seed and are forbidden from being presented as live computation. Learning jobs recompute on demo data so the demo proves the engine, not a fixture.</w:t>
            </w:r>
          </w:p>
        </w:tc>
      </w:tr>
    </w:tbl>
    <w:p>
      <w:pPr>
        <w:pStyle w:val="Heading2"/>
      </w:pPr>
      <w:r>
        <w:t xml:space="preserve">2.1 What PPIQ connects out to — and what it never does</w:t>
      </w:r>
    </w:p>
    <w:p>
      <w:pPr>
        <w:spacing w:after="140" w:before="0" w:line="274"/>
      </w:pPr>
      <w:r>
        <w:rPr>
          <w:color w:val="16202D"/>
          <w:sz w:val="20"/>
          <w:szCs w:val="20"/>
        </w:rPr>
        <w:t xml:space="preserve">A buyer asks: "if you are read-only, how do I close the loop?" The answer is that PPIQ never writes to plant control systems, but it is not a dead end. It pushes information outward and tracks whether acting on it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4760"/>
        <w:gridCol w:w="2450"/>
      </w:tblGrid>
      <w:tr>
        <w:trPr>
          <w:tblHeader/>
        </w:trPr>
        <w:tc>
          <w:tcPr>
            <w:tcW w:type="dxa" w:w="21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Outbound capability</w:t>
            </w:r>
          </w:p>
        </w:tc>
        <w:tc>
          <w:tcPr>
            <w:tcW w:type="dxa" w:w="4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it is</w:t>
            </w:r>
          </w:p>
        </w:tc>
        <w:tc>
          <w:tcPr>
            <w:tcW w:type="dxa" w:w="24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Hard limit</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Notifications &amp; alerts</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Email, Microsoft Teams, Slack or generic webhook when a threshold trips, a job fails, a risk crosses a band, or a high-impact suggestion appears.</w:t>
            </w:r>
          </w:p>
        </w:tc>
        <w:tc>
          <w:tcPr>
            <w:tcW w:type="dxa" w:w="24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Outbound message only — never a setpoint or command.</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Case &amp; action tracking</w:t>
            </w:r>
          </w:p>
        </w:tc>
        <w:tc>
          <w:tcPr>
            <w:tcW w:type="dxa" w:w="4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suggestion can be assigned an owner, worked to a status, and its outcome measured against the KPI it targeted — closing the value loop (did acting help?).</w:t>
            </w:r>
          </w:p>
        </w:tc>
        <w:tc>
          <w:tcPr>
            <w:tcW w:type="dxa" w:w="24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Tracks human action; performs none.</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Export &amp; integration API</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Read-only export of dashboards, findings and reports (PDF, Excel, open data) and a read API for the customer's own BI.</w:t>
            </w:r>
          </w:p>
        </w:tc>
        <w:tc>
          <w:tcPr>
            <w:tcW w:type="dxa" w:w="24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Egress of results, never ingress of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Read-only is absolute</w:t>
            </w:r>
          </w:p>
          <w:p>
            <w:pPr>
              <w:spacing w:after="0" w:line="256"/>
            </w:pPr>
            <w:r>
              <w:rPr>
                <w:color w:val="16202D"/>
                <w:sz w:val="18"/>
                <w:szCs w:val="18"/>
              </w:rPr>
              <w:t xml:space="preserve">PPIQ sends no setpoint, recipe, schedule change, or control command to any MES, L2, SCADA or PLC. Every outbound path is a notification, an export, or a webhook that a human or a downstream system chooses to consume. This is a security and trust feature, not a limitation — it is why the plant's automation team can approve PPIQ without a control-systems risk review.</w:t>
            </w:r>
          </w:p>
        </w:tc>
      </w:tr>
    </w:tbl>
    <w:p>
      <w:pPr>
        <w:pStyle w:val="Heading2"/>
      </w:pPr>
      <w:r>
        <w:t xml:space="preserve">2.B · In plain terms — for buyers, not engineers</w:t>
      </w:r>
    </w:p>
    <w:p>
      <w:pPr>
        <w:spacing w:after="120" w:before="0" w:line="274"/>
      </w:pPr>
      <w:r>
        <w:rPr>
          <w:i/>
          <w:iCs/>
          <w:color w:val="8EA7C1"/>
          <w:sz w:val="19"/>
          <w:szCs w:val="19"/>
        </w:rPr>
        <w:t xml:space="preserve">Where PPIQ sits next to the systems you already run — and why IT can approve it.</w:t>
      </w:r>
    </w:p>
    <w:p>
      <w:pPr>
        <w:spacing w:after="60" w:before="80" w:line="274"/>
      </w:pPr>
      <w:r>
        <w:rPr>
          <w:b/>
          <w:bCs/>
          <w:color w:val="102A43"/>
          <w:sz w:val="18"/>
          <w:szCs w:val="18"/>
        </w:rPr>
        <w:t xml:space="preserve">▸ PPIQ vs the systems you already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700"/>
        <w:gridCol w:w="1500"/>
        <w:gridCol w:w="3300"/>
      </w:tblGrid>
      <w:tr>
        <w:trPr>
          <w:tblHeader/>
        </w:trPr>
        <w:tc>
          <w:tcPr>
            <w:tcW w:type="dxa" w:w="18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System</w:t>
            </w:r>
          </w:p>
        </w:tc>
        <w:tc>
          <w:tcPr>
            <w:tcW w:type="dxa" w:w="2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it is for</w:t>
            </w:r>
          </w:p>
        </w:tc>
        <w:tc>
          <w:tcPr>
            <w:tcW w:type="dxa" w:w="15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Commands the plant?</w:t>
            </w:r>
          </w:p>
        </w:tc>
        <w:tc>
          <w:tcPr>
            <w:tcW w:type="dxa" w:w="3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PPIQ relationship</w:t>
            </w:r>
          </w:p>
        </w:tc>
      </w:tr>
      <w:tr>
        <w:tc>
          <w:tcPr>
            <w:tcW w:type="dxa" w:w="1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MES / Level 2</w:t>
            </w:r>
          </w:p>
        </w:tc>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Execution and tracking</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PPIQ reads from it; never writes</w:t>
            </w:r>
          </w:p>
        </w:tc>
      </w:tr>
      <w:tr>
        <w:tc>
          <w:tcPr>
            <w:tcW w:type="dxa" w:w="1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SCADA / PLC</w:t>
            </w:r>
          </w:p>
        </w:tc>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Real-time control</w:t>
            </w:r>
          </w:p>
        </w:tc>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PPIQ never connects to control; reads via historian / DB</w:t>
            </w:r>
          </w:p>
        </w:tc>
      </w:tr>
      <w:tr>
        <w:tc>
          <w:tcPr>
            <w:tcW w:type="dxa" w:w="1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Historian</w:t>
            </w:r>
          </w:p>
        </w:tc>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Time-series archive</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PPIQ reads tags, read-only</w:t>
            </w:r>
          </w:p>
        </w:tc>
      </w:tr>
      <w:tr>
        <w:tc>
          <w:tcPr>
            <w:tcW w:type="dxa" w:w="1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BI (Power BI / Qlik)</w:t>
            </w:r>
          </w:p>
        </w:tc>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Charts on data you prepared</w:t>
            </w:r>
          </w:p>
        </w:tc>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PPIQ feeds it (read API) or replaces ad-hoc joins</w:t>
            </w:r>
          </w:p>
        </w:tc>
      </w:tr>
      <w:tr>
        <w:tc>
          <w:tcPr>
            <w:tcW w:type="dxa" w:w="1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PlantProcess IQ</w:t>
            </w:r>
          </w:p>
        </w:tc>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Cross-system process-to-quality intelligence</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 — read-only</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Connects and explains; commands nothing</w:t>
            </w:r>
          </w:p>
        </w:tc>
      </w:tr>
    </w:tbl>
    <w:p>
      <w:pPr>
        <w:spacing w:after="60" w:before="80" w:line="274"/>
      </w:pPr>
      <w:r>
        <w:rPr>
          <w:b/>
          <w:bCs/>
          <w:color w:val="102A43"/>
          <w:sz w:val="18"/>
          <w:szCs w:val="18"/>
        </w:rPr>
        <w:t xml:space="preserve">▸ The read-only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Plant systems            PlantProcess IQ              People / BI</w:t>
            </w:r>
          </w:p>
          <w:p>
            <w:pPr>
              <w:spacing w:after="0" w:before="0" w:line="240"/>
            </w:pPr>
            <w:r>
              <w:rPr>
                <w:rFonts w:ascii="JetBrains Mono" w:cs="JetBrains Mono" w:eastAsia="JetBrains Mono" w:hAnsi="JetBrains Mono"/>
                <w:color w:val="EAF6FF"/>
                <w:sz w:val="16"/>
                <w:szCs w:val="16"/>
              </w:rPr>
              <w:t xml:space="preserve">MES L2 SCADA Historian  --(read-only)--&gt;  engines  --(results only)--&gt;  dashboards, reports, API</w:t>
            </w:r>
          </w:p>
          <w:p>
            <w:pPr>
              <w:spacing w:after="0" w:before="0" w:line="240"/>
            </w:pPr>
            <w:r>
              <w:rPr>
                <w:rFonts w:ascii="JetBrains Mono" w:cs="JetBrains Mono" w:eastAsia="JetBrains Mono" w:hAnsi="JetBrains Mono"/>
                <w:color w:val="EAF6FF"/>
                <w:sz w:val="16"/>
                <w:szCs w:val="16"/>
              </w:rPr>
              <w:t xml:space="preserve">        ^                                                                         </w:t>
            </w:r>
          </w:p>
          <w:p>
            <w:pPr>
              <w:spacing w:after="0" w:before="0" w:line="240"/>
            </w:pPr>
            <w:r>
              <w:rPr>
                <w:rFonts w:ascii="JetBrains Mono" w:cs="JetBrains Mono" w:eastAsia="JetBrains Mono" w:hAnsi="JetBrains Mono"/>
                <w:color w:val="EAF6FF"/>
                <w:sz w:val="16"/>
                <w:szCs w:val="16"/>
              </w:rPr>
              <w:t xml:space="preserve">        |____________  NO setpoint / recipe / command EVER flows back  ___________X</w:t>
            </w:r>
          </w:p>
        </w:tc>
      </w:tr>
    </w:tbl>
    <w:p>
      <w:pPr>
        <w:pStyle w:val="Heading1"/>
      </w:pPr>
      <w:r>
        <w:t xml:space="preserve">3 · End-to-End Architecture Overview</w:t>
      </w:r>
    </w:p>
    <w:p>
      <w:pPr>
        <w:pBdr>
          <w:bottom w:val="single" w:color="00D4FF" w:sz="14" w:space="1"/>
        </w:pBdr>
        <w:spacing w:after="140" w:before="20"/>
      </w:pPr>
      <w:r>
        <w:t xml:space="preserve"/>
      </w:r>
    </w:p>
    <w:p>
      <w:pPr>
        <w:spacing w:after="140" w:before="0" w:line="274"/>
      </w:pPr>
      <w:r>
        <w:rPr>
          <w:color w:val="16202D"/>
          <w:sz w:val="20"/>
          <w:szCs w:val="20"/>
        </w:rPr>
        <w:t xml:space="preserve">The architecture is layered; each layer owns one responsibility and is independently testable. No layer fakes another's job: the source layer knows nothing of dashboards, the widget layer cannot bypass security, and the assistant cannot invent facts outside approved retrieval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400"/>
        <w:gridCol w:w="3810"/>
      </w:tblGrid>
      <w:tr>
        <w:trPr>
          <w:tblHeader/>
        </w:trPr>
        <w:tc>
          <w:tcPr>
            <w:tcW w:type="dxa" w:w="21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Layer</w:t>
            </w:r>
          </w:p>
        </w:tc>
        <w:tc>
          <w:tcPr>
            <w:tcW w:type="dxa" w:w="3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Responsibility</w:t>
            </w:r>
          </w:p>
        </w:tc>
        <w:tc>
          <w:tcPr>
            <w:tcW w:type="dxa" w:w="381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Key artifacts</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Ingestion &amp; Edge Collector</w:t>
            </w:r>
          </w:p>
        </w:tc>
        <w:tc>
          <w:tcPr>
            <w:tcW w:type="dxa" w:w="3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Reach sources OT-safely; pull, throttle and push one-way into staging.</w:t>
            </w:r>
          </w:p>
        </w:tc>
        <w:tc>
          <w:tcPr>
            <w:tcW w:type="dxa" w:w="38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Edge Collector agent, CDC/replica reader, source-impact budget, push channel, backfill engine</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Connector</w:t>
            </w:r>
          </w:p>
        </w:tc>
        <w:tc>
          <w:tcPr>
            <w:tcW w:type="dxa" w:w="3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Define DB/file/historian/stream links, test connectivity, list objects, read safely.</w:t>
            </w:r>
          </w:p>
        </w:tc>
        <w:tc>
          <w:tcPr>
            <w:tcW w:type="dxa" w:w="38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ConnectorProvider, DbLink, SourceObject, CredentialVault, ConnectorTruthContract</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Source-Shaped Staging</w:t>
            </w:r>
          </w:p>
        </w:tc>
        <w:tc>
          <w:tcPr>
            <w:tcW w:type="dxa" w:w="3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Hold latest source-shaped copies — relational and high-frequency time-series — not yet canonical.</w:t>
            </w:r>
          </w:p>
        </w:tc>
        <w:tc>
          <w:tcPr>
            <w:tcW w:type="dxa" w:w="38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Staging schemas, hypertables, source catalog, delta cursors, import batches</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Mapping &amp; Semantic</w:t>
            </w:r>
          </w:p>
        </w:tc>
        <w:tc>
          <w:tcPr>
            <w:tcW w:type="dxa" w:w="3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Map staged data into canonical entities, business keys, KPI views, genealogy.</w:t>
            </w:r>
          </w:p>
        </w:tc>
        <w:tc>
          <w:tcPr>
            <w:tcW w:type="dxa" w:w="38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Mapping views, SafeSqlValidator, business-key dictionary, mapping versions, visual mapper</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Canonical Plant Model</w:t>
            </w:r>
          </w:p>
        </w:tc>
        <w:tc>
          <w:tcPr>
            <w:tcW w:type="dxa" w:w="3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Represent sites, areas, equipment, materials, steps, observations, defects, downtime, lab, risk, value generically.</w:t>
            </w:r>
          </w:p>
        </w:tc>
        <w:tc>
          <w:tcPr>
            <w:tcW w:type="dxa" w:w="38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Canonical tables, read models, feature store, materialized views</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Job &amp; Workflow</w:t>
            </w:r>
          </w:p>
        </w:tc>
        <w:tc>
          <w:tcPr>
            <w:tcW w:type="dxa" w:w="3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Run sync, import, mapping validation, analytics, ML, report, indexing and demo-reset jobs.</w:t>
            </w:r>
          </w:p>
        </w:tc>
        <w:tc>
          <w:tcPr>
            <w:tcW w:type="dxa" w:w="38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Job definitions, job runs, scheduler, workers, retry/backoff, monitor</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Analysis &amp; Intelligence</w:t>
            </w:r>
          </w:p>
        </w:tc>
        <w:tc>
          <w:tcPr>
            <w:tcW w:type="dxa" w:w="3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Turn canonical data into simple math, advanced statistics/ML, value, suggestions, assistant evidence.</w:t>
            </w:r>
          </w:p>
        </w:tc>
        <w:tc>
          <w:tcPr>
            <w:tcW w:type="dxa" w:w="38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KPI engine, risk scorer, correlation engine, value engine, suggestion engine, assistant tools</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Assistant &amp; Model Gateway</w:t>
            </w:r>
          </w:p>
        </w:tc>
        <w:tc>
          <w:tcPr>
            <w:tcW w:type="dxa" w:w="3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Retrieve approved evidence; route to the LLM (self-hosted, private endpoint or BYO) under a data boundary.</w:t>
            </w:r>
          </w:p>
        </w:tc>
        <w:tc>
          <w:tcPr>
            <w:tcW w:type="dxa" w:w="38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Retrieval index, model gateway, redaction pass, evaluation harness</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UI Composition</w:t>
            </w:r>
          </w:p>
        </w:tc>
        <w:tc>
          <w:tcPr>
            <w:tcW w:type="dxa" w:w="3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Render shell, admin, dynamic pages, widgets, dashboards, reports and assistant from config + permissions.</w:t>
            </w:r>
          </w:p>
        </w:tc>
        <w:tc>
          <w:tcPr>
            <w:tcW w:type="dxa" w:w="38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Page/widget definitions, routes, feature gates, design system, i18n</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Identity, Access &amp; Governance</w:t>
            </w:r>
          </w:p>
        </w:tc>
        <w:tc>
          <w:tcPr>
            <w:tcW w:type="dxa" w:w="3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Authenticate, resolve entitlements, role permissions, tenant boundaries, audit, action gates.</w:t>
            </w:r>
          </w:p>
        </w:tc>
        <w:tc>
          <w:tcPr>
            <w:tcW w:type="dxa" w:w="38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Auth (Argon2id/MFA/SSO/SCIM), license resolver, RBAC matrix, tenant isolation, audit, usage meters</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Website &amp; Commercial</w:t>
            </w:r>
          </w:p>
        </w:tc>
        <w:tc>
          <w:tcPr>
            <w:tcW w:type="dxa" w:w="3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Explain product, ecosystem, pricing, proof, security, demo request and sales motion.</w:t>
            </w:r>
          </w:p>
        </w:tc>
        <w:tc>
          <w:tcPr>
            <w:tcW w:type="dxa" w:w="38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Website pages, screenshots, pricing matrix, inquiry flow, trust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three-contracts rule</w:t>
            </w:r>
          </w:p>
          <w:p>
            <w:pPr>
              <w:spacing w:after="0" w:line="256"/>
            </w:pPr>
            <w:r>
              <w:rPr>
                <w:color w:val="16202D"/>
                <w:sz w:val="18"/>
                <w:szCs w:val="18"/>
              </w:rPr>
              <w:t xml:space="preserve">Every important capability has three matching contracts: a backend contract (the data + endpoint), a frontend UX contract (the workflow + states), and a validation contract (the proof test). A feature is not complete because code exists; it is complete when the workflow, the security boundary, and the proof test are all green. This rule is what makes §13's quality bar enforceable rather than aspirational.</w:t>
            </w:r>
          </w:p>
        </w:tc>
      </w:tr>
    </w:tbl>
    <w:p>
      <w:pPr>
        <w:spacing w:after="140" w:before="0" w:line="274"/>
      </w:pPr>
      <w:r>
        <w:rPr>
          <w:color w:val="16202D"/>
          <w:sz w:val="20"/>
          <w:szCs w:val="20"/>
        </w:rPr>
        <w:t xml:space="preserve">Two cross-cutting realities shape the diagram. First, </w:t>
      </w:r>
      <w:r>
        <w:rPr>
          <w:b/>
          <w:bCs/>
          <w:color w:val="16202D"/>
          <w:sz w:val="20"/>
          <w:szCs w:val="20"/>
        </w:rPr>
        <w:t xml:space="preserve">storage is split by shape: </w:t>
      </w:r>
      <w:r>
        <w:rPr>
          <w:color w:val="16202D"/>
          <w:sz w:val="20"/>
          <w:szCs w:val="20"/>
        </w:rPr>
        <w:t xml:space="preserve">relational source copies live in PostgreSQL; high-frequency process parameters live in a time-series-optimized store (§16.3). Second, </w:t>
      </w:r>
      <w:r>
        <w:rPr>
          <w:b/>
          <w:bCs/>
          <w:color w:val="16202D"/>
          <w:sz w:val="20"/>
          <w:szCs w:val="20"/>
        </w:rPr>
        <w:t xml:space="preserve">the same codebase runs in two isolation models: </w:t>
      </w:r>
      <w:r>
        <w:rPr>
          <w:color w:val="16202D"/>
          <w:sz w:val="20"/>
          <w:szCs w:val="20"/>
        </w:rPr>
        <w:t xml:space="preserve">shared multi-tenant SaaS (TenantId + row-level security) and single-tenant dedicated / on-prem / air-gapped (physical isolation) — the entitlement resolver and isolation rules are identical in both (§16.1).</w:t>
      </w:r>
    </w:p>
    <w:p>
      <w:pPr>
        <w:pStyle w:val="Heading2"/>
      </w:pPr>
      <w:r>
        <w:t xml:space="preserve">3.B · In plain terms — for buyers, not engineers</w:t>
      </w:r>
    </w:p>
    <w:p>
      <w:pPr>
        <w:spacing w:after="120" w:before="0" w:line="274"/>
      </w:pPr>
      <w:r>
        <w:rPr>
          <w:i/>
          <w:iCs/>
          <w:color w:val="8EA7C1"/>
          <w:sz w:val="19"/>
          <w:szCs w:val="19"/>
        </w:rPr>
        <w:t xml:space="preserve">The whole journey from a raw source to a cited answer, and who is responsible at each step.</w:t>
      </w:r>
    </w:p>
    <w:p>
      <w:pPr>
        <w:spacing w:after="60" w:before="80" w:line="274"/>
      </w:pPr>
      <w:r>
        <w:rPr>
          <w:b/>
          <w:bCs/>
          <w:color w:val="102A43"/>
          <w:sz w:val="18"/>
          <w:szCs w:val="18"/>
        </w:rPr>
        <w:t xml:space="preserve">▸ End-to-end implementation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Source system</w:t>
            </w:r>
          </w:p>
          <w:p>
            <w:pPr>
              <w:spacing w:after="0" w:before="0" w:line="240"/>
            </w:pPr>
            <w:r>
              <w:rPr>
                <w:rFonts w:ascii="JetBrains Mono" w:cs="JetBrains Mono" w:eastAsia="JetBrains Mono" w:hAnsi="JetBrains Mono"/>
                <w:color w:val="EAF6FF"/>
                <w:sz w:val="16"/>
                <w:szCs w:val="16"/>
              </w:rPr>
              <w:t xml:space="preserve">   v</w:t>
            </w:r>
          </w:p>
          <w:p>
            <w:pPr>
              <w:spacing w:after="0" w:before="0" w:line="240"/>
            </w:pPr>
            <w:r>
              <w:rPr>
                <w:rFonts w:ascii="JetBrains Mono" w:cs="JetBrains Mono" w:eastAsia="JetBrains Mono" w:hAnsi="JetBrains Mono"/>
                <w:color w:val="EAF6FF"/>
                <w:sz w:val="16"/>
                <w:szCs w:val="16"/>
              </w:rPr>
              <w:t xml:space="preserve">Edge Collector (read-only)</w:t>
            </w:r>
          </w:p>
          <w:p>
            <w:pPr>
              <w:spacing w:after="0" w:before="0" w:line="240"/>
            </w:pPr>
            <w:r>
              <w:rPr>
                <w:rFonts w:ascii="JetBrains Mono" w:cs="JetBrains Mono" w:eastAsia="JetBrains Mono" w:hAnsi="JetBrains Mono"/>
                <w:color w:val="EAF6FF"/>
                <w:sz w:val="16"/>
                <w:szCs w:val="16"/>
              </w:rPr>
              <w:t xml:space="preserve">   v</w:t>
            </w:r>
          </w:p>
          <w:p>
            <w:pPr>
              <w:spacing w:after="0" w:before="0" w:line="240"/>
            </w:pPr>
            <w:r>
              <w:rPr>
                <w:rFonts w:ascii="JetBrains Mono" w:cs="JetBrains Mono" w:eastAsia="JetBrains Mono" w:hAnsi="JetBrains Mono"/>
                <w:color w:val="EAF6FF"/>
                <w:sz w:val="16"/>
                <w:szCs w:val="16"/>
              </w:rPr>
              <w:t xml:space="preserve">Source-shaped staging</w:t>
            </w:r>
          </w:p>
          <w:p>
            <w:pPr>
              <w:spacing w:after="0" w:before="0" w:line="240"/>
            </w:pPr>
            <w:r>
              <w:rPr>
                <w:rFonts w:ascii="JetBrains Mono" w:cs="JetBrains Mono" w:eastAsia="JetBrains Mono" w:hAnsi="JetBrains Mono"/>
                <w:color w:val="EAF6FF"/>
                <w:sz w:val="16"/>
                <w:szCs w:val="16"/>
              </w:rPr>
              <w:t xml:space="preserve">   v</w:t>
            </w:r>
          </w:p>
          <w:p>
            <w:pPr>
              <w:spacing w:after="0" w:before="0" w:line="240"/>
            </w:pPr>
            <w:r>
              <w:rPr>
                <w:rFonts w:ascii="JetBrains Mono" w:cs="JetBrains Mono" w:eastAsia="JetBrains Mono" w:hAnsi="JetBrains Mono"/>
                <w:color w:val="EAF6FF"/>
                <w:sz w:val="16"/>
                <w:szCs w:val="16"/>
              </w:rPr>
              <w:t xml:space="preserve">Source profiling + schema-drift detection</w:t>
            </w:r>
          </w:p>
          <w:p>
            <w:pPr>
              <w:spacing w:after="0" w:before="0" w:line="240"/>
            </w:pPr>
            <w:r>
              <w:rPr>
                <w:rFonts w:ascii="JetBrains Mono" w:cs="JetBrains Mono" w:eastAsia="JetBrains Mono" w:hAnsi="JetBrains Mono"/>
                <w:color w:val="EAF6FF"/>
                <w:sz w:val="16"/>
                <w:szCs w:val="16"/>
              </w:rPr>
              <w:t xml:space="preserve">   v</w:t>
            </w:r>
          </w:p>
          <w:p>
            <w:pPr>
              <w:spacing w:after="0" w:before="0" w:line="240"/>
            </w:pPr>
            <w:r>
              <w:rPr>
                <w:rFonts w:ascii="JetBrains Mono" w:cs="JetBrains Mono" w:eastAsia="JetBrains Mono" w:hAnsi="JetBrains Mono"/>
                <w:color w:val="EAF6FF"/>
                <w:sz w:val="16"/>
                <w:szCs w:val="16"/>
              </w:rPr>
              <w:t xml:space="preserve">Business-key dictionary</w:t>
            </w:r>
          </w:p>
          <w:p>
            <w:pPr>
              <w:spacing w:after="0" w:before="0" w:line="240"/>
            </w:pPr>
            <w:r>
              <w:rPr>
                <w:rFonts w:ascii="JetBrains Mono" w:cs="JetBrains Mono" w:eastAsia="JetBrains Mono" w:hAnsi="JetBrains Mono"/>
                <w:color w:val="EAF6FF"/>
                <w:sz w:val="16"/>
                <w:szCs w:val="16"/>
              </w:rPr>
              <w:t xml:space="preserve">   v</w:t>
            </w:r>
          </w:p>
          <w:p>
            <w:pPr>
              <w:spacing w:after="0" w:before="0" w:line="240"/>
            </w:pPr>
            <w:r>
              <w:rPr>
                <w:rFonts w:ascii="JetBrains Mono" w:cs="JetBrains Mono" w:eastAsia="JetBrains Mono" w:hAnsi="JetBrains Mono"/>
                <w:color w:val="EAF6FF"/>
                <w:sz w:val="16"/>
                <w:szCs w:val="16"/>
              </w:rPr>
              <w:t xml:space="preserve">Canonical mapping version</w:t>
            </w:r>
          </w:p>
          <w:p>
            <w:pPr>
              <w:spacing w:after="0" w:before="0" w:line="240"/>
            </w:pPr>
            <w:r>
              <w:rPr>
                <w:rFonts w:ascii="JetBrains Mono" w:cs="JetBrains Mono" w:eastAsia="JetBrains Mono" w:hAnsi="JetBrains Mono"/>
                <w:color w:val="EAF6FF"/>
                <w:sz w:val="16"/>
                <w:szCs w:val="16"/>
              </w:rPr>
              <w:t xml:space="preserve">   v</w:t>
            </w:r>
          </w:p>
          <w:p>
            <w:pPr>
              <w:spacing w:after="0" w:before="0" w:line="240"/>
            </w:pPr>
            <w:r>
              <w:rPr>
                <w:rFonts w:ascii="JetBrains Mono" w:cs="JetBrains Mono" w:eastAsia="JetBrains Mono" w:hAnsi="JetBrains Mono"/>
                <w:color w:val="EAF6FF"/>
                <w:sz w:val="16"/>
                <w:szCs w:val="16"/>
              </w:rPr>
              <w:t xml:space="preserve">Canonical model + genealogy</w:t>
            </w:r>
          </w:p>
          <w:p>
            <w:pPr>
              <w:spacing w:after="0" w:before="0" w:line="240"/>
            </w:pPr>
            <w:r>
              <w:rPr>
                <w:rFonts w:ascii="JetBrains Mono" w:cs="JetBrains Mono" w:eastAsia="JetBrains Mono" w:hAnsi="JetBrains Mono"/>
                <w:color w:val="EAF6FF"/>
                <w:sz w:val="16"/>
                <w:szCs w:val="16"/>
              </w:rPr>
              <w:t xml:space="preserve">   v</w:t>
            </w:r>
          </w:p>
          <w:p>
            <w:pPr>
              <w:spacing w:after="0" w:before="0" w:line="240"/>
            </w:pPr>
            <w:r>
              <w:rPr>
                <w:rFonts w:ascii="JetBrains Mono" w:cs="JetBrains Mono" w:eastAsia="JetBrains Mono" w:hAnsi="JetBrains Mono"/>
                <w:color w:val="EAF6FF"/>
                <w:sz w:val="16"/>
                <w:szCs w:val="16"/>
              </w:rPr>
              <w:t xml:space="preserve">Read models / feature store</w:t>
            </w:r>
          </w:p>
          <w:p>
            <w:pPr>
              <w:spacing w:after="0" w:before="0" w:line="240"/>
            </w:pPr>
            <w:r>
              <w:rPr>
                <w:rFonts w:ascii="JetBrains Mono" w:cs="JetBrains Mono" w:eastAsia="JetBrains Mono" w:hAnsi="JetBrains Mono"/>
                <w:color w:val="EAF6FF"/>
                <w:sz w:val="16"/>
                <w:szCs w:val="16"/>
              </w:rPr>
              <w:t xml:space="preserve">   v</w:t>
            </w:r>
          </w:p>
          <w:p>
            <w:pPr>
              <w:spacing w:after="0" w:before="0" w:line="240"/>
            </w:pPr>
            <w:r>
              <w:rPr>
                <w:rFonts w:ascii="JetBrains Mono" w:cs="JetBrains Mono" w:eastAsia="JetBrains Mono" w:hAnsi="JetBrains Mono"/>
                <w:color w:val="EAF6FF"/>
                <w:sz w:val="16"/>
                <w:szCs w:val="16"/>
              </w:rPr>
              <w:t xml:space="preserve">Widgets + simple analysis</w:t>
            </w:r>
          </w:p>
          <w:p>
            <w:pPr>
              <w:spacing w:after="0" w:before="0" w:line="240"/>
            </w:pPr>
            <w:r>
              <w:rPr>
                <w:rFonts w:ascii="JetBrains Mono" w:cs="JetBrains Mono" w:eastAsia="JetBrains Mono" w:hAnsi="JetBrains Mono"/>
                <w:color w:val="EAF6FF"/>
                <w:sz w:val="16"/>
                <w:szCs w:val="16"/>
              </w:rPr>
              <w:t xml:space="preserve">   v</w:t>
            </w:r>
          </w:p>
          <w:p>
            <w:pPr>
              <w:spacing w:after="0" w:before="0" w:line="240"/>
            </w:pPr>
            <w:r>
              <w:rPr>
                <w:rFonts w:ascii="JetBrains Mono" w:cs="JetBrains Mono" w:eastAsia="JetBrains Mono" w:hAnsi="JetBrains Mono"/>
                <w:color w:val="EAF6FF"/>
                <w:sz w:val="16"/>
                <w:szCs w:val="16"/>
              </w:rPr>
              <w:t xml:space="preserve">Advanced analysis jobs</w:t>
            </w:r>
          </w:p>
          <w:p>
            <w:pPr>
              <w:spacing w:after="0" w:before="0" w:line="240"/>
            </w:pPr>
            <w:r>
              <w:rPr>
                <w:rFonts w:ascii="JetBrains Mono" w:cs="JetBrains Mono" w:eastAsia="JetBrains Mono" w:hAnsi="JetBrains Mono"/>
                <w:color w:val="EAF6FF"/>
                <w:sz w:val="16"/>
                <w:szCs w:val="16"/>
              </w:rPr>
              <w:t xml:space="preserve">   v</w:t>
            </w:r>
          </w:p>
          <w:p>
            <w:pPr>
              <w:spacing w:after="0" w:before="0" w:line="240"/>
            </w:pPr>
            <w:r>
              <w:rPr>
                <w:rFonts w:ascii="JetBrains Mono" w:cs="JetBrains Mono" w:eastAsia="JetBrains Mono" w:hAnsi="JetBrains Mono"/>
                <w:color w:val="EAF6FF"/>
                <w:sz w:val="16"/>
                <w:szCs w:val="16"/>
              </w:rPr>
              <w:t xml:space="preserve">Suggestions + value engine</w:t>
            </w:r>
          </w:p>
          <w:p>
            <w:pPr>
              <w:spacing w:after="0" w:before="0" w:line="240"/>
            </w:pPr>
            <w:r>
              <w:rPr>
                <w:rFonts w:ascii="JetBrains Mono" w:cs="JetBrains Mono" w:eastAsia="JetBrains Mono" w:hAnsi="JetBrains Mono"/>
                <w:color w:val="EAF6FF"/>
                <w:sz w:val="16"/>
                <w:szCs w:val="16"/>
              </w:rPr>
              <w:t xml:space="preserve">   v</w:t>
            </w:r>
          </w:p>
          <w:p>
            <w:pPr>
              <w:spacing w:after="0" w:before="0" w:line="240"/>
            </w:pPr>
            <w:r>
              <w:rPr>
                <w:rFonts w:ascii="JetBrains Mono" w:cs="JetBrains Mono" w:eastAsia="JetBrains Mono" w:hAnsi="JetBrains Mono"/>
                <w:color w:val="EAF6FF"/>
                <w:sz w:val="16"/>
                <w:szCs w:val="16"/>
              </w:rPr>
              <w:t xml:space="preserve">Assistant + reports</w:t>
            </w:r>
          </w:p>
        </w:tc>
      </w:tr>
    </w:tbl>
    <w:p>
      <w:pPr>
        <w:spacing w:after="60" w:before="80" w:line="274"/>
      </w:pPr>
      <w:r>
        <w:rPr>
          <w:b/>
          <w:bCs/>
          <w:color w:val="102A43"/>
          <w:sz w:val="18"/>
          <w:szCs w:val="18"/>
        </w:rPr>
        <w:t xml:space="preserve">▸ Who does what during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rPr>
          <w:tblHeader/>
        </w:trPr>
        <w:tc>
          <w:tcPr>
            <w:tcW w:type="dxa" w:w="15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Step</w:t>
            </w:r>
          </w:p>
        </w:tc>
        <w:tc>
          <w:tcPr>
            <w:tcW w:type="dxa" w:w="19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Customer IT</w:t>
            </w:r>
          </w:p>
        </w:tc>
        <w:tc>
          <w:tcPr>
            <w:tcW w:type="dxa" w:w="19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Customer process team</w:t>
            </w:r>
          </w:p>
        </w:tc>
        <w:tc>
          <w:tcPr>
            <w:tcW w:type="dxa" w:w="19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SOU consultant</w:t>
            </w:r>
          </w:p>
        </w:tc>
        <w:tc>
          <w:tcPr>
            <w:tcW w:type="dxa" w:w="19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System</w:t>
            </w:r>
          </w:p>
        </w:tc>
      </w:tr>
      <w:tr>
        <w:tc>
          <w:tcPr>
            <w:tcW w:type="dxa" w:w="1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Connection</w:t>
            </w:r>
          </w:p>
        </w:tc>
        <w:tc>
          <w:tcPr>
            <w:tcW w:type="dxa" w:w="19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Approves source</w:t>
            </w:r>
          </w:p>
        </w:tc>
        <w:tc>
          <w:tcPr>
            <w:tcW w:type="dxa" w:w="19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Defines data need</w:t>
            </w:r>
          </w:p>
        </w:tc>
        <w:tc>
          <w:tcPr>
            <w:tcW w:type="dxa" w:w="19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Configures connector</w:t>
            </w:r>
          </w:p>
        </w:tc>
        <w:tc>
          <w:tcPr>
            <w:tcW w:type="dxa" w:w="19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Tests connection</w:t>
            </w:r>
          </w:p>
        </w:tc>
      </w:tr>
      <w:tr>
        <w:tc>
          <w:tcPr>
            <w:tcW w:type="dxa" w:w="1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Mapping</w:t>
            </w:r>
          </w:p>
        </w:tc>
        <w:tc>
          <w:tcPr>
            <w:tcW w:type="dxa" w:w="19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Reviews schema</w:t>
            </w:r>
          </w:p>
        </w:tc>
        <w:tc>
          <w:tcPr>
            <w:tcW w:type="dxa" w:w="19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Defines meaning</w:t>
            </w:r>
          </w:p>
        </w:tc>
        <w:tc>
          <w:tcPr>
            <w:tcW w:type="dxa" w:w="19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Builds mapping</w:t>
            </w:r>
          </w:p>
        </w:tc>
        <w:tc>
          <w:tcPr>
            <w:tcW w:type="dxa" w:w="19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Validates coverage</w:t>
            </w:r>
          </w:p>
        </w:tc>
      </w:tr>
      <w:tr>
        <w:tc>
          <w:tcPr>
            <w:tcW w:type="dxa" w:w="1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Analysis</w:t>
            </w:r>
          </w:p>
        </w:tc>
        <w:tc>
          <w:tcPr>
            <w:tcW w:type="dxa" w:w="19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Provides data</w:t>
            </w:r>
          </w:p>
        </w:tc>
        <w:tc>
          <w:tcPr>
            <w:tcW w:type="dxa" w:w="19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Reviews findings</w:t>
            </w:r>
          </w:p>
        </w:tc>
        <w:tc>
          <w:tcPr>
            <w:tcW w:type="dxa" w:w="19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Tunes configuration</w:t>
            </w:r>
          </w:p>
        </w:tc>
        <w:tc>
          <w:tcPr>
            <w:tcW w:type="dxa" w:w="19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Computes results</w:t>
            </w:r>
          </w:p>
        </w:tc>
      </w:tr>
    </w:tbl>
    <w:p>
      <w:pPr>
        <w:pStyle w:val="Heading1"/>
      </w:pPr>
      <w:r>
        <w:t xml:space="preserve">4 · Generic Data Source, Linking &amp; Joining Architecture</w:t>
      </w:r>
    </w:p>
    <w:p>
      <w:pPr>
        <w:pBdr>
          <w:bottom w:val="single" w:color="00D4FF" w:sz="14" w:space="1"/>
        </w:pBdr>
        <w:spacing w:after="140" w:before="20"/>
      </w:pPr>
      <w:r>
        <w:t xml:space="preserve"/>
      </w:r>
    </w:p>
    <w:p>
      <w:pPr>
        <w:spacing w:after="140" w:before="0" w:line="274"/>
      </w:pPr>
      <w:r>
        <w:rPr>
          <w:color w:val="16202D"/>
          <w:sz w:val="20"/>
          <w:szCs w:val="20"/>
        </w:rPr>
        <w:t xml:space="preserve">This is the heart of the product and the one place the compass explicitly asked for a complete design ("I don't have a full vision how this mapping could be done — design it effective, advanced, professional, detailed and generic"). v4 designed the engine and showed it working end to end; v5 adds the parts a plant's IT and DBA will insist on before a single byte moves: how PPIQ reaches data without burdening or breaching the source.</w:t>
      </w:r>
    </w:p>
    <w:p>
      <w:pPr>
        <w:pStyle w:val="Heading2"/>
      </w:pPr>
      <w:r>
        <w:t xml:space="preserve">4.1 Data-source onboarding workflow</w:t>
      </w:r>
    </w:p>
    <w:p>
      <w:pPr>
        <w:pStyle w:val="ListParagraph"/>
        <w:numPr>
          <w:ilvl w:val="0"/>
          <w:numId w:val="2"/>
        </w:numPr>
        <w:spacing w:after="70" w:line="268"/>
      </w:pPr>
      <w:r>
        <w:rPr>
          <w:color w:val="16202D"/>
          <w:sz w:val="20"/>
          <w:szCs w:val="20"/>
        </w:rPr>
        <w:t xml:space="preserve">Admin creates a DB / file / historian / stream link and picks a provider (§4.7); the system tests connectivity before save, masks credentials on read-back, and stores secrets encrypted at rest in the Edge Collector vault.</w:t>
      </w:r>
    </w:p>
    <w:p>
      <w:pPr>
        <w:pStyle w:val="ListParagraph"/>
        <w:numPr>
          <w:ilvl w:val="0"/>
          <w:numId w:val="2"/>
        </w:numPr>
        <w:spacing w:after="70" w:line="268"/>
      </w:pPr>
      <w:r>
        <w:rPr>
          <w:color w:val="16202D"/>
          <w:sz w:val="20"/>
          <w:szCs w:val="20"/>
        </w:rPr>
        <w:t xml:space="preserve">Admin selects source objects (tables, views, tags, sheets, files) to stage, and sets sync cadence per object — from 2 minutes to days — with optional off-hour windows.</w:t>
      </w:r>
    </w:p>
    <w:p>
      <w:pPr>
        <w:pStyle w:val="ListParagraph"/>
        <w:numPr>
          <w:ilvl w:val="0"/>
          <w:numId w:val="2"/>
        </w:numPr>
        <w:spacing w:after="70" w:line="268"/>
      </w:pPr>
      <w:r>
        <w:rPr>
          <w:color w:val="16202D"/>
          <w:sz w:val="20"/>
          <w:szCs w:val="20"/>
        </w:rPr>
        <w:t xml:space="preserve">The system profiles each object: row count, primary-key candidate, timestamp candidate, nullable columns, types, sample preview, and snapshots the schema for drift detection (§4.9).</w:t>
      </w:r>
    </w:p>
    <w:p>
      <w:pPr>
        <w:pStyle w:val="ListParagraph"/>
        <w:numPr>
          <w:ilvl w:val="0"/>
          <w:numId w:val="2"/>
        </w:numPr>
        <w:spacing w:after="70" w:line="268"/>
      </w:pPr>
      <w:r>
        <w:rPr>
          <w:color w:val="16202D"/>
          <w:sz w:val="20"/>
          <w:szCs w:val="20"/>
        </w:rPr>
        <w:t xml:space="preserve">A source-shaped staging object is created under namespaced tenant/source naming; a delta cursor is configured (numeric index, timestamp, composite key, or full-snapshot).</w:t>
      </w:r>
    </w:p>
    <w:p>
      <w:pPr>
        <w:pStyle w:val="ListParagraph"/>
        <w:numPr>
          <w:ilvl w:val="0"/>
          <w:numId w:val="2"/>
        </w:numPr>
        <w:spacing w:after="70" w:line="268"/>
      </w:pPr>
      <w:r>
        <w:rPr>
          <w:color w:val="16202D"/>
          <w:sz w:val="20"/>
          <w:szCs w:val="20"/>
        </w:rPr>
        <w:t xml:space="preserve">Every sync writes an import batch: rows read/inserted, duration, watermark, errors and audit metadata. Staging stays source-shaped — canonical transformation happens later, in the mapping layer.</w:t>
      </w:r>
    </w:p>
    <w:p>
      <w:pPr>
        <w:pStyle w:val="Heading2"/>
      </w:pPr>
      <w:r>
        <w:t xml:space="preserve">4.2 The layered joining model</w:t>
      </w:r>
    </w:p>
    <w:p>
      <w:pPr>
        <w:spacing w:after="140" w:before="0" w:line="274"/>
      </w:pPr>
      <w:r>
        <w:rPr>
          <w:color w:val="16202D"/>
          <w:sz w:val="20"/>
          <w:szCs w:val="20"/>
        </w:rPr>
        <w:t xml:space="preserve">PPIQ never assumes one universal physical key, because real plants do not have one. Joins start from business keys and grow stronger through normalization, mapping views, genealogy and a confidence score. Every join is explicit, versioned, testable and auditable.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300"/>
        <w:gridCol w:w="3910"/>
      </w:tblGrid>
      <w:tr>
        <w:trPr>
          <w:tblHeader/>
        </w:trPr>
        <w:tc>
          <w:tcPr>
            <w:tcW w:type="dxa" w:w="21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Join layer</w:t>
            </w:r>
          </w:p>
        </w:tc>
        <w:tc>
          <w:tcPr>
            <w:tcW w:type="dxa" w:w="3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Purpose</w:t>
            </w:r>
          </w:p>
        </w:tc>
        <w:tc>
          <w:tcPr>
            <w:tcW w:type="dxa" w:w="391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Example (flat-steel demo)</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 natural key</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Use the keys already in customer systems.</w:t>
            </w:r>
          </w:p>
        </w:tc>
        <w:tc>
          <w:tcPr>
            <w:tcW w:type="dxa" w:w="39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HeatId, SlabId, CoilId, LadleId, TundishId, MouldId, SequenceId, SampleId</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Business-key dictionary</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Declare which columns mean the same business concept across systems.</w:t>
            </w:r>
          </w:p>
        </w:tc>
        <w:tc>
          <w:tcPr>
            <w:tcW w:type="dxa" w:w="39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HSM.coil_output.piece_no ≡ SurfaceInspection.defect_events.material_id (after normalization)</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Normalization rule</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Standardize values before joining.</w:t>
            </w:r>
          </w:p>
        </w:tc>
        <w:tc>
          <w:tcPr>
            <w:tcW w:type="dxa" w:w="39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Trim, upper-case, strip prefix "C-", drop leading zeros, parse dates, convert units</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Mapping-authored view</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Admin/data engineer authors safe SQL joining staged tables into canonical facts.</w:t>
            </w:r>
          </w:p>
        </w:tc>
        <w:tc>
          <w:tcPr>
            <w:tcW w:type="dxa" w:w="39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Caster.slab → HSM.coil → Parsytec.defect, emitted as canonical quality_event rows</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Genealogy spine</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Parent-child material relations end to end.</w:t>
            </w:r>
          </w:p>
        </w:tc>
        <w:tc>
          <w:tcPr>
            <w:tcW w:type="dxa" w:w="39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Heat → Ladle → Tundish → Mould → Strand → Slab → Coil → downstream piece</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Temporal-proximity rule</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Join by credible time/equipment windows when direct keys are absent.</w:t>
            </w:r>
          </w:p>
        </w:tc>
        <w:tc>
          <w:tcPr>
            <w:tcW w:type="dxa" w:w="39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downtime event around a caster sequence affecting slabs in the same interval</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Confidence score</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Grade each join: exact / normalized / inferred / ambiguous.</w:t>
            </w:r>
          </w:p>
        </w:tc>
        <w:tc>
          <w:tcPr>
            <w:tcW w:type="dxa" w:w="39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Exact key = high; time-window inferred = medium; conflicting keys = rejected, never silently merged</w:t>
            </w:r>
          </w:p>
        </w:tc>
      </w:tr>
    </w:tbl>
    <w:p>
      <w:pPr>
        <w:pStyle w:val="Heading2"/>
      </w:pPr>
      <w:r>
        <w:t xml:space="preserve">4.3 Worked example — from two foreign keys to one canonical fact</w:t>
      </w:r>
    </w:p>
    <w:p>
      <w:pPr>
        <w:spacing w:after="140" w:before="0" w:line="274"/>
      </w:pPr>
      <w:r>
        <w:rPr>
          <w:color w:val="16202D"/>
          <w:sz w:val="20"/>
          <w:szCs w:val="20"/>
        </w:rPr>
        <w:t xml:space="preserve">The compass's exact scenario: a coil the HSM Oracle system calls "C-0044170" is the same physical coil the Parsytec MySQL device calls "44170". PPIQ reconciles and joins them explicitly, not magically.</w:t>
      </w:r>
    </w:p>
    <w:p>
      <w:pPr>
        <w:spacing w:after="140" w:before="0" w:line="274"/>
      </w:pPr>
      <w:r>
        <w:rPr>
          <w:b/>
          <w:bCs/>
          <w:color w:val="16202D"/>
          <w:sz w:val="20"/>
          <w:szCs w:val="20"/>
        </w:rPr>
        <w:t xml:space="preserve">Step 1 — </w:t>
      </w:r>
      <w:r>
        <w:rPr>
          <w:color w:val="16202D"/>
          <w:sz w:val="20"/>
          <w:szCs w:val="20"/>
        </w:rPr>
        <w:t xml:space="preserve">the business-key dictionary entry declares the concept and its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Business-Key Dictionary — CoilId</w:t>
            </w:r>
          </w:p>
          <w:p>
            <w:pPr>
              <w:spacing w:after="0" w:before="0" w:line="240"/>
            </w:pPr>
            <w:r>
              <w:rPr>
                <w:rFonts w:ascii="JetBrains Mono" w:cs="JetBrains Mono" w:eastAsia="JetBrains Mono" w:hAnsi="JetBrains Mono"/>
                <w:color w:val="EAF6FF"/>
                <w:sz w:val="16"/>
                <w:szCs w:val="16"/>
              </w:rPr>
              <w:t xml:space="preserve">business_key: CoilId</w:t>
            </w:r>
          </w:p>
          <w:p>
            <w:pPr>
              <w:spacing w:after="0" w:before="0" w:line="240"/>
            </w:pPr>
            <w:r>
              <w:rPr>
                <w:rFonts w:ascii="JetBrains Mono" w:cs="JetBrains Mono" w:eastAsia="JetBrains Mono" w:hAnsi="JetBrains Mono"/>
                <w:color w:val="EAF6FF"/>
                <w:sz w:val="16"/>
                <w:szCs w:val="16"/>
              </w:rPr>
              <w:t xml:space="preserve">members:</w:t>
            </w:r>
          </w:p>
          <w:p>
            <w:pPr>
              <w:spacing w:after="0" w:before="0" w:line="240"/>
            </w:pPr>
            <w:r>
              <w:rPr>
                <w:rFonts w:ascii="JetBrains Mono" w:cs="JetBrains Mono" w:eastAsia="JetBrains Mono" w:hAnsi="JetBrains Mono"/>
                <w:color w:val="EAF6FF"/>
                <w:sz w:val="16"/>
                <w:szCs w:val="16"/>
              </w:rPr>
              <w:t xml:space="preserve">  - HSM.coil_output.piece_no       norm: strip 'C-', ltrim '0'</w:t>
            </w:r>
          </w:p>
          <w:p>
            <w:pPr>
              <w:spacing w:after="0" w:before="0" w:line="240"/>
            </w:pPr>
            <w:r>
              <w:rPr>
                <w:rFonts w:ascii="JetBrains Mono" w:cs="JetBrains Mono" w:eastAsia="JetBrains Mono" w:hAnsi="JetBrains Mono"/>
                <w:color w:val="EAF6FF"/>
                <w:sz w:val="16"/>
                <w:szCs w:val="16"/>
              </w:rPr>
              <w:t xml:space="preserve">  - PARSYTEC.defect_events.material_id   norm: cast_int-&gt;text</w:t>
            </w:r>
          </w:p>
          <w:p>
            <w:pPr>
              <w:spacing w:after="0" w:before="0" w:line="240"/>
            </w:pPr>
            <w:r>
              <w:rPr>
                <w:rFonts w:ascii="JetBrains Mono" w:cs="JetBrains Mono" w:eastAsia="JetBrains Mono" w:hAnsi="JetBrains Mono"/>
                <w:color w:val="EAF6FF"/>
                <w:sz w:val="16"/>
                <w:szCs w:val="16"/>
              </w:rPr>
              <w:t xml:space="preserve">  - CASTER.slab.coil_ref           norm: ltrim '0'</w:t>
            </w:r>
          </w:p>
          <w:p>
            <w:pPr>
              <w:spacing w:after="0" w:before="0" w:line="240"/>
            </w:pPr>
            <w:r>
              <w:rPr>
                <w:rFonts w:ascii="JetBrains Mono" w:cs="JetBrains Mono" w:eastAsia="JetBrains Mono" w:hAnsi="JetBrains Mono"/>
                <w:color w:val="EAF6FF"/>
                <w:sz w:val="16"/>
                <w:szCs w:val="16"/>
              </w:rPr>
              <w:t xml:space="preserve">rule: all members must be EQUAL after norm; conflict -&gt; reject</w:t>
            </w:r>
          </w:p>
        </w:tc>
      </w:tr>
    </w:tbl>
    <w:p>
      <w:pPr>
        <w:spacing w:after="140" w:before="0" w:line="274"/>
      </w:pPr>
      <w:r>
        <w:rPr>
          <w:b/>
          <w:bCs/>
          <w:color w:val="16202D"/>
          <w:sz w:val="20"/>
          <w:szCs w:val="20"/>
        </w:rPr>
        <w:t xml:space="preserve">Step 2 — </w:t>
      </w:r>
      <w:r>
        <w:rPr>
          <w:color w:val="16202D"/>
          <w:sz w:val="20"/>
          <w:szCs w:val="20"/>
        </w:rPr>
        <w:t xml:space="preserve">the mapping-authored safe-SQL view produces canonical quality_event facts by walking slab → coil → defect: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CREATE VIEW canon.quality_event AS</w:t>
            </w:r>
          </w:p>
          <w:p>
            <w:pPr>
              <w:spacing w:after="0" w:before="0" w:line="240"/>
            </w:pPr>
            <w:r>
              <w:rPr>
                <w:rFonts w:ascii="JetBrains Mono" w:cs="JetBrains Mono" w:eastAsia="JetBrains Mono" w:hAnsi="JetBrains Mono"/>
                <w:color w:val="EAF6FF"/>
                <w:sz w:val="16"/>
                <w:szCs w:val="16"/>
              </w:rPr>
              <w:t xml:space="preserve">SELECT norm_coil(h.piece_no) AS coil_id,    -- business key</w:t>
            </w:r>
          </w:p>
          <w:p>
            <w:pPr>
              <w:spacing w:after="0" w:before="0" w:line="240"/>
            </w:pPr>
            <w:r>
              <w:rPr>
                <w:rFonts w:ascii="JetBrains Mono" w:cs="JetBrains Mono" w:eastAsia="JetBrains Mono" w:hAnsi="JetBrains Mono"/>
                <w:color w:val="EAF6FF"/>
                <w:sz w:val="16"/>
                <w:szCs w:val="16"/>
              </w:rPr>
              <w:t xml:space="preserve">       s.heat_id             AS heat_id,    -- genealogy link</w:t>
            </w:r>
          </w:p>
          <w:p>
            <w:pPr>
              <w:spacing w:after="0" w:before="0" w:line="240"/>
            </w:pPr>
            <w:r>
              <w:rPr>
                <w:rFonts w:ascii="JetBrains Mono" w:cs="JetBrains Mono" w:eastAsia="JetBrains Mono" w:hAnsi="JetBrains Mono"/>
                <w:color w:val="EAF6FF"/>
                <w:sz w:val="16"/>
                <w:szCs w:val="16"/>
              </w:rPr>
              <w:t xml:space="preserve">       d.defect_code, d.position_mm, d.severity,</w:t>
            </w:r>
          </w:p>
          <w:p>
            <w:pPr>
              <w:spacing w:after="0" w:before="0" w:line="240"/>
            </w:pPr>
            <w:r>
              <w:rPr>
                <w:rFonts w:ascii="JetBrains Mono" w:cs="JetBrains Mono" w:eastAsia="JetBrains Mono" w:hAnsi="JetBrains Mono"/>
                <w:color w:val="EAF6FF"/>
                <w:sz w:val="16"/>
                <w:szCs w:val="16"/>
              </w:rPr>
              <w:t xml:space="preserve">       d.inspection_time     AS event_time,</w:t>
            </w:r>
          </w:p>
          <w:p>
            <w:pPr>
              <w:spacing w:after="0" w:before="0" w:line="240"/>
            </w:pPr>
            <w:r>
              <w:rPr>
                <w:rFonts w:ascii="JetBrains Mono" w:cs="JetBrains Mono" w:eastAsia="JetBrains Mono" w:hAnsi="JetBrains Mono"/>
                <w:color w:val="EAF6FF"/>
                <w:sz w:val="16"/>
                <w:szCs w:val="16"/>
              </w:rPr>
              <w:t xml:space="preserve">       'normalized'          AS join_confidence</w:t>
            </w:r>
          </w:p>
          <w:p>
            <w:pPr>
              <w:spacing w:after="0" w:before="0" w:line="240"/>
            </w:pPr>
            <w:r>
              <w:rPr>
                <w:rFonts w:ascii="JetBrains Mono" w:cs="JetBrains Mono" w:eastAsia="JetBrains Mono" w:hAnsi="JetBrains Mono"/>
                <w:color w:val="EAF6FF"/>
                <w:sz w:val="16"/>
                <w:szCs w:val="16"/>
              </w:rPr>
              <w:t xml:space="preserve">FROM   stg_parsytec.defect_events d</w:t>
            </w:r>
          </w:p>
          <w:p>
            <w:pPr>
              <w:spacing w:after="0" w:before="0" w:line="240"/>
            </w:pPr>
            <w:r>
              <w:rPr>
                <w:rFonts w:ascii="JetBrains Mono" w:cs="JetBrains Mono" w:eastAsia="JetBrains Mono" w:hAnsi="JetBrains Mono"/>
                <w:color w:val="EAF6FF"/>
                <w:sz w:val="16"/>
                <w:szCs w:val="16"/>
              </w:rPr>
              <w:t xml:space="preserve">JOIN   stg_hsm.coil_output  h</w:t>
            </w:r>
          </w:p>
          <w:p>
            <w:pPr>
              <w:spacing w:after="0" w:before="0" w:line="240"/>
            </w:pPr>
            <w:r>
              <w:rPr>
                <w:rFonts w:ascii="JetBrains Mono" w:cs="JetBrains Mono" w:eastAsia="JetBrains Mono" w:hAnsi="JetBrains Mono"/>
                <w:color w:val="EAF6FF"/>
                <w:sz w:val="16"/>
                <w:szCs w:val="16"/>
              </w:rPr>
              <w:t xml:space="preserve">       ON norm_coil(h.piece_no) = norm_coil(d.material_id)</w:t>
            </w:r>
          </w:p>
          <w:p>
            <w:pPr>
              <w:spacing w:after="0" w:before="0" w:line="240"/>
            </w:pPr>
            <w:r>
              <w:rPr>
                <w:rFonts w:ascii="JetBrains Mono" w:cs="JetBrains Mono" w:eastAsia="JetBrains Mono" w:hAnsi="JetBrains Mono"/>
                <w:color w:val="EAF6FF"/>
                <w:sz w:val="16"/>
                <w:szCs w:val="16"/>
              </w:rPr>
              <w:t xml:space="preserve">JOIN   stg_caster.slab      s ON s.coil_ref = h.piece_no</w:t>
            </w:r>
          </w:p>
          <w:p>
            <w:pPr>
              <w:spacing w:after="0" w:before="0" w:line="240"/>
            </w:pPr>
            <w:r>
              <w:rPr>
                <w:rFonts w:ascii="JetBrains Mono" w:cs="JetBrains Mono" w:eastAsia="JetBrains Mono" w:hAnsi="JetBrains Mono"/>
                <w:color w:val="EAF6FF"/>
                <w:sz w:val="16"/>
                <w:szCs w:val="16"/>
              </w:rPr>
              <w:t xml:space="preserve">WHERE  d.inspection_time &gt;= :window_start;  -- read-only, bounded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What the SafeSqlValidator and resolver guarantee here</w:t>
            </w:r>
          </w:p>
          <w:p>
            <w:pPr>
              <w:spacing w:after="60" w:line="256"/>
            </w:pPr>
            <w:r>
              <w:rPr>
                <w:b/>
                <w:bCs/>
                <w:color w:val="16202D"/>
                <w:sz w:val="20"/>
                <w:szCs w:val="20"/>
              </w:rPr>
              <w:t xml:space="preserve">Read-only: </w:t>
            </w:r>
            <w:r>
              <w:rPr>
                <w:color w:val="16202D"/>
                <w:sz w:val="20"/>
                <w:szCs w:val="20"/>
              </w:rPr>
              <w:t xml:space="preserve">INSERT/UPDATE/DELETE/DROP/DDL-on-source are rejected; only SELECT and CREATE-VIEW over staging are allowed.</w:t>
            </w:r>
          </w:p>
          <w:p>
            <w:pPr>
              <w:spacing w:after="60" w:line="256"/>
            </w:pPr>
            <w:r>
              <w:rPr>
                <w:b/>
                <w:bCs/>
                <w:color w:val="16202D"/>
                <w:sz w:val="20"/>
                <w:szCs w:val="20"/>
              </w:rPr>
              <w:t xml:space="preserve">Bounded: </w:t>
            </w:r>
            <w:r>
              <w:rPr>
                <w:color w:val="16202D"/>
                <w:sz w:val="20"/>
                <w:szCs w:val="20"/>
              </w:rPr>
              <w:t xml:space="preserve">an implicit row limit and statement timeout are applied; an EXPLAIN is run before publish.</w:t>
            </w:r>
          </w:p>
          <w:p>
            <w:pPr>
              <w:spacing w:after="0" w:line="256"/>
            </w:pPr>
            <w:r>
              <w:rPr>
                <w:b/>
                <w:bCs/>
                <w:color w:val="16202D"/>
                <w:sz w:val="20"/>
                <w:szCs w:val="20"/>
              </w:rPr>
              <w:t xml:space="preserve">Typed errors, not generic failure: </w:t>
            </w:r>
            <w:r>
              <w:rPr>
                <w:color w:val="16202D"/>
                <w:sz w:val="20"/>
                <w:szCs w:val="20"/>
              </w:rPr>
              <w:t xml:space="preserve">a wrong reference returns a specific resolver error the HMI shows precisely — NoSuchView, NoSuchColumn, InvalidAggregateForType, AmbiguousJoinKey.</w:t>
            </w:r>
          </w:p>
        </w:tc>
      </w:tr>
    </w:tbl>
    <w:p>
      <w:pPr>
        <w:pStyle w:val="Heading2"/>
      </w:pPr>
      <w:r>
        <w:t xml:space="preserve">4.4 Worked example — a KPI as a first-class SQL view</w:t>
      </w:r>
    </w:p>
    <w:p>
      <w:pPr>
        <w:spacing w:after="140" w:before="0" w:line="274"/>
      </w:pPr>
      <w:r>
        <w:rPr>
          <w:color w:val="16202D"/>
          <w:sz w:val="20"/>
          <w:szCs w:val="20"/>
        </w:rPr>
        <w:t xml:space="preserve">KPIs are not hardcoded metrics; they are mapping-authored views, versioned like any mapping, consumed by both widgets and the KPI-contributor learning job. Example — First-Pass Surface Yield by grade and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CREATE VIEW canon.kpi_first_pass_surface_yield AS</w:t>
            </w:r>
          </w:p>
          <w:p>
            <w:pPr>
              <w:spacing w:after="0" w:before="0" w:line="240"/>
            </w:pPr>
            <w:r>
              <w:rPr>
                <w:rFonts w:ascii="JetBrains Mono" w:cs="JetBrains Mono" w:eastAsia="JetBrains Mono" w:hAnsi="JetBrains Mono"/>
                <w:color w:val="EAF6FF"/>
                <w:sz w:val="16"/>
                <w:szCs w:val="16"/>
              </w:rPr>
              <w:t xml:space="preserve">SELECT date_trunc('day', q.event_time) AS day,</w:t>
            </w:r>
          </w:p>
          <w:p>
            <w:pPr>
              <w:spacing w:after="0" w:before="0" w:line="240"/>
            </w:pPr>
            <w:r>
              <w:rPr>
                <w:rFonts w:ascii="JetBrains Mono" w:cs="JetBrains Mono" w:eastAsia="JetBrains Mono" w:hAnsi="JetBrains Mono"/>
                <w:color w:val="EAF6FF"/>
                <w:sz w:val="16"/>
                <w:szCs w:val="16"/>
              </w:rPr>
              <w:t xml:space="preserve">       h.steel_grade                   AS grade,</w:t>
            </w:r>
          </w:p>
          <w:p>
            <w:pPr>
              <w:spacing w:after="0" w:before="0" w:line="240"/>
            </w:pPr>
            <w:r>
              <w:rPr>
                <w:rFonts w:ascii="JetBrains Mono" w:cs="JetBrains Mono" w:eastAsia="JetBrains Mono" w:hAnsi="JetBrains Mono"/>
                <w:color w:val="EAF6FF"/>
                <w:sz w:val="16"/>
                <w:szCs w:val="16"/>
              </w:rPr>
              <w:t xml:space="preserve">       1.0 - ( COUNT(*) FILTER (WHERE q.severity &gt;= 2)::numeric</w:t>
            </w:r>
          </w:p>
          <w:p>
            <w:pPr>
              <w:spacing w:after="0" w:before="0" w:line="240"/>
            </w:pPr>
            <w:r>
              <w:rPr>
                <w:rFonts w:ascii="JetBrains Mono" w:cs="JetBrains Mono" w:eastAsia="JetBrains Mono" w:hAnsi="JetBrains Mono"/>
                <w:color w:val="EAF6FF"/>
                <w:sz w:val="16"/>
                <w:szCs w:val="16"/>
              </w:rPr>
              <w:t xml:space="preserve">               / NULLIF(COUNT(DISTINCT q.coil_id),0) )</w:t>
            </w:r>
          </w:p>
          <w:p>
            <w:pPr>
              <w:spacing w:after="0" w:before="0" w:line="240"/>
            </w:pPr>
            <w:r>
              <w:rPr>
                <w:rFonts w:ascii="JetBrains Mono" w:cs="JetBrains Mono" w:eastAsia="JetBrains Mono" w:hAnsi="JetBrains Mono"/>
                <w:color w:val="EAF6FF"/>
                <w:sz w:val="16"/>
                <w:szCs w:val="16"/>
              </w:rPr>
              <w:t xml:space="preserve">             AS first_pass_yield</w:t>
            </w:r>
          </w:p>
          <w:p>
            <w:pPr>
              <w:spacing w:after="0" w:before="0" w:line="240"/>
            </w:pPr>
            <w:r>
              <w:rPr>
                <w:rFonts w:ascii="JetBrains Mono" w:cs="JetBrains Mono" w:eastAsia="JetBrains Mono" w:hAnsi="JetBrains Mono"/>
                <w:color w:val="EAF6FF"/>
                <w:sz w:val="16"/>
                <w:szCs w:val="16"/>
              </w:rPr>
              <w:t xml:space="preserve">FROM   canon.quality_event q</w:t>
            </w:r>
          </w:p>
          <w:p>
            <w:pPr>
              <w:spacing w:after="0" w:before="0" w:line="240"/>
            </w:pPr>
            <w:r>
              <w:rPr>
                <w:rFonts w:ascii="JetBrains Mono" w:cs="JetBrains Mono" w:eastAsia="JetBrains Mono" w:hAnsi="JetBrains Mono"/>
                <w:color w:val="EAF6FF"/>
                <w:sz w:val="16"/>
                <w:szCs w:val="16"/>
              </w:rPr>
              <w:t xml:space="preserve">JOIN   canon.heat h ON h.heat_id = q.heat_id</w:t>
            </w:r>
          </w:p>
          <w:p>
            <w:pPr>
              <w:spacing w:after="0" w:before="0" w:line="240"/>
            </w:pPr>
            <w:r>
              <w:rPr>
                <w:rFonts w:ascii="JetBrains Mono" w:cs="JetBrains Mono" w:eastAsia="JetBrains Mono" w:hAnsi="JetBrains Mono"/>
                <w:color w:val="EAF6FF"/>
                <w:sz w:val="16"/>
                <w:szCs w:val="16"/>
              </w:rPr>
              <w:t xml:space="preserve">GROUP BY 1, 2;   -- KPI 'FPSY'; unit = ratio; target per tenant</w:t>
            </w:r>
          </w:p>
        </w:tc>
      </w:tr>
    </w:tbl>
    <w:p>
      <w:pPr>
        <w:pStyle w:val="Heading2"/>
      </w:pPr>
      <w:r>
        <w:t xml:space="preserve">4.5 The mapping workbench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Tab</w:t>
            </w:r>
          </w:p>
        </w:tc>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User goal</w:t>
            </w:r>
          </w:p>
        </w:tc>
        <w:tc>
          <w:tcPr>
            <w:tcW w:type="dxa" w:w="4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Critical UX / validation</w:t>
            </w:r>
          </w:p>
        </w:tc>
      </w:tr>
      <w:tr>
        <w:tc>
          <w:tcPr>
            <w:tcW w:type="dxa" w:w="2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 Catalog</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See connected tables/views/tags/files and their profile.</w:t>
            </w:r>
          </w:p>
        </w:tc>
        <w:tc>
          <w:tcPr>
            <w:tcW w:type="dxa" w:w="4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Row preview, types, count, watermark, last import, data-quality warning</w:t>
            </w:r>
          </w:p>
        </w:tc>
      </w:tr>
      <w:tr>
        <w:tc>
          <w:tcPr>
            <w:tcW w:type="dxa" w:w="2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Business-Key Dictionary</w:t>
            </w:r>
          </w:p>
        </w:tc>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Define Heat/Slab/Coil/Sample/Equipment/Event keys across systems.</w:t>
            </w:r>
          </w:p>
        </w:tc>
        <w:tc>
          <w:tcPr>
            <w:tcW w:type="dxa" w:w="4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Detect duplicates, nullable keys, inconsistent formats, conflicting mappings</w:t>
            </w:r>
          </w:p>
        </w:tc>
      </w:tr>
      <w:tr>
        <w:tc>
          <w:tcPr>
            <w:tcW w:type="dxa" w:w="2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Canonical Entity Mapper</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Map source fields/views into canonical entities.</w:t>
            </w:r>
          </w:p>
        </w:tc>
        <w:tc>
          <w:tcPr>
            <w:tcW w:type="dxa" w:w="4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Required-field coverage, type compatibility, unit conversion, sample validation</w:t>
            </w:r>
          </w:p>
        </w:tc>
      </w:tr>
      <w:tr>
        <w:tc>
          <w:tcPr>
            <w:tcW w:type="dxa" w:w="2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SQL View Builder</w:t>
            </w:r>
          </w:p>
        </w:tc>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Author safe views for joins, KPIs and calculated fields.</w:t>
            </w:r>
          </w:p>
        </w:tc>
        <w:tc>
          <w:tcPr>
            <w:tcW w:type="dxa" w:w="4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SafeSqlValidator, read-only, EXPLAIN plan, row limit, visual↔SQL toggle</w:t>
            </w:r>
          </w:p>
        </w:tc>
      </w:tr>
      <w:tr>
        <w:tc>
          <w:tcPr>
            <w:tcW w:type="dxa" w:w="2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Genealogy Builder</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Define parent-child material paths.</w:t>
            </w:r>
          </w:p>
        </w:tc>
        <w:tc>
          <w:tcPr>
            <w:tcW w:type="dxa" w:w="4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Cycle detection, orphan detection, path preview heat→coil</w:t>
            </w:r>
          </w:p>
        </w:tc>
      </w:tr>
      <w:tr>
        <w:tc>
          <w:tcPr>
            <w:tcW w:type="dxa" w:w="2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Validation &amp; Publish</w:t>
            </w:r>
          </w:p>
        </w:tc>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Validate a mapping version and publish to demo/production.</w:t>
            </w:r>
          </w:p>
        </w:tc>
        <w:tc>
          <w:tcPr>
            <w:tcW w:type="dxa" w:w="4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Dry run, row counts, rejected records, warnings, rollback to prior version</w:t>
            </w:r>
          </w:p>
        </w:tc>
      </w:tr>
    </w:tbl>
    <w:p>
      <w:pPr>
        <w:spacing w:after="140" w:before="0" w:line="274"/>
      </w:pPr>
      <w:r>
        <w:rPr>
          <w:b/>
          <w:bCs/>
          <w:color w:val="16202D"/>
          <w:sz w:val="20"/>
          <w:szCs w:val="20"/>
        </w:rPr>
        <w:t xml:space="preserve">Authoring is tiered so a plant does not need a SQL expert to get value, but can express anything when it does. </w:t>
      </w:r>
      <w:r>
        <w:rPr>
          <w:color w:val="16202D"/>
          <w:sz w:val="20"/>
          <w:szCs w:val="20"/>
        </w:rPr>
        <w:t xml:space="preserve">This is the answer to "does my configurator need to be a programmer?": for the common case,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4760"/>
        <w:gridCol w:w="2550"/>
      </w:tblGrid>
      <w:tr>
        <w:trPr>
          <w:tblHeader/>
        </w:trPr>
        <w:tc>
          <w:tcPr>
            <w:tcW w:type="dxa" w:w="20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Authoring tier</w:t>
            </w:r>
          </w:p>
        </w:tc>
        <w:tc>
          <w:tcPr>
            <w:tcW w:type="dxa" w:w="4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it offers</w:t>
            </w:r>
          </w:p>
        </w:tc>
        <w:tc>
          <w:tcPr>
            <w:tcW w:type="dxa" w:w="25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Who uses it</w:t>
            </w:r>
          </w:p>
        </w:tc>
      </w:tr>
      <w:tr>
        <w:tc>
          <w:tcPr>
            <w:tcW w:type="dxa" w:w="20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No-code visual mapper</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Drag-drop field mapping, point-and-click joins on detected keys, and a library of industry and KPI templates. Covers the common majority with zero SQL.</w:t>
            </w:r>
          </w:p>
        </w:tc>
        <w:tc>
          <w:tcPr>
            <w:tcW w:type="dxa" w:w="25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Process / quality engineer</w:t>
            </w:r>
          </w:p>
        </w:tc>
      </w:tr>
      <w:tr>
        <w:tc>
          <w:tcPr>
            <w:tcW w:type="dxa" w:w="20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Assisted</w:t>
            </w:r>
          </w:p>
        </w:tc>
        <w:tc>
          <w:tcPr>
            <w:tcW w:type="dxa" w:w="4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Profiling suggests keys, normalization and join candidates with confidence; the assistant can draft a view from a plain-language description for a human to review (execution stays deterministic).</w:t>
            </w:r>
          </w:p>
        </w:tc>
        <w:tc>
          <w:tcPr>
            <w:tcW w:type="dxa" w:w="25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Engineer + reviewer</w:t>
            </w:r>
          </w:p>
        </w:tc>
      </w:tr>
      <w:tr>
        <w:tc>
          <w:tcPr>
            <w:tcW w:type="dxa" w:w="20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Expert SQL</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safe-SQL view builder — SafeSqlValidator, EXPLAIN, row limits — for the complex long tail.</w:t>
            </w:r>
          </w:p>
        </w:tc>
        <w:tc>
          <w:tcPr>
            <w:tcW w:type="dxa" w:w="25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 engineer (customer or SOU)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Generic-linking principle</w:t>
            </w:r>
          </w:p>
          <w:p>
            <w:pPr>
              <w:spacing w:after="0" w:line="256"/>
            </w:pPr>
            <w:r>
              <w:rPr>
                <w:color w:val="16202D"/>
                <w:sz w:val="18"/>
                <w:szCs w:val="18"/>
              </w:rPr>
              <w:t xml:space="preserve">PPIQ makes joins easy without pretending they are automatic magic. Profiling, suggested keys, templates and validation errors guide the user; the final mapping stays explicit, versioned, testable and auditable. A mapping that cannot be dry-run and rolled back is not allowed to publish.</w:t>
            </w:r>
          </w:p>
        </w:tc>
      </w:tr>
    </w:tbl>
    <w:p>
      <w:pPr>
        <w:pStyle w:val="Heading2"/>
      </w:pPr>
      <w:r>
        <w:t xml:space="preserve">4.6 OT-safe connection topology &amp; the Edge Collector</w:t>
      </w:r>
    </w:p>
    <w:p>
      <w:pPr>
        <w:spacing w:after="140" w:before="0" w:line="274"/>
      </w:pPr>
      <w:r>
        <w:rPr>
          <w:color w:val="16202D"/>
          <w:sz w:val="20"/>
          <w:szCs w:val="20"/>
        </w:rPr>
        <w:t xml:space="preserve">A plant's caster and rolling mill run on production-critical systems inside a segmented OT network, and the DBAs will not allow an outside application to query the live historian. PPIQ is built for this reality: it sits at the information level (L3/L4), never inside the control level (L2), and reaches sources through a collector the customer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Topology element</w:t>
            </w:r>
          </w:p>
        </w:tc>
        <w:tc>
          <w:tcPr>
            <w:tcW w:type="dxa" w:w="66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Role</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Edge Collector (DMZ / read zone)</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lightweight agent the customer runs near the sources. It pulls from source systems, applies the source-impact budget, and pushes one-way into PPIQ staging. It is the only component that ever holds source credentials.</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One-way / data-diode option</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For high-security plants the push channel can be unidirectional; the PPIQ core never initiates a connection back into the OT network.</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Capture strategy (preferred order)</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 Change-data-capture via logical replication or a log reader; (2) a read replica or standby; (3) throttled direct reads in off-peak windows — chosen per source together with the DBA.</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Source-impact budget</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Per-source row caps, statement timeouts, concurrency and rate limits, and approved time windows, so PPIQ's read load on any production system is bounded and signed off in advance.</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Secrets</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 credentials live only in the Edge Collector's encrypted vault, masked on read-back, never in the browser or the core application config.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Why plant IT can approve this</w:t>
            </w:r>
          </w:p>
          <w:p>
            <w:pPr>
              <w:spacing w:after="0" w:line="256"/>
            </w:pPr>
            <w:r>
              <w:rPr>
                <w:color w:val="16202D"/>
                <w:sz w:val="18"/>
                <w:szCs w:val="18"/>
              </w:rPr>
              <w:t xml:space="preserve">PPIQ never reaches into the OT network: the Edge Collector is the only component that touches sources, it prefers change-data-capture or a replica over burdening the primary, and it pushes results outward rather than accepting inbound connections. OT-segmentation and change-control rules are respected by design, not by exception — which is what turns a multi-month security review into a manageable one.</w:t>
            </w:r>
          </w:p>
        </w:tc>
      </w:tr>
    </w:tbl>
    <w:p>
      <w:pPr>
        <w:pStyle w:val="Heading2"/>
      </w:pPr>
      <w:r>
        <w:t xml:space="preserve">4.7 The connector catalog — relational, historian, streaming, enterprise</w:t>
      </w:r>
    </w:p>
    <w:p>
      <w:pPr>
        <w:spacing w:after="140" w:before="0" w:line="274"/>
      </w:pPr>
      <w:r>
        <w:rPr>
          <w:color w:val="16202D"/>
          <w:sz w:val="20"/>
          <w:szCs w:val="20"/>
        </w:rPr>
        <w:t xml:space="preserve">v4 listed six relational and file connectors. A manufacturing intelligence product must also speak the systems where real-time process data actually lives. v5 commits to a connector catalog spanning five families, each with an honest, per-source availability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760"/>
        <w:gridCol w:w="2500"/>
      </w:tblGrid>
      <w:tr>
        <w:trPr>
          <w:tblHeader/>
        </w:trPr>
        <w:tc>
          <w:tcPr>
            <w:tcW w:type="dxa" w:w="21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Family</w:t>
            </w:r>
          </w:p>
        </w:tc>
        <w:tc>
          <w:tcPr>
            <w:tcW w:type="dxa" w:w="4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Sources</w:t>
            </w:r>
          </w:p>
        </w:tc>
        <w:tc>
          <w:tcPr>
            <w:tcW w:type="dxa" w:w="25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Read mode</w:t>
            </w:r>
          </w:p>
        </w:tc>
      </w:tr>
      <w:tr>
        <w:tc>
          <w:tcPr>
            <w:tcW w:type="dxa" w:w="21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Relational databases</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PostgreSQL, MSSQL, MySQL, Oracle (plus generic ODBC / JDBC)</w:t>
            </w:r>
          </w:p>
        </w:tc>
        <w:tc>
          <w:tcPr>
            <w:tcW w:type="dxa" w:w="2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CDC, replica, or bounded query</w:t>
            </w:r>
          </w:p>
        </w:tc>
      </w:tr>
      <w:tr>
        <w:tc>
          <w:tcPr>
            <w:tcW w:type="dxa" w:w="21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Process historians</w:t>
            </w:r>
          </w:p>
        </w:tc>
        <w:tc>
          <w:tcPr>
            <w:tcW w:type="dxa" w:w="4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OSIsoft / AVEVA PI (PI Web API), AspenTech InfoPlus.21 (IP.21), AVEVA / Wonderware Historian, GE Proficy</w:t>
            </w:r>
          </w:p>
        </w:tc>
        <w:tc>
          <w:tcPr>
            <w:tcW w:type="dxa" w:w="2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Native historian API, time-ranged</w:t>
            </w:r>
          </w:p>
        </w:tc>
      </w:tr>
      <w:tr>
        <w:tc>
          <w:tcPr>
            <w:tcW w:type="dxa" w:w="21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Industrial protocols</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OPC-UA (read subscriptions), OPC-DA via gateway, MQTT / Sparkplug B, Kafka</w:t>
            </w:r>
          </w:p>
        </w:tc>
        <w:tc>
          <w:tcPr>
            <w:tcW w:type="dxa" w:w="2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Subscribe / stream into staging</w:t>
            </w:r>
          </w:p>
        </w:tc>
      </w:tr>
      <w:tr>
        <w:tc>
          <w:tcPr>
            <w:tcW w:type="dxa" w:w="21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Files &amp; drops</w:t>
            </w:r>
          </w:p>
        </w:tc>
        <w:tc>
          <w:tcPr>
            <w:tcW w:type="dxa" w:w="4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Excel, CSV, Parquet, JSON, XML over SFTP or a watched folder</w:t>
            </w:r>
          </w:p>
        </w:tc>
        <w:tc>
          <w:tcPr>
            <w:tcW w:type="dxa" w:w="2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Scheduled pull or drop-triggered</w:t>
            </w:r>
          </w:p>
        </w:tc>
      </w:tr>
      <w:tr>
        <w:tc>
          <w:tcPr>
            <w:tcW w:type="dxa" w:w="21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Enterprise &amp; lab</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SAP (RFC / OData), generic REST / GraphQL, MES and LIMS APIs</w:t>
            </w:r>
          </w:p>
        </w:tc>
        <w:tc>
          <w:tcPr>
            <w:tcW w:type="dxa" w:w="2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Scheduled API pull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Connector Truth Contract</w:t>
            </w:r>
          </w:p>
          <w:p>
            <w:pPr>
              <w:spacing w:after="0" w:line="256"/>
            </w:pPr>
            <w:r>
              <w:rPr>
                <w:color w:val="16202D"/>
                <w:sz w:val="18"/>
                <w:szCs w:val="18"/>
              </w:rPr>
              <w:t xml:space="preserve">Every connector declares its capability and its real availability honestly. A connector designed but not yet certified for a particular source version says so in the UI — the forbidden claim "live Oracle ready today" is replaced by an explicit, per-source capability state, and that state is tested (§13). High-frequency historian and OPC data lands in the time-series store with configurable downsampling and retention (§16.3), not in a naive row table.</w:t>
            </w:r>
          </w:p>
        </w:tc>
      </w:tr>
    </w:tbl>
    <w:p>
      <w:pPr>
        <w:pStyle w:val="Heading2"/>
      </w:pPr>
      <w:r>
        <w:t xml:space="preserve">4.8 Initial historical backfill &amp; source-load protection</w:t>
      </w:r>
    </w:p>
    <w:p>
      <w:pPr>
        <w:spacing w:after="140" w:before="0" w:line="274"/>
      </w:pPr>
      <w:r>
        <w:rPr>
          <w:color w:val="16202D"/>
          <w:sz w:val="20"/>
          <w:szCs w:val="20"/>
        </w:rPr>
        <w:t xml:space="preserve">Onboarding a plant means loading history — months or years — not just the 2-minute delta. The initial backfill is the heaviest operation PPIQ performs against a source, so it is engineered separately from ongoing sync.</w:t>
      </w:r>
    </w:p>
    <w:p>
      <w:pPr>
        <w:pStyle w:val="ListParagraph"/>
        <w:numPr>
          <w:ilvl w:val="0"/>
          <w:numId w:val="2"/>
        </w:numPr>
        <w:spacing w:after="70" w:line="268"/>
      </w:pPr>
      <w:r>
        <w:rPr>
          <w:color w:val="16202D"/>
          <w:sz w:val="20"/>
          <w:szCs w:val="20"/>
        </w:rPr>
        <w:t xml:space="preserve">The backfill is a throttled, resumable, checkpointed batch — never one giant query against the primary. It honours the same source-impact budget as live sync.</w:t>
      </w:r>
    </w:p>
    <w:p>
      <w:pPr>
        <w:pStyle w:val="ListParagraph"/>
        <w:numPr>
          <w:ilvl w:val="0"/>
          <w:numId w:val="2"/>
        </w:numPr>
        <w:spacing w:after="70" w:line="268"/>
      </w:pPr>
      <w:r>
        <w:rPr>
          <w:color w:val="16202D"/>
          <w:sz w:val="20"/>
          <w:szCs w:val="20"/>
        </w:rPr>
        <w:t xml:space="preserve">History can come from a DBA-provided dump or export, a read replica / standby, or partitioned range reads inside an agreed maintenance window — whichever the DBA prefers.</w:t>
      </w:r>
    </w:p>
    <w:p>
      <w:pPr>
        <w:pStyle w:val="ListParagraph"/>
        <w:numPr>
          <w:ilvl w:val="0"/>
          <w:numId w:val="2"/>
        </w:numPr>
        <w:spacing w:after="70" w:line="268"/>
      </w:pPr>
      <w:r>
        <w:rPr>
          <w:color w:val="16202D"/>
          <w:sz w:val="20"/>
          <w:szCs w:val="20"/>
        </w:rPr>
        <w:t xml:space="preserve">Backfill is idempotent and watermark-tracked; it can pause and resume; its progress and source-impact are visible in the Jobs Monitor (§11).</w:t>
      </w:r>
    </w:p>
    <w:p>
      <w:pPr>
        <w:pStyle w:val="ListParagraph"/>
        <w:numPr>
          <w:ilvl w:val="0"/>
          <w:numId w:val="2"/>
        </w:numPr>
        <w:spacing w:after="70" w:line="268"/>
      </w:pPr>
      <w:r>
        <w:rPr>
          <w:color w:val="16202D"/>
          <w:sz w:val="20"/>
          <w:szCs w:val="20"/>
        </w:rPr>
        <w:t xml:space="preserve">Backfill is also the maturity accelerator: loading several months of history makes readiness gates pass on day one instead of waiting months for data to accumulate (§6.3).</w:t>
      </w:r>
    </w:p>
    <w:p>
      <w:pPr>
        <w:pStyle w:val="Heading2"/>
      </w:pPr>
      <w:r>
        <w:t xml:space="preserve">4.9 Upstream schema-drift detection &amp; mapping health</w:t>
      </w:r>
    </w:p>
    <w:p>
      <w:pPr>
        <w:spacing w:after="140" w:before="0" w:line="274"/>
      </w:pPr>
      <w:r>
        <w:rPr>
          <w:color w:val="16202D"/>
          <w:sz w:val="20"/>
          <w:szCs w:val="20"/>
        </w:rPr>
        <w:t xml:space="preserve">Plants upgrade their MES and historians; columns get renamed, retyped or removed. A mapping that silently returns wrong or empty results is worse than one that fails loudly. PPIQ detects drift and refuses to fail silently.</w:t>
      </w:r>
    </w:p>
    <w:p>
      <w:pPr>
        <w:pStyle w:val="ListParagraph"/>
        <w:numPr>
          <w:ilvl w:val="0"/>
          <w:numId w:val="2"/>
        </w:numPr>
        <w:spacing w:after="70" w:line="268"/>
      </w:pPr>
      <w:r>
        <w:rPr>
          <w:color w:val="16202D"/>
          <w:sz w:val="20"/>
          <w:szCs w:val="20"/>
        </w:rPr>
        <w:t xml:space="preserve">Every staged object's profile — columns, types, key candidates — is snapshotted; each sync compares the live shape against the snapshot.</w:t>
      </w:r>
    </w:p>
    <w:p>
      <w:pPr>
        <w:pStyle w:val="ListParagraph"/>
        <w:numPr>
          <w:ilvl w:val="0"/>
          <w:numId w:val="2"/>
        </w:numPr>
        <w:spacing w:after="70" w:line="268"/>
      </w:pPr>
      <w:r>
        <w:rPr>
          <w:color w:val="16202D"/>
          <w:sz w:val="20"/>
          <w:szCs w:val="20"/>
        </w:rPr>
        <w:t xml:space="preserve">On drift (new, renamed, removed column, or type change), PPIQ raises a typed Schema-Change event, flags the mapping views that depend on it, and — configurable — pauses dependent canonical imports rather than producing incorrect facts.</w:t>
      </w:r>
    </w:p>
    <w:p>
      <w:pPr>
        <w:pStyle w:val="ListParagraph"/>
        <w:numPr>
          <w:ilvl w:val="0"/>
          <w:numId w:val="2"/>
        </w:numPr>
        <w:spacing w:after="70" w:line="268"/>
      </w:pPr>
      <w:r>
        <w:rPr>
          <w:color w:val="16202D"/>
          <w:sz w:val="20"/>
          <w:szCs w:val="20"/>
        </w:rPr>
        <w:t xml:space="preserve">A Mapping Health panel shows, per mapping version, which views are green, degraded or broken, and exactly why (the typed resolver error from §4.3).</w:t>
      </w:r>
    </w:p>
    <w:p>
      <w:pPr>
        <w:pStyle w:val="ListParagraph"/>
        <w:numPr>
          <w:ilvl w:val="0"/>
          <w:numId w:val="2"/>
        </w:numPr>
        <w:spacing w:after="70" w:line="268"/>
      </w:pPr>
      <w:r>
        <w:rPr>
          <w:color w:val="16202D"/>
          <w:sz w:val="20"/>
          <w:szCs w:val="20"/>
        </w:rPr>
        <w:t xml:space="preserve">Nothing fails silently: a broken join surfaces NoSuchColumn / AmbiguousJoinKey precisely, with the affected view and the next safe step.</w:t>
      </w:r>
    </w:p>
    <w:p>
      <w:pPr>
        <w:pStyle w:val="Heading2"/>
      </w:pPr>
      <w:r>
        <w:t xml:space="preserve">4.B · In plain terms — for buyers, not engineers</w:t>
      </w:r>
    </w:p>
    <w:p>
      <w:pPr>
        <w:spacing w:after="120" w:before="0" w:line="274"/>
      </w:pPr>
      <w:r>
        <w:rPr>
          <w:i/>
          <w:iCs/>
          <w:color w:val="8EA7C1"/>
          <w:sz w:val="19"/>
          <w:szCs w:val="19"/>
        </w:rPr>
        <w:t xml:space="preserve">What we can connect to today, how the OT-safe collector works, and what happens when a source changes.</w:t>
      </w:r>
    </w:p>
    <w:p>
      <w:pPr>
        <w:spacing w:after="60" w:before="80" w:line="274"/>
      </w:pPr>
      <w:r>
        <w:rPr>
          <w:b/>
          <w:bCs/>
          <w:color w:val="102A43"/>
          <w:sz w:val="18"/>
          <w:szCs w:val="18"/>
        </w:rPr>
        <w:t xml:space="preserve">▸ Connector families and honest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3300"/>
        <w:gridCol w:w="2400"/>
        <w:gridCol w:w="1800"/>
      </w:tblGrid>
      <w:tr>
        <w:trPr>
          <w:tblHeader/>
        </w:trPr>
        <w:tc>
          <w:tcPr>
            <w:tcW w:type="dxa" w:w="18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Family</w:t>
            </w:r>
          </w:p>
        </w:tc>
        <w:tc>
          <w:tcPr>
            <w:tcW w:type="dxa" w:w="3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Examples</w:t>
            </w:r>
          </w:p>
        </w:tc>
        <w:tc>
          <w:tcPr>
            <w:tcW w:type="dxa" w:w="2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Read mode</w:t>
            </w:r>
          </w:p>
        </w:tc>
        <w:tc>
          <w:tcPr>
            <w:tcW w:type="dxa" w:w="18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Status</w:t>
            </w:r>
          </w:p>
        </w:tc>
      </w:tr>
      <w:tr>
        <w:tc>
          <w:tcPr>
            <w:tcW w:type="dxa" w:w="1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Relational DB</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PostgreSQL, SQL Server, Oracle, MySQL</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CDC / replica / bounded query</w:t>
            </w:r>
          </w:p>
        </w:tc>
        <w:tc>
          <w:tcPr>
            <w:tcW w:type="dxa" w:w="1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GA</w:t>
            </w:r>
          </w:p>
        </w:tc>
      </w:tr>
      <w:tr>
        <w:tc>
          <w:tcPr>
            <w:tcW w:type="dxa" w:w="1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Files &amp; drops</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CSV, Excel, Parquet, JSON over SFTP / folder</w:t>
            </w:r>
          </w:p>
        </w:tc>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Scheduled pull or drop-triggered</w:t>
            </w:r>
          </w:p>
        </w:tc>
        <w:tc>
          <w:tcPr>
            <w:tcW w:type="dxa" w:w="18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GA</w:t>
            </w:r>
          </w:p>
        </w:tc>
      </w:tr>
      <w:tr>
        <w:tc>
          <w:tcPr>
            <w:tcW w:type="dxa" w:w="1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Process historian</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PI Web API, IP.21, AVEVA, Proficy</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Native historian API, time-ranged</w:t>
            </w:r>
          </w:p>
        </w:tc>
        <w:tc>
          <w:tcPr>
            <w:tcW w:type="dxa" w:w="1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Targeted (one GA on the roadmap)</w:t>
            </w:r>
          </w:p>
        </w:tc>
      </w:tr>
      <w:tr>
        <w:tc>
          <w:tcPr>
            <w:tcW w:type="dxa" w:w="1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Industrial protocol</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OPC-UA, MQTT / Sparkplug, Kafka</w:t>
            </w:r>
          </w:p>
        </w:tc>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Subscribe / stream into staging</w:t>
            </w:r>
          </w:p>
        </w:tc>
        <w:tc>
          <w:tcPr>
            <w:tcW w:type="dxa" w:w="18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Planned / beta</w:t>
            </w:r>
          </w:p>
        </w:tc>
      </w:tr>
      <w:tr>
        <w:tc>
          <w:tcPr>
            <w:tcW w:type="dxa" w:w="1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Enterprise &amp; lab</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SAP, REST / GraphQL, MES / LIMS APIs</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Scheduled API pull</w:t>
            </w:r>
          </w:p>
        </w:tc>
        <w:tc>
          <w:tcPr>
            <w:tcW w:type="dxa" w:w="1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Planned</w:t>
            </w:r>
          </w:p>
        </w:tc>
      </w:tr>
    </w:tbl>
    <w:p>
      <w:pPr>
        <w:spacing w:after="120" w:before="20" w:line="274"/>
      </w:pPr>
      <w:r>
        <w:rPr>
          <w:i/>
          <w:iCs/>
          <w:color w:val="8EA7C1"/>
          <w:sz w:val="16"/>
          <w:szCs w:val="16"/>
        </w:rPr>
        <w:t xml:space="preserve">Every connector declares its capability and its real availability through the Connector Truth Contract; status is shown honestly in-app — never green when stale.</w:t>
      </w:r>
    </w:p>
    <w:p>
      <w:pPr>
        <w:spacing w:after="60" w:before="80" w:line="274"/>
      </w:pPr>
      <w:r>
        <w:rPr>
          <w:b/>
          <w:bCs/>
          <w:color w:val="102A43"/>
          <w:sz w:val="18"/>
          <w:szCs w:val="18"/>
        </w:rPr>
        <w:t xml:space="preserve">▸ OT-safe topology — one-way, read-only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OT network (control)            DMZ                    PPIQ</w:t>
            </w:r>
          </w:p>
          <w:p>
            <w:pPr>
              <w:spacing w:after="0" w:before="0" w:line="240"/>
            </w:pPr>
            <w:r>
              <w:rPr>
                <w:rFonts w:ascii="JetBrains Mono" w:cs="JetBrains Mono" w:eastAsia="JetBrains Mono" w:hAnsi="JetBrains Mono"/>
                <w:color w:val="EAF6FF"/>
                <w:sz w:val="16"/>
                <w:szCs w:val="16"/>
              </w:rPr>
              <w:t xml:space="preserve">   PLC / SCADA  --read--&gt;  Edge Collector  --one-way push--&gt;  staging</w:t>
            </w:r>
          </w:p>
          <w:p>
            <w:pPr>
              <w:spacing w:after="0" w:before="0" w:line="240"/>
            </w:pPr>
            <w:r>
              <w:rPr>
                <w:rFonts w:ascii="JetBrains Mono" w:cs="JetBrains Mono" w:eastAsia="JetBrains Mono" w:hAnsi="JetBrains Mono"/>
                <w:color w:val="EAF6FF"/>
                <w:sz w:val="16"/>
                <w:szCs w:val="16"/>
              </w:rPr>
              <w:t xml:space="preserve">                              (read-only,                      </w:t>
            </w:r>
          </w:p>
          <w:p>
            <w:pPr>
              <w:spacing w:after="0" w:before="0" w:line="240"/>
            </w:pPr>
            <w:r>
              <w:rPr>
                <w:rFonts w:ascii="JetBrains Mono" w:cs="JetBrains Mono" w:eastAsia="JetBrains Mono" w:hAnsi="JetBrains Mono"/>
                <w:color w:val="EAF6FF"/>
                <w:sz w:val="16"/>
                <w:szCs w:val="16"/>
              </w:rPr>
              <w:t xml:space="preserve">                               buffered)     NO inbound path to OT  &lt;--X</w:t>
            </w:r>
          </w:p>
        </w:tc>
      </w:tr>
    </w:tbl>
    <w:p>
      <w:pPr>
        <w:spacing w:after="60" w:before="80" w:line="274"/>
      </w:pPr>
      <w:r>
        <w:rPr>
          <w:b/>
          <w:bCs/>
          <w:color w:val="102A43"/>
          <w:sz w:val="18"/>
          <w:szCs w:val="18"/>
        </w:rPr>
        <w:t xml:space="preserve">▸ Connect → profile → stage → drift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Create link  -&gt;  test connectivity  -&gt;  pick objects + cadence</w:t>
            </w:r>
          </w:p>
          <w:p>
            <w:pPr>
              <w:spacing w:after="0" w:before="0" w:line="240"/>
            </w:pPr>
            <w:r>
              <w:rPr>
                <w:rFonts w:ascii="JetBrains Mono" w:cs="JetBrains Mono" w:eastAsia="JetBrains Mono" w:hAnsi="JetBrains Mono"/>
                <w:color w:val="EAF6FF"/>
                <w:sz w:val="16"/>
                <w:szCs w:val="16"/>
              </w:rPr>
              <w:t xml:space="preserve">   -&gt;  profile (keys, types, timestamps, samples)  -&gt;  source-shaped staging</w:t>
            </w:r>
          </w:p>
          <w:p>
            <w:pPr>
              <w:spacing w:after="0" w:before="0" w:line="240"/>
            </w:pPr>
            <w:r>
              <w:rPr>
                <w:rFonts w:ascii="JetBrains Mono" w:cs="JetBrains Mono" w:eastAsia="JetBrains Mono" w:hAnsi="JetBrains Mono"/>
                <w:color w:val="EAF6FF"/>
                <w:sz w:val="16"/>
                <w:szCs w:val="16"/>
              </w:rPr>
              <w:t xml:space="preserve">   -&gt;  schema snapshot</w:t>
            </w:r>
          </w:p>
          <w:p>
            <w:pPr>
              <w:spacing w:after="0" w:before="0" w:line="240"/>
            </w:pPr>
            <w:r>
              <w:rPr>
                <w:rFonts w:ascii="JetBrains Mono" w:cs="JetBrains Mono" w:eastAsia="JetBrains Mono" w:hAnsi="JetBrains Mono"/>
                <w:color w:val="EAF6FF"/>
                <w:sz w:val="16"/>
                <w:szCs w:val="16"/>
              </w:rPr>
              <w:t xml:space="preserve">          v</w:t>
            </w:r>
          </w:p>
          <w:p>
            <w:pPr>
              <w:spacing w:after="0" w:before="0" w:line="240"/>
            </w:pPr>
            <w:r>
              <w:rPr>
                <w:rFonts w:ascii="JetBrains Mono" w:cs="JetBrains Mono" w:eastAsia="JetBrains Mono" w:hAnsi="JetBrains Mono"/>
                <w:color w:val="EAF6FF"/>
                <w:sz w:val="16"/>
                <w:szCs w:val="16"/>
              </w:rPr>
              <w:t xml:space="preserve">   later: source column changes  -&gt;  drift detected  -&gt;  dependent mapping PAUSED</w:t>
            </w:r>
          </w:p>
          <w:p>
            <w:pPr>
              <w:spacing w:after="0" w:before="0" w:line="240"/>
            </w:pPr>
            <w:r>
              <w:rPr>
                <w:rFonts w:ascii="JetBrains Mono" w:cs="JetBrains Mono" w:eastAsia="JetBrains Mono" w:hAnsi="JetBrains Mono"/>
                <w:color w:val="EAF6FF"/>
                <w:sz w:val="16"/>
                <w:szCs w:val="16"/>
              </w:rPr>
              <w:t xml:space="preserve">          -&gt;  clear message + review, never a silent wrong number</w:t>
            </w:r>
          </w:p>
        </w:tc>
      </w:tr>
    </w:tbl>
    <w:p>
      <w:pPr>
        <w:pStyle w:val="Heading1"/>
      </w:pPr>
      <w:r>
        <w:t xml:space="preserve">5 · Canonical Domain &amp; Semantic Model</w:t>
      </w:r>
    </w:p>
    <w:p>
      <w:pPr>
        <w:pBdr>
          <w:bottom w:val="single" w:color="00D4FF" w:sz="14" w:space="1"/>
        </w:pBdr>
        <w:spacing w:after="140" w:before="20"/>
      </w:pPr>
      <w:r>
        <w:t xml:space="preserve"/>
      </w:r>
    </w:p>
    <w:p>
      <w:pPr>
        <w:spacing w:after="140" w:before="0" w:line="274"/>
      </w:pPr>
      <w:r>
        <w:rPr>
          <w:color w:val="16202D"/>
          <w:sz w:val="20"/>
          <w:szCs w:val="20"/>
        </w:rPr>
        <w:t xml:space="preserve">The canonical model is generic — sites, areas, equipment, materials, process steps, parameter observations, quality events, downtime, lab results, risk and value. The flat-steel demo populates it, but nothing in the schema is steel-specific. v5 deepens the three places a metallurgist will probe hardest: blended-heat provenance, data coverage, and label quality.</w:t>
      </w:r>
    </w:p>
    <w:p>
      <w:pPr>
        <w:pStyle w:val="Heading2"/>
      </w:pPr>
      <w:r>
        <w:t xml:space="preserve">5.1 The genealogy golden thread</w:t>
      </w:r>
    </w:p>
    <w:p>
      <w:pPr>
        <w:spacing w:after="140" w:before="0" w:line="274"/>
      </w:pPr>
      <w:r>
        <w:rPr>
          <w:color w:val="16202D"/>
          <w:sz w:val="20"/>
          <w:szCs w:val="20"/>
        </w:rPr>
        <w:t xml:space="preserve">The single most convincing demo moment is walking from a surface defect on a finished coil all the way back to the chemistry of the melt that produced it — on the customer's own key names. The canonical genealogy spine makes this one navigable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700"/>
        <w:gridCol w:w="3510"/>
      </w:tblGrid>
      <w:tr>
        <w:trPr>
          <w:tblHeader/>
        </w:trPr>
        <w:tc>
          <w:tcPr>
            <w:tcW w:type="dxa" w:w="21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Canonical entity</w:t>
            </w:r>
          </w:p>
        </w:tc>
        <w:tc>
          <w:tcPr>
            <w:tcW w:type="dxa" w:w="3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Demo instance</w:t>
            </w:r>
          </w:p>
        </w:tc>
        <w:tc>
          <w:tcPr>
            <w:tcW w:type="dxa" w:w="351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Parent link</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Heat</w:t>
            </w:r>
          </w:p>
        </w:tc>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H-3361 (EAF melt, grade S355)</w:t>
            </w:r>
          </w:p>
        </w:tc>
        <w:tc>
          <w:tcPr>
            <w:tcW w:type="dxa" w:w="35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root of the thread</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Ladle / LF treatment</w:t>
            </w:r>
          </w:p>
        </w:tc>
        <w:tc>
          <w:tcPr>
            <w:tcW w:type="dxa" w:w="3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L-2207</w:t>
            </w:r>
          </w:p>
        </w:tc>
        <w:tc>
          <w:tcPr>
            <w:tcW w:type="dxa" w:w="35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Heat H-3361</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Tundish (sequence)</w:t>
            </w:r>
          </w:p>
        </w:tc>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T-118 (sequence SEQ-44)</w:t>
            </w:r>
          </w:p>
        </w:tc>
        <w:tc>
          <w:tcPr>
            <w:tcW w:type="dxa" w:w="35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Ladle L-2207</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Mould / Strand</w:t>
            </w:r>
          </w:p>
        </w:tc>
        <w:tc>
          <w:tcPr>
            <w:tcW w:type="dxa" w:w="3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M-3 / Strand 2</w:t>
            </w:r>
          </w:p>
        </w:tc>
        <w:tc>
          <w:tcPr>
            <w:tcW w:type="dxa" w:w="35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Tundish T-118</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Slab</w:t>
            </w:r>
          </w:p>
        </w:tc>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S-44170-A</w:t>
            </w:r>
          </w:p>
        </w:tc>
        <w:tc>
          <w:tcPr>
            <w:tcW w:type="dxa" w:w="35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cast on Strand 2</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Coil</w:t>
            </w:r>
          </w:p>
        </w:tc>
        <w:tc>
          <w:tcPr>
            <w:tcW w:type="dxa" w:w="3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C-0044170 (HSM piece_no "C-0044170")</w:t>
            </w:r>
          </w:p>
        </w:tc>
        <w:tc>
          <w:tcPr>
            <w:tcW w:type="dxa" w:w="35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rolled from Slab S-44170-A</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Quality events</w:t>
            </w:r>
          </w:p>
        </w:tc>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5 edge-crack defects, severity ≥ 2</w:t>
            </w:r>
          </w:p>
        </w:tc>
        <w:tc>
          <w:tcPr>
            <w:tcW w:type="dxa" w:w="35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inspected on the coil; trace back to Heat H-3361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Why this lands</w:t>
            </w:r>
          </w:p>
          <w:p>
            <w:pPr>
              <w:spacing w:after="0" w:line="256"/>
            </w:pPr>
            <w:r>
              <w:rPr>
                <w:color w:val="16202D"/>
                <w:sz w:val="18"/>
                <w:szCs w:val="18"/>
              </w:rPr>
              <w:t xml:space="preserve">One click from a defect to the melt is the physical proof of "it already speaks my plant." It only works because the business-key dictionary reconciled the HSM, caster and inspection key formats (§4.3) and the genealogy spine linked the entities — neither hardcoded.</w:t>
            </w:r>
          </w:p>
        </w:tc>
      </w:tr>
    </w:tbl>
    <w:p>
      <w:pPr>
        <w:pStyle w:val="Heading2"/>
      </w:pPr>
      <w:r>
        <w:t xml:space="preserve">5.2 Downtime — equipment stop vs production impact</w:t>
      </w:r>
    </w:p>
    <w:p>
      <w:pPr>
        <w:spacing w:after="140" w:before="0" w:line="274"/>
      </w:pPr>
      <w:r>
        <w:rPr>
          <w:color w:val="16202D"/>
          <w:sz w:val="20"/>
          <w:szCs w:val="20"/>
        </w:rPr>
        <w:t xml:space="preserve">Naively costing downtime by raw equipment-stopped minutes either wildly over- or under-states the loss. PPIQ models two distinct quantities, and the value engine uses the right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4000"/>
        <w:gridCol w:w="3210"/>
      </w:tblGrid>
      <w:tr>
        <w:trPr>
          <w:tblHeader/>
        </w:trPr>
        <w:tc>
          <w:tcPr>
            <w:tcW w:type="dxa" w:w="21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Concept</w:t>
            </w:r>
          </w:p>
        </w:tc>
        <w:tc>
          <w:tcPr>
            <w:tcW w:type="dxa" w:w="4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Definition</w:t>
            </w:r>
          </w:p>
        </w:tc>
        <w:tc>
          <w:tcPr>
            <w:tcW w:type="dxa" w:w="321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Demo example</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Equipment downtime</w:t>
            </w:r>
          </w:p>
        </w:tc>
        <w:tc>
          <w:tcPr>
            <w:tcW w:type="dxa" w:w="4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Minutes a specific equipment was unavailable.</w:t>
            </w:r>
          </w:p>
        </w:tc>
        <w:tc>
          <w:tcPr>
            <w:tcW w:type="dxa" w:w="32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HSM stand down 22 min</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Production-impact downtime</w:t>
            </w:r>
          </w:p>
        </w:tc>
        <w:tc>
          <w:tcPr>
            <w:tcW w:type="dxa" w:w="4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Minutes of output actually lost, after buffers, parallel paths and casting-sequence effects.</w:t>
            </w:r>
          </w:p>
        </w:tc>
        <w:tc>
          <w:tcPr>
            <w:tcW w:type="dxa" w:w="32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Caster trip 3 min → ≈ 312 min of sequence/cast impact</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Why they differ</w:t>
            </w:r>
          </w:p>
        </w:tc>
        <w:tc>
          <w:tcPr>
            <w:tcW w:type="dxa" w:w="4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Buffers, coil stockpiles, parallel lines and sequence constraints decouple an equipment stop from lost output.</w:t>
            </w:r>
          </w:p>
        </w:tc>
        <w:tc>
          <w:tcPr>
            <w:tcW w:type="dxa" w:w="32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22-min HSM stop inside a scheduled gap → 0 production-impact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value engine costs impact, not raw stops</w:t>
            </w:r>
          </w:p>
          <w:p>
            <w:pPr>
              <w:spacing w:after="0" w:line="256"/>
            </w:pPr>
            <w:r>
              <w:rPr>
                <w:color w:val="16202D"/>
                <w:sz w:val="18"/>
                <w:szCs w:val="18"/>
              </w:rPr>
              <w:t xml:space="preserve">Downtime cost (§7.5) is computed on production-impact minutes, not equipment-stopped minutes — so a buffered 22-minute mill stop costs nothing, while a 3-minute caster trip that kills a sequence costs hundreds of minutes. This is the difference between a credible euro figure and a number an operations manager dismisses on sight.</w:t>
            </w:r>
          </w:p>
        </w:tc>
      </w:tr>
    </w:tbl>
    <w:p>
      <w:pPr>
        <w:pStyle w:val="Heading2"/>
      </w:pPr>
      <w:r>
        <w:t xml:space="preserve">5.3 Blended provenance — mixed-heat / casting-transition genealogy</w:t>
      </w:r>
    </w:p>
    <w:p>
      <w:pPr>
        <w:spacing w:after="140" w:before="0" w:line="274"/>
      </w:pPr>
      <w:r>
        <w:rPr>
          <w:color w:val="16202D"/>
          <w:sz w:val="20"/>
          <w:szCs w:val="20"/>
        </w:rPr>
        <w:t xml:space="preserve">In continuous casting, consecutive heats are cast in one sequence; at the join, a transition slab contains steel from two heats. Blaming a defect on a transition coil on a single heat is metallurgically wrong, and a sharp customer will test exactly this. PPIQ models blended provenance instead of faking a clean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Provenance field</w:t>
            </w:r>
          </w:p>
        </w:tc>
        <w:tc>
          <w:tcPr>
            <w:tcW w:type="dxa" w:w="64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Meaning</w:t>
            </w:r>
          </w:p>
        </w:tc>
      </w:tr>
      <w:tr>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parent_heat_id</w:t>
            </w:r>
          </w:p>
        </w:tc>
        <w:tc>
          <w:tcPr>
            <w:tcW w:type="dxa" w:w="64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each contributing heat (one row per parent)</w:t>
            </w:r>
          </w:p>
        </w:tc>
      </w:tr>
      <w:tr>
        <w:tc>
          <w:tcPr>
            <w:tcW w:type="dxa" w:w="29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weight</w:t>
            </w:r>
          </w:p>
        </w:tc>
        <w:tc>
          <w:tcPr>
            <w:tcW w:type="dxa" w:w="64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estimated fraction of the piece from this heat (weights sum to 1)</w:t>
            </w:r>
          </w:p>
        </w:tc>
      </w:tr>
      <w:tr>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is_transition</w:t>
            </w:r>
          </w:p>
        </w:tc>
        <w:tc>
          <w:tcPr>
            <w:tcW w:type="dxa" w:w="64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true when the piece spans a heat boundary</w:t>
            </w:r>
          </w:p>
        </w:tc>
      </w:tr>
      <w:tr>
        <w:tc>
          <w:tcPr>
            <w:tcW w:type="dxa" w:w="29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provenance_confidence</w:t>
            </w:r>
          </w:p>
        </w:tc>
        <w:tc>
          <w:tcPr>
            <w:tcW w:type="dxa" w:w="64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exact · modeled · uncertain</w:t>
            </w:r>
          </w:p>
        </w:tc>
      </w:tr>
    </w:tbl>
    <w:p>
      <w:pPr>
        <w:pStyle w:val="ListParagraph"/>
        <w:numPr>
          <w:ilvl w:val="0"/>
          <w:numId w:val="2"/>
        </w:numPr>
        <w:spacing w:after="70" w:line="268"/>
      </w:pPr>
      <w:r>
        <w:rPr>
          <w:color w:val="16202D"/>
          <w:sz w:val="20"/>
          <w:szCs w:val="20"/>
        </w:rPr>
        <w:t xml:space="preserve">Weights are derived from cast timing, a tundish-mixing estimate, and tracer/marker data where available. When the split is unknown, the material is flagged transition / uncertain rather than assigned to one heat.</w:t>
      </w:r>
    </w:p>
    <w:p>
      <w:pPr>
        <w:pStyle w:val="ListParagraph"/>
        <w:numPr>
          <w:ilvl w:val="0"/>
          <w:numId w:val="2"/>
        </w:numPr>
        <w:spacing w:after="70" w:line="268"/>
      </w:pPr>
      <w:r>
        <w:rPr>
          <w:color w:val="16202D"/>
          <w:sz w:val="20"/>
          <w:szCs w:val="20"/>
        </w:rPr>
        <w:t xml:space="preserve">Analyses needing single-heat attribution either exclude flagged transition material or attribute proportionally by weight — and always state which they did.</w:t>
      </w:r>
    </w:p>
    <w:p>
      <w:pPr>
        <w:pStyle w:val="ListParagraph"/>
        <w:numPr>
          <w:ilvl w:val="0"/>
          <w:numId w:val="2"/>
        </w:numPr>
        <w:spacing w:after="70" w:line="268"/>
      </w:pPr>
      <w:r>
        <w:rPr>
          <w:color w:val="16202D"/>
          <w:sz w:val="20"/>
          <w:szCs w:val="20"/>
        </w:rPr>
        <w:t xml:space="preserve">Asked "which heat caused this defect," the assistant answers honestly: </w:t>
      </w:r>
      <w:r>
        <w:rPr>
          <w:i/>
          <w:iCs/>
          <w:color w:val="16202D"/>
          <w:sz w:val="20"/>
          <w:szCs w:val="20"/>
        </w:rPr>
        <w:t xml:space="preserve">"this coil is transition material blending heats H-3361 (≈70%) and H-3362 (≈30%); attribution is shared, not singular."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PPIQ never fabricates a clean single-heat answer for blended material</w:t>
            </w:r>
          </w:p>
          <w:p>
            <w:pPr>
              <w:spacing w:after="0" w:line="256"/>
            </w:pPr>
            <w:r>
              <w:rPr>
                <w:color w:val="16202D"/>
                <w:sz w:val="18"/>
                <w:szCs w:val="18"/>
              </w:rPr>
              <w:t xml:space="preserve">Transition material is labelled, weighted, or excluded — and every analysis says which. This is the difference between a tool a metallurgist trusts and one they catch over-claiming.</w:t>
            </w:r>
          </w:p>
        </w:tc>
      </w:tr>
    </w:tbl>
    <w:p>
      <w:pPr>
        <w:pStyle w:val="Heading2"/>
      </w:pPr>
      <w:r>
        <w:t xml:space="preserve">5.4 Linkage &amp; data-coverage transparency</w:t>
      </w:r>
    </w:p>
    <w:p>
      <w:pPr>
        <w:spacing w:after="140" w:before="0" w:line="274"/>
      </w:pPr>
      <w:r>
        <w:rPr>
          <w:color w:val="16202D"/>
          <w:sz w:val="20"/>
          <w:szCs w:val="20"/>
        </w:rPr>
        <w:t xml:space="preserve">If 12% of coils cannot be linked to a heat, an analysis that silently drops them is misleading — the missing rows might be exactly where the problem lives. PPIQ refuses silent survivorship.</w:t>
      </w:r>
    </w:p>
    <w:p>
      <w:pPr>
        <w:pStyle w:val="ListParagraph"/>
        <w:numPr>
          <w:ilvl w:val="0"/>
          <w:numId w:val="2"/>
        </w:numPr>
        <w:spacing w:after="70" w:line="268"/>
      </w:pPr>
      <w:r>
        <w:rPr>
          <w:color w:val="16202D"/>
          <w:sz w:val="20"/>
          <w:szCs w:val="20"/>
        </w:rPr>
        <w:t xml:space="preserve">Every analysis and KPI states its population: </w:t>
      </w:r>
      <w:r>
        <w:rPr>
          <w:i/>
          <w:iCs/>
          <w:color w:val="16202D"/>
          <w:sz w:val="20"/>
          <w:szCs w:val="20"/>
        </w:rPr>
        <w:t xml:space="preserve">"computed on 5,142 of 5,604 coils (91.8%); 462 excluded — 7.1% missing heat link, 1.1% rejected ambiguous key."</w:t>
      </w:r>
    </w:p>
    <w:p>
      <w:pPr>
        <w:pStyle w:val="ListParagraph"/>
        <w:numPr>
          <w:ilvl w:val="0"/>
          <w:numId w:val="2"/>
        </w:numPr>
        <w:spacing w:after="70" w:line="268"/>
      </w:pPr>
      <w:r>
        <w:rPr>
          <w:color w:val="16202D"/>
          <w:sz w:val="20"/>
          <w:szCs w:val="20"/>
        </w:rPr>
        <w:t xml:space="preserve">A Data Coverage panel shows, per canonical entity and per mapping, linked vs. unlinked counts and the reason for each exclusion.</w:t>
      </w:r>
    </w:p>
    <w:p>
      <w:pPr>
        <w:pStyle w:val="ListParagraph"/>
        <w:numPr>
          <w:ilvl w:val="0"/>
          <w:numId w:val="2"/>
        </w:numPr>
        <w:spacing w:after="70" w:line="268"/>
      </w:pPr>
      <w:r>
        <w:rPr>
          <w:color w:val="16202D"/>
          <w:sz w:val="20"/>
          <w:szCs w:val="20"/>
        </w:rPr>
        <w:t xml:space="preserve">Excluded records are inspectable — you can list exactly which coils were dropped and why — never hidden.</w:t>
      </w:r>
    </w:p>
    <w:p>
      <w:pPr>
        <w:pStyle w:val="ListParagraph"/>
        <w:numPr>
          <w:ilvl w:val="0"/>
          <w:numId w:val="2"/>
        </w:numPr>
        <w:spacing w:after="70" w:line="268"/>
      </w:pPr>
      <w:r>
        <w:rPr>
          <w:color w:val="16202D"/>
          <w:sz w:val="20"/>
          <w:szCs w:val="20"/>
        </w:rPr>
        <w:t xml:space="preserve">When coverage is low enough to bias a result, the assistant says so as part of the answer instead of presenting the finding as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Coverage is shown on every analysis, never buried</w:t>
            </w:r>
          </w:p>
          <w:p>
            <w:pPr>
              <w:spacing w:after="0" w:line="256"/>
            </w:pPr>
            <w:r>
              <w:rPr>
                <w:color w:val="16202D"/>
                <w:sz w:val="18"/>
                <w:szCs w:val="18"/>
              </w:rPr>
              <w:t xml:space="preserve">If a finding rests on 60% of the data, the buyer must know. Transparency about what was excluded is a trust feature — and it is the honest counterpart to the readiness gates of §6.3.</w:t>
            </w:r>
          </w:p>
        </w:tc>
      </w:tr>
    </w:tbl>
    <w:p>
      <w:pPr>
        <w:pStyle w:val="Heading2"/>
      </w:pPr>
      <w:r>
        <w:t xml:space="preserve">5.5 Defect-label quality &amp; cross-device catalog harmonization</w:t>
      </w:r>
    </w:p>
    <w:p>
      <w:pPr>
        <w:spacing w:after="140" w:before="0" w:line="274"/>
      </w:pPr>
      <w:r>
        <w:rPr>
          <w:color w:val="16202D"/>
          <w:sz w:val="20"/>
          <w:szCs w:val="20"/>
        </w:rPr>
        <w:t xml:space="preserve">Surface-inspection labels are themselves imperfect: false detections, missed defects, and device-specific codes. "Garbage in, garbage out" is a fair challenge, so PPIQ treats label quality as a first-class concern rather than assuming the labels are truth.</w:t>
      </w:r>
    </w:p>
    <w:p>
      <w:pPr>
        <w:pStyle w:val="ListParagraph"/>
        <w:numPr>
          <w:ilvl w:val="0"/>
          <w:numId w:val="2"/>
        </w:numPr>
        <w:spacing w:after="70" w:line="268"/>
      </w:pPr>
      <w:r>
        <w:rPr>
          <w:color w:val="16202D"/>
          <w:sz w:val="20"/>
          <w:szCs w:val="20"/>
        </w:rPr>
        <w:t xml:space="preserve">Inspection coverage is tracked and surfaced — what fraction of surface or length was actually inspected. An uninspected coil is not a defect-free coil, and PPIQ does not treat it as one.</w:t>
      </w:r>
    </w:p>
    <w:p>
      <w:pPr>
        <w:pStyle w:val="ListParagraph"/>
        <w:numPr>
          <w:ilvl w:val="0"/>
          <w:numId w:val="2"/>
        </w:numPr>
        <w:spacing w:after="70" w:line="268"/>
      </w:pPr>
      <w:r>
        <w:rPr>
          <w:color w:val="16202D"/>
          <w:sz w:val="20"/>
          <w:szCs w:val="20"/>
        </w:rPr>
        <w:t xml:space="preserve">Defects carry the device's confidence/severity where provided; low-confidence detections can be down-weighted or filtered per analysis.</w:t>
      </w:r>
    </w:p>
    <w:p>
      <w:pPr>
        <w:pStyle w:val="ListParagraph"/>
        <w:numPr>
          <w:ilvl w:val="0"/>
          <w:numId w:val="2"/>
        </w:numPr>
        <w:spacing w:after="70" w:line="268"/>
      </w:pPr>
      <w:r>
        <w:rPr>
          <w:color w:val="16202D"/>
          <w:sz w:val="20"/>
          <w:szCs w:val="20"/>
        </w:rPr>
        <w:t xml:space="preserve">A versioned defect catalog maps device-specific codes to a canonical defect taxonomy — two devices' codes for "edge crack" resolve to one canonical class — while preserving the original code for traceability.</w:t>
      </w:r>
    </w:p>
    <w:p>
      <w:pPr>
        <w:pStyle w:val="ListParagraph"/>
        <w:numPr>
          <w:ilvl w:val="0"/>
          <w:numId w:val="2"/>
        </w:numPr>
        <w:spacing w:after="70" w:line="268"/>
      </w:pPr>
      <w:r>
        <w:rPr>
          <w:color w:val="16202D"/>
          <w:sz w:val="20"/>
          <w:szCs w:val="20"/>
        </w:rPr>
        <w:t xml:space="preserve">PPIQ reports on label quality itself (detection rates, human override rates from §12.4), so an engineer can judge how far to trust a defect-driven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PPIQ does not pretend the labels are perfect</w:t>
            </w:r>
          </w:p>
          <w:p>
            <w:pPr>
              <w:spacing w:after="0" w:line="256"/>
            </w:pPr>
            <w:r>
              <w:rPr>
                <w:color w:val="16202D"/>
                <w:sz w:val="18"/>
                <w:szCs w:val="18"/>
              </w:rPr>
              <w:t xml:space="preserve">It shows inspection coverage, harmonizes device codes into one taxonomy, and lets the engineer weight or filter by detection confidence — so a defect-driven finding is always qualified by how good the labels behind it are.</w:t>
            </w:r>
          </w:p>
        </w:tc>
      </w:tr>
    </w:tbl>
    <w:p>
      <w:pPr>
        <w:pStyle w:val="Heading2"/>
      </w:pPr>
      <w:r>
        <w:t xml:space="preserve">5.B · In plain terms — for buyers, not engineers</w:t>
      </w:r>
    </w:p>
    <w:p>
      <w:pPr>
        <w:spacing w:after="120" w:before="0" w:line="274"/>
      </w:pPr>
      <w:r>
        <w:rPr>
          <w:i/>
          <w:iCs/>
          <w:color w:val="8EA7C1"/>
          <w:sz w:val="19"/>
          <w:szCs w:val="19"/>
        </w:rPr>
        <w:t xml:space="preserve">How one click walks from a defect back to the melt — and how we stay honest about mixed material and coverage.</w:t>
      </w:r>
    </w:p>
    <w:p>
      <w:pPr>
        <w:spacing w:after="60" w:before="80" w:line="274"/>
      </w:pPr>
      <w:r>
        <w:rPr>
          <w:b/>
          <w:bCs/>
          <w:color w:val="102A43"/>
          <w:sz w:val="18"/>
          <w:szCs w:val="18"/>
        </w:rPr>
        <w:t xml:space="preserve">▸ The genealogy golden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Heat  -&gt;  Slab  -&gt;  Coil  -&gt;  Sample / Defect</w:t>
            </w:r>
          </w:p>
          <w:p>
            <w:pPr>
              <w:spacing w:after="0" w:before="0" w:line="240"/>
            </w:pPr>
            <w:r>
              <w:rPr>
                <w:rFonts w:ascii="JetBrains Mono" w:cs="JetBrains Mono" w:eastAsia="JetBrains Mono" w:hAnsi="JetBrains Mono"/>
                <w:color w:val="EAF6FF"/>
                <w:sz w:val="16"/>
                <w:szCs w:val="16"/>
              </w:rPr>
              <w:t xml:space="preserve">  (one click from a defect on a coil back to the heat that made it,</w:t>
            </w:r>
          </w:p>
          <w:p>
            <w:pPr>
              <w:spacing w:after="0" w:before="0" w:line="240"/>
            </w:pPr>
            <w:r>
              <w:rPr>
                <w:rFonts w:ascii="JetBrains Mono" w:cs="JetBrains Mono" w:eastAsia="JetBrains Mono" w:hAnsi="JetBrains Mono"/>
                <w:color w:val="EAF6FF"/>
                <w:sz w:val="16"/>
                <w:szCs w:val="16"/>
              </w:rPr>
              <w:t xml:space="preserve">   on YOUR own key names — no remodelling)</w:t>
            </w:r>
          </w:p>
        </w:tc>
      </w:tr>
    </w:tbl>
    <w:p>
      <w:pPr>
        <w:spacing w:after="60" w:before="80" w:line="274"/>
      </w:pPr>
      <w:r>
        <w:rPr>
          <w:b/>
          <w:bCs/>
          <w:color w:val="102A43"/>
          <w:sz w:val="18"/>
          <w:szCs w:val="18"/>
        </w:rPr>
        <w:t xml:space="preserve">▸ Blended provenance — a transition coil is never blamed on one heat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680"/>
        <w:gridCol w:w="2680"/>
      </w:tblGrid>
      <w:tr>
        <w:trPr>
          <w:tblHeader/>
        </w:trPr>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Coil</w:t>
            </w:r>
          </w:p>
        </w:tc>
        <w:tc>
          <w:tcPr>
            <w:tcW w:type="dxa" w:w="2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Parent heat</w:t>
            </w:r>
          </w:p>
        </w:tc>
        <w:tc>
          <w:tcPr>
            <w:tcW w:type="dxa" w:w="16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Weight</w:t>
            </w:r>
          </w:p>
        </w:tc>
        <w:tc>
          <w:tcPr>
            <w:tcW w:type="dxa" w:w="26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How it is treated</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C-0044180 (transition)</w:t>
            </w:r>
          </w:p>
        </w:tc>
        <w:tc>
          <w:tcPr>
            <w:tcW w:type="dxa" w:w="2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H-3361</w:t>
            </w:r>
          </w:p>
        </w:tc>
        <w:tc>
          <w:tcPr>
            <w:tcW w:type="dxa" w:w="1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0.62</w:t>
            </w:r>
          </w:p>
        </w:tc>
        <w:tc>
          <w:tcPr>
            <w:tcW w:type="dxa" w:w="2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Attributes blended by weight</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C-0044180 (transition)</w:t>
            </w:r>
          </w:p>
        </w:tc>
        <w:tc>
          <w:tcPr>
            <w:tcW w:type="dxa" w:w="2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H-3362</w:t>
            </w:r>
          </w:p>
        </w:tc>
        <w:tc>
          <w:tcPr>
            <w:tcW w:type="dxa" w:w="1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0.38</w:t>
            </w:r>
          </w:p>
        </w:tc>
        <w:tc>
          <w:tcPr>
            <w:tcW w:type="dxa" w:w="2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Attributes blended by weight</w:t>
            </w:r>
          </w:p>
        </w:tc>
      </w:tr>
    </w:tbl>
    <w:p>
      <w:pPr>
        <w:spacing w:after="120" w:before="20" w:line="274"/>
      </w:pPr>
      <w:r>
        <w:rPr>
          <w:i/>
          <w:iCs/>
          <w:color w:val="8EA7C1"/>
          <w:sz w:val="16"/>
          <w:szCs w:val="16"/>
        </w:rPr>
        <w:t xml:space="preserve">Transition material is flagged and weighted across both heats (or excluded) — PPIQ never fabricates a clean single-heat answer. Every analysis also states its population and lists what was excluded and why, so there is no silent survivorship.</w:t>
      </w:r>
    </w:p>
    <w:p>
      <w:pPr>
        <w:pStyle w:val="Heading1"/>
      </w:pPr>
      <w:r>
        <w:t xml:space="preserve">6 · Data-to-Insight Intelligence Pipeline</w:t>
      </w:r>
    </w:p>
    <w:p>
      <w:pPr>
        <w:pBdr>
          <w:bottom w:val="single" w:color="00D4FF" w:sz="14" w:space="1"/>
        </w:pBdr>
        <w:spacing w:after="140" w:before="20"/>
      </w:pPr>
      <w:r>
        <w:t xml:space="preserve"/>
      </w:r>
    </w:p>
    <w:p>
      <w:pPr>
        <w:spacing w:after="140" w:before="0" w:line="274"/>
      </w:pPr>
      <w:r>
        <w:rPr>
          <w:color w:val="16202D"/>
          <w:sz w:val="20"/>
          <w:szCs w:val="20"/>
        </w:rPr>
        <w:t xml:space="preserve">Insight escalates in disciplined stages so trust is earned before AI is involved. Each stage has a contract that says what it guarantees.</w:t>
      </w:r>
    </w:p>
    <w:p>
      <w:pPr>
        <w:pStyle w:val="Heading2"/>
      </w:pPr>
      <w:r>
        <w:t xml:space="preserve">6.1 The simple-analysis contract</w:t>
      </w:r>
    </w:p>
    <w:p>
      <w:pPr>
        <w:pStyle w:val="ListParagraph"/>
        <w:numPr>
          <w:ilvl w:val="0"/>
          <w:numId w:val="2"/>
        </w:numPr>
        <w:spacing w:after="70" w:line="268"/>
      </w:pPr>
      <w:r>
        <w:rPr>
          <w:color w:val="16202D"/>
          <w:sz w:val="20"/>
          <w:szCs w:val="20"/>
        </w:rPr>
        <w:t xml:space="preserve">Every simple metric shows its formula and inputs on expand — counts, rates, averages, trends, threshold checks and KPI views are never magic numbers.</w:t>
      </w:r>
    </w:p>
    <w:p>
      <w:pPr>
        <w:pStyle w:val="ListParagraph"/>
        <w:numPr>
          <w:ilvl w:val="0"/>
          <w:numId w:val="2"/>
        </w:numPr>
        <w:spacing w:after="70" w:line="268"/>
      </w:pPr>
      <w:r>
        <w:rPr>
          <w:color w:val="16202D"/>
          <w:sz w:val="20"/>
          <w:szCs w:val="20"/>
        </w:rPr>
        <w:t xml:space="preserve">Available from day one, with zero history requirement and zero AI dependency.</w:t>
      </w:r>
    </w:p>
    <w:p>
      <w:pPr>
        <w:pStyle w:val="ListParagraph"/>
        <w:numPr>
          <w:ilvl w:val="0"/>
          <w:numId w:val="2"/>
        </w:numPr>
        <w:spacing w:after="70" w:line="268"/>
      </w:pPr>
      <w:r>
        <w:rPr>
          <w:color w:val="16202D"/>
          <w:sz w:val="20"/>
          <w:szCs w:val="20"/>
        </w:rPr>
        <w:t xml:space="preserve">Deterministic and reproducible: the same inputs produce the same output every time.</w:t>
      </w:r>
    </w:p>
    <w:p>
      <w:pPr>
        <w:pStyle w:val="Heading2"/>
      </w:pPr>
      <w:r>
        <w:t xml:space="preserve">6.2 The advanced-analysis contract</w:t>
      </w:r>
    </w:p>
    <w:p>
      <w:pPr>
        <w:pStyle w:val="ListParagraph"/>
        <w:numPr>
          <w:ilvl w:val="0"/>
          <w:numId w:val="2"/>
        </w:numPr>
        <w:spacing w:after="70" w:line="268"/>
      </w:pPr>
      <w:r>
        <w:rPr>
          <w:b/>
          <w:bCs/>
          <w:color w:val="16202D"/>
          <w:sz w:val="20"/>
          <w:szCs w:val="20"/>
        </w:rPr>
        <w:t xml:space="preserve">Effect size first: </w:t>
      </w:r>
      <w:r>
        <w:rPr>
          <w:color w:val="16202D"/>
          <w:sz w:val="20"/>
          <w:szCs w:val="20"/>
        </w:rPr>
        <w:t xml:space="preserve">report the strength of an association and a plain-language size, not just a p-value.</w:t>
      </w:r>
    </w:p>
    <w:p>
      <w:pPr>
        <w:pStyle w:val="ListParagraph"/>
        <w:numPr>
          <w:ilvl w:val="0"/>
          <w:numId w:val="2"/>
        </w:numPr>
        <w:spacing w:after="70" w:line="268"/>
      </w:pPr>
      <w:r>
        <w:rPr>
          <w:b/>
          <w:bCs/>
          <w:color w:val="16202D"/>
          <w:sz w:val="20"/>
          <w:szCs w:val="20"/>
        </w:rPr>
        <w:t xml:space="preserve">Multiple-testing control: </w:t>
      </w:r>
      <w:r>
        <w:rPr>
          <w:color w:val="16202D"/>
          <w:sz w:val="20"/>
          <w:szCs w:val="20"/>
        </w:rPr>
        <w:t xml:space="preserve">Benjamini-Hochberg FDR across the tested factors; report q-values and flag only q &lt; 0.05.</w:t>
      </w:r>
    </w:p>
    <w:p>
      <w:pPr>
        <w:pStyle w:val="ListParagraph"/>
        <w:numPr>
          <w:ilvl w:val="0"/>
          <w:numId w:val="2"/>
        </w:numPr>
        <w:spacing w:after="70" w:line="268"/>
      </w:pPr>
      <w:r>
        <w:rPr>
          <w:b/>
          <w:bCs/>
          <w:color w:val="16202D"/>
          <w:sz w:val="20"/>
          <w:szCs w:val="20"/>
        </w:rPr>
        <w:t xml:space="preserve">Stability: </w:t>
      </w:r>
      <w:r>
        <w:rPr>
          <w:color w:val="16202D"/>
          <w:sz w:val="20"/>
          <w:szCs w:val="20"/>
        </w:rPr>
        <w:t xml:space="preserve">bootstrap resampling; a contributor must hold across resamples to be surfaced, with a stability percentage shown.</w:t>
      </w:r>
    </w:p>
    <w:p>
      <w:pPr>
        <w:pStyle w:val="ListParagraph"/>
        <w:numPr>
          <w:ilvl w:val="0"/>
          <w:numId w:val="2"/>
        </w:numPr>
        <w:spacing w:after="70" w:line="268"/>
      </w:pPr>
      <w:r>
        <w:rPr>
          <w:b/>
          <w:bCs/>
          <w:color w:val="16202D"/>
          <w:sz w:val="20"/>
          <w:szCs w:val="20"/>
        </w:rPr>
        <w:t xml:space="preserve">Stratification: </w:t>
      </w:r>
      <w:r>
        <w:rPr>
          <w:color w:val="16202D"/>
          <w:sz w:val="20"/>
          <w:szCs w:val="20"/>
        </w:rPr>
        <w:t xml:space="preserve">control for grade, line and product to avoid Simpson's-paradox confounds.</w:t>
      </w:r>
    </w:p>
    <w:p>
      <w:pPr>
        <w:pStyle w:val="ListParagraph"/>
        <w:numPr>
          <w:ilvl w:val="0"/>
          <w:numId w:val="2"/>
        </w:numPr>
        <w:spacing w:after="70" w:line="268"/>
      </w:pPr>
      <w:r>
        <w:rPr>
          <w:b/>
          <w:bCs/>
          <w:color w:val="16202D"/>
          <w:sz w:val="20"/>
          <w:szCs w:val="20"/>
        </w:rPr>
        <w:t xml:space="preserve">Method on the surface: </w:t>
      </w:r>
      <w:r>
        <w:rPr>
          <w:color w:val="16202D"/>
          <w:sz w:val="20"/>
          <w:szCs w:val="20"/>
        </w:rPr>
        <w:t xml:space="preserve">the test used — Spearman, mutual information, Cramér's V, Lasso — is named with the finding.</w:t>
      </w:r>
    </w:p>
    <w:p>
      <w:pPr>
        <w:pStyle w:val="ListParagraph"/>
        <w:numPr>
          <w:ilvl w:val="0"/>
          <w:numId w:val="2"/>
        </w:numPr>
        <w:spacing w:after="70" w:line="268"/>
      </w:pPr>
      <w:r>
        <w:rPr>
          <w:b/>
          <w:bCs/>
          <w:color w:val="16202D"/>
          <w:sz w:val="20"/>
          <w:szCs w:val="20"/>
        </w:rPr>
        <w:t xml:space="preserve">Language: </w:t>
      </w:r>
      <w:r>
        <w:rPr>
          <w:color w:val="16202D"/>
          <w:sz w:val="20"/>
          <w:szCs w:val="20"/>
        </w:rPr>
        <w:t xml:space="preserve">"suspected contributor," never "root cause."</w:t>
      </w:r>
    </w:p>
    <w:p>
      <w:pPr>
        <w:pStyle w:val="Heading2"/>
      </w:pPr>
      <w:r>
        <w:t xml:space="preserve">6.3 Cold-start &amp; the maturity curve</w:t>
      </w:r>
    </w:p>
    <w:p>
      <w:pPr>
        <w:spacing w:after="140" w:before="0" w:line="274"/>
      </w:pPr>
      <w:r>
        <w:rPr>
          <w:color w:val="16202D"/>
          <w:sz w:val="20"/>
          <w:szCs w:val="20"/>
        </w:rPr>
        <w:t xml:space="preserve">A buyer's real question behind "how much data do you need?" is "what do I get on day one, and when does the clever part start working?" PPIQ answers with a visible maturity curve and a product that is useful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Phase</w:t>
            </w:r>
          </w:p>
        </w:tc>
        <w:tc>
          <w:tcPr>
            <w:tcW w:type="dxa" w:w="2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Elapsed (no backfill)</w:t>
            </w:r>
          </w:p>
        </w:tc>
        <w:tc>
          <w:tcPr>
            <w:tcW w:type="dxa" w:w="58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works</w:t>
            </w:r>
          </w:p>
        </w:tc>
      </w:tr>
      <w:tr>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Day 1</w:t>
            </w:r>
          </w:p>
        </w:tc>
        <w:tc>
          <w:tcPr>
            <w:tcW w:type="dxa" w:w="2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0</w:t>
            </w:r>
          </w:p>
        </w:tc>
        <w:tc>
          <w:tcPr>
            <w:tcW w:type="dxa" w:w="5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Sources connected, raw catalog visible, simple dashboards and KPIs live (no history needed). Readiness meters show progress toward advanced analysis.</w:t>
            </w:r>
          </w:p>
        </w:tc>
      </w:tr>
      <w:tr>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Week 1-2</w:t>
            </w:r>
          </w:p>
        </w:tc>
        <w:tc>
          <w:tcPr>
            <w:tcW w:type="dxa" w:w="2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~2 weeks</w:t>
            </w:r>
          </w:p>
        </w:tc>
        <w:tc>
          <w:tcPr>
            <w:tcW w:type="dxa" w:w="5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Canonical mapping, genealogy and simple KPIs stabilize; first trends become meaningful.</w:t>
            </w:r>
          </w:p>
        </w:tc>
      </w:tr>
      <w:tr>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Month 1</w:t>
            </w:r>
          </w:p>
        </w:tc>
        <w:tc>
          <w:tcPr>
            <w:tcW w:type="dxa" w:w="2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 month</w:t>
            </w:r>
          </w:p>
        </w:tc>
        <w:tc>
          <w:tcPr>
            <w:tcW w:type="dxa" w:w="5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Enough outcome events accumulate for the first advanced findings as readiness gates turn Ready.</w:t>
            </w:r>
          </w:p>
        </w:tc>
      </w:tr>
      <w:tr>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Month 3+</w:t>
            </w:r>
          </w:p>
        </w:tc>
        <w:tc>
          <w:tcPr>
            <w:tcW w:type="dxa" w:w="2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~3 months</w:t>
            </w:r>
          </w:p>
        </w:tc>
        <w:tc>
          <w:tcPr>
            <w:tcW w:type="dxa" w:w="5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Full advanced analysis, value quantification and suggestion maturity; rare-defect analyses still need more history.</w:t>
            </w:r>
          </w:p>
        </w:tc>
      </w:tr>
    </w:tbl>
    <w:p>
      <w:pPr>
        <w:pStyle w:val="ListParagraph"/>
        <w:numPr>
          <w:ilvl w:val="0"/>
          <w:numId w:val="2"/>
        </w:numPr>
        <w:spacing w:after="70" w:line="268"/>
      </w:pPr>
      <w:r>
        <w:rPr>
          <w:b/>
          <w:bCs/>
          <w:color w:val="16202D"/>
          <w:sz w:val="20"/>
          <w:szCs w:val="20"/>
        </w:rPr>
        <w:t xml:space="preserve">The product never shows nothing while a gate is Blocked: </w:t>
      </w:r>
      <w:r>
        <w:rPr>
          <w:color w:val="16202D"/>
          <w:sz w:val="20"/>
          <w:szCs w:val="20"/>
        </w:rPr>
        <w:t xml:space="preserve">it shows simple analysis (always available), the readiness meter ("22 of 60 heats needed for this analysis"), and an honest "collecting data" state.</w:t>
      </w:r>
    </w:p>
    <w:p>
      <w:pPr>
        <w:pStyle w:val="ListParagraph"/>
        <w:numPr>
          <w:ilvl w:val="0"/>
          <w:numId w:val="2"/>
        </w:numPr>
        <w:spacing w:after="70" w:line="268"/>
      </w:pPr>
      <w:r>
        <w:rPr>
          <w:b/>
          <w:bCs/>
          <w:color w:val="16202D"/>
          <w:sz w:val="20"/>
          <w:szCs w:val="20"/>
        </w:rPr>
        <w:t xml:space="preserve">History collapses the timeline: </w:t>
      </w:r>
      <w:r>
        <w:rPr>
          <w:color w:val="16202D"/>
          <w:sz w:val="20"/>
          <w:szCs w:val="20"/>
        </w:rPr>
        <w:t xml:space="preserve">a backfill of several months makes gates pass on day one (§4.8) — time-to-maturity is a function of available history, not just elapsed calendar time.</w:t>
      </w:r>
    </w:p>
    <w:p>
      <w:pPr>
        <w:pStyle w:val="ListParagraph"/>
        <w:numPr>
          <w:ilvl w:val="0"/>
          <w:numId w:val="2"/>
        </w:numPr>
        <w:spacing w:after="70" w:line="268"/>
      </w:pPr>
      <w:r>
        <w:rPr>
          <w:b/>
          <w:bCs/>
          <w:color w:val="16202D"/>
          <w:sz w:val="20"/>
          <w:szCs w:val="20"/>
        </w:rPr>
        <w:t xml:space="preserve">Cold-start assistant: </w:t>
      </w:r>
      <w:r>
        <w:rPr>
          <w:color w:val="16202D"/>
          <w:sz w:val="20"/>
          <w:szCs w:val="20"/>
        </w:rPr>
        <w:t xml:space="preserve">with few findings it answers simple-analysis questions and says plainly "not enough data yet for a contributor analysis on X," rather than inventing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readiness meter is a feature, not a limitation</w:t>
            </w:r>
          </w:p>
          <w:p>
            <w:pPr>
              <w:spacing w:after="0" w:line="256"/>
            </w:pPr>
            <w:r>
              <w:rPr>
                <w:color w:val="16202D"/>
                <w:sz w:val="18"/>
                <w:szCs w:val="18"/>
              </w:rPr>
              <w:t xml:space="preserve">It turns the vague worry "when will the AI be useful?" into a concrete, visible countdown — and it sets honest expectations that protect the relationship after the sale.</w:t>
            </w:r>
          </w:p>
        </w:tc>
      </w:tr>
    </w:tbl>
    <w:p>
      <w:pPr>
        <w:pStyle w:val="Heading2"/>
      </w:pPr>
      <w:r>
        <w:t xml:space="preserve">6.B · In plain terms — for buyers, not engineers</w:t>
      </w:r>
    </w:p>
    <w:p>
      <w:pPr>
        <w:spacing w:after="120" w:before="0" w:line="274"/>
      </w:pPr>
      <w:r>
        <w:rPr>
          <w:i/>
          <w:iCs/>
          <w:color w:val="8EA7C1"/>
          <w:sz w:val="19"/>
          <w:szCs w:val="19"/>
        </w:rPr>
        <w:t xml:space="preserve">What works on day one, what needs history, and which screens use simple math versus statistics versus the assistant.</w:t>
      </w:r>
    </w:p>
    <w:p>
      <w:pPr>
        <w:spacing w:after="60" w:before="80" w:line="274"/>
      </w:pPr>
      <w:r>
        <w:rPr>
          <w:b/>
          <w:bCs/>
          <w:color w:val="102A43"/>
          <w:sz w:val="18"/>
          <w:szCs w:val="18"/>
        </w:rPr>
        <w:t xml:space="preserve">▸ How much data you need, by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Use case</w:t>
            </w:r>
          </w:p>
        </w:tc>
        <w:tc>
          <w:tcPr>
            <w:tcW w:type="dxa" w:w="2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Minimum useful</w:t>
            </w:r>
          </w:p>
        </w:tc>
        <w:tc>
          <w:tcPr>
            <w:tcW w:type="dxa" w:w="2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Mature</w:t>
            </w:r>
          </w:p>
        </w:tc>
        <w:tc>
          <w:tcPr>
            <w:tcW w:type="dxa" w:w="2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If not enough</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Simple KPI dashboard</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 day</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1–2 weeks</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Still works</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Genealogy lookup</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Mapped records</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Stable mapping</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Shows missing links</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Defect trend</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20–50 events</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3 months</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Low-confidence warning</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Defect-driver analysis</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40+ events, 60+ heats</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3–6 months</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Blocked by readiness gate</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Rare-defect analysis</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Hundreds of events</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6–12 months</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Not mature</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Risk scoring</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Labelled historical outcomes</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3–6 months</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Readiness blocked</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Suggestion ranking</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Findings + value inputs</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3+ months</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Simple recommendations only</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Assistant answers</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Any approved evidence</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More evidence = better</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Refuses unsupported claims</w:t>
            </w:r>
          </w:p>
        </w:tc>
      </w:tr>
    </w:tbl>
    <w:p>
      <w:pPr>
        <w:spacing w:after="60" w:before="80" w:line="274"/>
      </w:pPr>
      <w:r>
        <w:rPr>
          <w:b/>
          <w:bCs/>
          <w:color w:val="102A43"/>
          <w:sz w:val="18"/>
          <w:szCs w:val="18"/>
        </w:rPr>
        <w:t xml:space="preserve">▸ Which layer does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4200"/>
        <w:gridCol w:w="2400"/>
      </w:tblGrid>
      <w:tr>
        <w:trPr>
          <w:tblHeader/>
        </w:trPr>
        <w:tc>
          <w:tcPr>
            <w:tcW w:type="dxa" w:w="2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Level</w:t>
            </w:r>
          </w:p>
        </w:tc>
        <w:tc>
          <w:tcPr>
            <w:tcW w:type="dxa" w:w="4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Type</w:t>
            </w:r>
          </w:p>
        </w:tc>
        <w:tc>
          <w:tcPr>
            <w:tcW w:type="dxa" w:w="2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LLM dependency</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Simple KPIs</w:t>
            </w:r>
          </w:p>
        </w:tc>
        <w:tc>
          <w:tcPr>
            <w:tcW w:type="dxa" w:w="4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Counts, rates, averages, formulas</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None</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Thresholds</w:t>
            </w:r>
          </w:p>
        </w:tc>
        <w:tc>
          <w:tcPr>
            <w:tcW w:type="dxa" w:w="4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Rules and targets</w:t>
            </w:r>
          </w:p>
        </w:tc>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None</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Advanced analysis</w:t>
            </w:r>
          </w:p>
        </w:tc>
        <w:tc>
          <w:tcPr>
            <w:tcW w:type="dxa" w:w="4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Statistics / ML</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 LLM</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Risk scoring</w:t>
            </w:r>
          </w:p>
        </w:tc>
        <w:tc>
          <w:tcPr>
            <w:tcW w:type="dxa" w:w="4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Deterministic / ML</w:t>
            </w:r>
          </w:p>
        </w:tc>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 LLM</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Suggestions</w:t>
            </w:r>
          </w:p>
        </w:tc>
        <w:tc>
          <w:tcPr>
            <w:tcW w:type="dxa" w:w="4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Deterministic engine</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 LLM</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Assistant</w:t>
            </w:r>
          </w:p>
        </w:tc>
        <w:tc>
          <w:tcPr>
            <w:tcW w:type="dxa" w:w="4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LLM explanation over evidence</w:t>
            </w:r>
          </w:p>
        </w:tc>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 (optional)</w:t>
            </w:r>
          </w:p>
        </w:tc>
      </w:tr>
    </w:tbl>
    <w:p>
      <w:pPr>
        <w:spacing w:after="60" w:before="80" w:line="274"/>
      </w:pPr>
      <w:r>
        <w:rPr>
          <w:b/>
          <w:bCs/>
          <w:color w:val="102A43"/>
          <w:sz w:val="18"/>
          <w:szCs w:val="18"/>
        </w:rPr>
        <w:t xml:space="preserve">▸ Time-to-value (without historical backfill)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Day 1        -&gt;  sources connected, catalog, simple dashboards + KPIs live</w:t>
            </w:r>
          </w:p>
          <w:p>
            <w:pPr>
              <w:spacing w:after="0" w:before="0" w:line="240"/>
            </w:pPr>
            <w:r>
              <w:rPr>
                <w:rFonts w:ascii="JetBrains Mono" w:cs="JetBrains Mono" w:eastAsia="JetBrains Mono" w:hAnsi="JetBrains Mono"/>
                <w:color w:val="EAF6FF"/>
                <w:sz w:val="16"/>
                <w:szCs w:val="16"/>
              </w:rPr>
              <w:t xml:space="preserve">Week 1-2     -&gt;  mapping + genealogy stabilise; first meaningful trends</w:t>
            </w:r>
          </w:p>
          <w:p>
            <w:pPr>
              <w:spacing w:after="0" w:before="0" w:line="240"/>
            </w:pPr>
            <w:r>
              <w:rPr>
                <w:rFonts w:ascii="JetBrains Mono" w:cs="JetBrains Mono" w:eastAsia="JetBrains Mono" w:hAnsi="JetBrains Mono"/>
                <w:color w:val="EAF6FF"/>
                <w:sz w:val="16"/>
                <w:szCs w:val="16"/>
              </w:rPr>
              <w:t xml:space="preserve">Month 1      -&gt;  first advanced findings as readiness gates turn Ready</w:t>
            </w:r>
          </w:p>
          <w:p>
            <w:pPr>
              <w:spacing w:after="0" w:before="0" w:line="240"/>
            </w:pPr>
            <w:r>
              <w:rPr>
                <w:rFonts w:ascii="JetBrains Mono" w:cs="JetBrains Mono" w:eastAsia="JetBrains Mono" w:hAnsi="JetBrains Mono"/>
                <w:color w:val="EAF6FF"/>
                <w:sz w:val="16"/>
                <w:szCs w:val="16"/>
              </w:rPr>
              <w:t xml:space="preserve">Month 3+     -&gt;  full advanced analysis, value + suggestion maturity</w:t>
            </w:r>
          </w:p>
          <w:p>
            <w:pPr>
              <w:spacing w:after="0" w:before="0" w:line="240"/>
            </w:pPr>
            <w:r>
              <w:rPr>
                <w:rFonts w:ascii="JetBrains Mono" w:cs="JetBrains Mono" w:eastAsia="JetBrains Mono" w:hAnsi="JetBrains Mono"/>
                <w:color w:val="EAF6FF"/>
                <w:sz w:val="16"/>
                <w:szCs w:val="16"/>
              </w:rPr>
              <w:t xml:space="preserve">(load several months of history and mature answers arrive right after mapping)</w:t>
            </w:r>
          </w:p>
        </w:tc>
      </w:tr>
    </w:tbl>
    <w:p>
      <w:pPr>
        <w:pStyle w:val="Heading1"/>
      </w:pPr>
      <w:r>
        <w:t xml:space="preserve">7 · ML &amp; AI Design Architecture</w:t>
      </w:r>
    </w:p>
    <w:p>
      <w:pPr>
        <w:pBdr>
          <w:bottom w:val="single" w:color="00D4FF" w:sz="14" w:space="1"/>
        </w:pBdr>
        <w:spacing w:after="140" w:before="20"/>
      </w:pPr>
      <w:r>
        <w:t xml:space="preserve"/>
      </w:r>
    </w:p>
    <w:p>
      <w:pPr>
        <w:spacing w:after="140" w:before="0" w:line="274"/>
      </w:pPr>
      <w:r>
        <w:rPr>
          <w:color w:val="16202D"/>
          <w:sz w:val="20"/>
          <w:szCs w:val="20"/>
        </w:rPr>
        <w:t xml:space="preserve">The division of labour is the architecture's strongest trust feature: </w:t>
      </w:r>
      <w:r>
        <w:rPr>
          <w:b/>
          <w:bCs/>
          <w:color w:val="16202D"/>
          <w:sz w:val="20"/>
          <w:szCs w:val="20"/>
        </w:rPr>
        <w:t xml:space="preserve">deterministic engines compute everything </w:t>
      </w:r>
      <w:r>
        <w:rPr>
          <w:color w:val="16202D"/>
          <w:sz w:val="20"/>
          <w:szCs w:val="20"/>
        </w:rPr>
        <w:t xml:space="preserve">— simple analysis, advanced statistics, value, risk and suggestions — and </w:t>
      </w:r>
      <w:r>
        <w:rPr>
          <w:b/>
          <w:bCs/>
          <w:color w:val="16202D"/>
          <w:sz w:val="20"/>
          <w:szCs w:val="20"/>
        </w:rPr>
        <w:t xml:space="preserve">the LLM assistant only explains, with citations. </w:t>
      </w:r>
      <w:r>
        <w:rPr>
          <w:color w:val="16202D"/>
          <w:sz w:val="20"/>
          <w:szCs w:val="20"/>
        </w:rPr>
        <w:t xml:space="preserve">The model never does arithmetic, never ranks a finding, and physically cannot render a number it cannot cite. A smaller or larger model changes how helpfully it explains, never whether the numbers are right.</w:t>
      </w:r>
    </w:p>
    <w:p>
      <w:pPr>
        <w:pStyle w:val="Heading2"/>
      </w:pPr>
      <w:r>
        <w:t xml:space="preserve">7.1 Intelligence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Component</w:t>
            </w:r>
          </w:p>
        </w:tc>
        <w:tc>
          <w:tcPr>
            <w:tcW w:type="dxa" w:w="66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Responsibility</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Feature Store</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Curated, versioned features per canonical entity for analysis and ML.</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Readiness Gate</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Decides Ready / Blocked per investigation from data-sufficiency thresholds (§7.3).</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KPI Engine</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Computes KPI views deterministically; powers widgets and contributor analysis.</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Correlation Engine</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Runs method-appropriate statistics with FDR, effect size, stability and stratification.</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Value Engine</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Converts findings and downtime into bounded euro impact ranges (§7.5).</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Risk Scorer</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Scores material / process risk and exposes the reasons behind each score.</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Suggestion Engine</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Generates deterministic, evidence-ranked, impact-ranked next actions (§7.6).</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Assistant Retrieval Index</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Tenant-scoped index of approved findings, definitions and documents for grounding.</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Assistant Tool Layer + Model Gateway</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Lets the assistant call engines and retrieval, then route to the LLM under a data boundary (§7.8).</w:t>
            </w:r>
          </w:p>
        </w:tc>
      </w:tr>
    </w:tbl>
    <w:p>
      <w:pPr>
        <w:pStyle w:val="Heading2"/>
      </w:pPr>
      <w:r>
        <w:t xml:space="preserve">7.2 The ML jobs</w:t>
      </w:r>
    </w:p>
    <w:p>
      <w:pPr>
        <w:spacing w:after="140" w:before="0" w:line="274"/>
      </w:pPr>
      <w:r>
        <w:rPr>
          <w:color w:val="16202D"/>
          <w:sz w:val="20"/>
          <w:szCs w:val="20"/>
        </w:rPr>
        <w:t xml:space="preserve">All learning runs as scheduled batch jobs on worker nodes, visible in the Jobs Monitor (§11), and recomputes on demo data so the demo proves the engine rather than a fixture.</w:t>
      </w:r>
    </w:p>
    <w:p>
      <w:pPr>
        <w:pStyle w:val="ListParagraph"/>
        <w:numPr>
          <w:ilvl w:val="0"/>
          <w:numId w:val="2"/>
        </w:numPr>
        <w:spacing w:after="70" w:line="268"/>
      </w:pPr>
      <w:r>
        <w:rPr>
          <w:color w:val="16202D"/>
          <w:sz w:val="20"/>
          <w:szCs w:val="20"/>
        </w:rPr>
        <w:t xml:space="preserve">KPI-contributor analysis — which factors associate with a KPI moving.</w:t>
      </w:r>
    </w:p>
    <w:p>
      <w:pPr>
        <w:pStyle w:val="ListParagraph"/>
        <w:numPr>
          <w:ilvl w:val="0"/>
          <w:numId w:val="2"/>
        </w:numPr>
        <w:spacing w:after="70" w:line="268"/>
      </w:pPr>
      <w:r>
        <w:rPr>
          <w:color w:val="16202D"/>
          <w:sz w:val="20"/>
          <w:szCs w:val="20"/>
        </w:rPr>
        <w:t xml:space="preserve">Defect-driver correlation — which parameters associate with a defect class.</w:t>
      </w:r>
    </w:p>
    <w:p>
      <w:pPr>
        <w:pStyle w:val="ListParagraph"/>
        <w:numPr>
          <w:ilvl w:val="0"/>
          <w:numId w:val="2"/>
        </w:numPr>
        <w:spacing w:after="70" w:line="268"/>
      </w:pPr>
      <w:r>
        <w:rPr>
          <w:color w:val="16202D"/>
          <w:sz w:val="20"/>
          <w:szCs w:val="20"/>
        </w:rPr>
        <w:t xml:space="preserve">Risk scoring — score current material/process against learned patterns.</w:t>
      </w:r>
    </w:p>
    <w:p>
      <w:pPr>
        <w:pStyle w:val="ListParagraph"/>
        <w:numPr>
          <w:ilvl w:val="0"/>
          <w:numId w:val="2"/>
        </w:numPr>
        <w:spacing w:after="70" w:line="268"/>
      </w:pPr>
      <w:r>
        <w:rPr>
          <w:color w:val="16202D"/>
          <w:sz w:val="20"/>
          <w:szCs w:val="20"/>
        </w:rPr>
        <w:t xml:space="preserve">Stability resampling — bootstrap to test whether a contributor holds.</w:t>
      </w:r>
    </w:p>
    <w:p>
      <w:pPr>
        <w:pStyle w:val="ListParagraph"/>
        <w:numPr>
          <w:ilvl w:val="0"/>
          <w:numId w:val="2"/>
        </w:numPr>
        <w:spacing w:after="70" w:line="268"/>
      </w:pPr>
      <w:r>
        <w:rPr>
          <w:color w:val="16202D"/>
          <w:sz w:val="20"/>
          <w:szCs w:val="20"/>
        </w:rPr>
        <w:t xml:space="preserve">Value computation — attach bounded euro ranges to findings.</w:t>
      </w:r>
    </w:p>
    <w:p>
      <w:pPr>
        <w:pStyle w:val="Heading2"/>
      </w:pPr>
      <w:r>
        <w:t xml:space="preserve">7.3 Method selection &amp; the readiness gate</w:t>
      </w:r>
    </w:p>
    <w:p>
      <w:pPr>
        <w:spacing w:after="140" w:before="0" w:line="274"/>
      </w:pPr>
      <w:r>
        <w:rPr>
          <w:color w:val="16202D"/>
          <w:sz w:val="20"/>
          <w:szCs w:val="20"/>
        </w:rPr>
        <w:t xml:space="preserve">The statistic is chosen to fit the data, not forced. The method is always named with the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Data situation</w:t>
            </w:r>
          </w:p>
        </w:tc>
        <w:tc>
          <w:tcPr>
            <w:tcW w:type="dxa" w:w="48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Method</w:t>
            </w:r>
          </w:p>
        </w:tc>
      </w:tr>
      <w:tr>
        <w:tc>
          <w:tcPr>
            <w:tcW w:type="dxa" w:w="4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Two continuous variables</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Spearman rank correlation (monotonic, outlier-robust)</w:t>
            </w:r>
          </w:p>
        </w:tc>
      </w:tr>
      <w:tr>
        <w:tc>
          <w:tcPr>
            <w:tcW w:type="dxa" w:w="4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Continuous vs categorical</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Mutual information / Kruskal-Wallis</w:t>
            </w:r>
          </w:p>
        </w:tc>
      </w:tr>
      <w:tr>
        <w:tc>
          <w:tcPr>
            <w:tcW w:type="dxa" w:w="4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Two categorical variables</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Cramér's V</w:t>
            </w:r>
          </w:p>
        </w:tc>
      </w:tr>
      <w:tr>
        <w:tc>
          <w:tcPr>
            <w:tcW w:type="dxa" w:w="4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Many candidate features → selection</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Lasso (L1) regression</w:t>
            </w:r>
          </w:p>
        </w:tc>
      </w:tr>
      <w:tr>
        <w:tc>
          <w:tcPr>
            <w:tcW w:type="dxa" w:w="4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Multicollinearity check</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Variance Inflation Factor (VIF)</w:t>
            </w:r>
          </w:p>
        </w:tc>
      </w:tr>
      <w:tr>
        <w:tc>
          <w:tcPr>
            <w:tcW w:type="dxa" w:w="4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Does the result hold?</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Bootstrap stability resampling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Readiness criterion</w:t>
            </w:r>
          </w:p>
        </w:tc>
        <w:tc>
          <w:tcPr>
            <w:tcW w:type="dxa" w:w="1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Threshold</w:t>
            </w:r>
          </w:p>
        </w:tc>
        <w:tc>
          <w:tcPr>
            <w:tcW w:type="dxa" w:w="42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If not met</w:t>
            </w:r>
          </w:p>
        </w:tc>
      </w:tr>
      <w:tr>
        <w:tc>
          <w:tcPr>
            <w:tcW w:type="dxa" w:w="3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Independent heats</w:t>
            </w:r>
          </w:p>
        </w:tc>
        <w:tc>
          <w:tcPr>
            <w:tcW w:type="dxa" w:w="1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 60</w:t>
            </w:r>
          </w:p>
        </w:tc>
        <w:tc>
          <w:tcPr>
            <w:tcW w:type="dxa" w:w="4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Blocked — "need N more heats"</w:t>
            </w:r>
          </w:p>
        </w:tc>
      </w:tr>
      <w:tr>
        <w:tc>
          <w:tcPr>
            <w:tcW w:type="dxa" w:w="3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Outcome events (e.g. defects)</w:t>
            </w:r>
          </w:p>
        </w:tc>
        <w:tc>
          <w:tcPr>
            <w:tcW w:type="dxa" w:w="1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 40</w:t>
            </w:r>
          </w:p>
        </w:tc>
        <w:tc>
          <w:tcPr>
            <w:tcW w:type="dxa" w:w="42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Blocked</w:t>
            </w:r>
          </w:p>
        </w:tc>
      </w:tr>
      <w:tr>
        <w:tc>
          <w:tcPr>
            <w:tcW w:type="dxa" w:w="3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Minority-class share</w:t>
            </w:r>
          </w:p>
        </w:tc>
        <w:tc>
          <w:tcPr>
            <w:tcW w:type="dxa" w:w="1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 10%</w:t>
            </w:r>
          </w:p>
        </w:tc>
        <w:tc>
          <w:tcPr>
            <w:tcW w:type="dxa" w:w="4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Blocked or flagged as imbalanced</w:t>
            </w:r>
          </w:p>
        </w:tc>
      </w:tr>
      <w:tr>
        <w:tc>
          <w:tcPr>
            <w:tcW w:type="dxa" w:w="3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Field completeness</w:t>
            </w:r>
          </w:p>
        </w:tc>
        <w:tc>
          <w:tcPr>
            <w:tcW w:type="dxa" w:w="1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 95%</w:t>
            </w:r>
          </w:p>
        </w:tc>
        <w:tc>
          <w:tcPr>
            <w:tcW w:type="dxa" w:w="42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Blocked or stratified with a caveat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Statistical-honesty contract</w:t>
            </w:r>
          </w:p>
          <w:p>
            <w:pPr>
              <w:spacing w:after="0" w:line="256"/>
            </w:pPr>
            <w:r>
              <w:rPr>
                <w:color w:val="16202D"/>
                <w:sz w:val="18"/>
                <w:szCs w:val="18"/>
              </w:rPr>
              <w:t xml:space="preserve">Effect size first; multiple-testing controlled by Benjamini-Hochberg FDR (flag only q &lt; 0.05); a contributor must survive bootstrap stability; results stratified to avoid confounds; language always "suspected contributor." A finding that fails any of these is not surfaced.</w:t>
            </w:r>
          </w:p>
        </w:tc>
      </w:tr>
    </w:tbl>
    <w:p>
      <w:pPr>
        <w:pStyle w:val="Heading2"/>
      </w:pPr>
      <w:r>
        <w:t xml:space="preserve">7.4 A worked honest finding</w:t>
      </w:r>
    </w:p>
    <w:p>
      <w:pPr>
        <w:spacing w:after="140" w:before="0" w:line="274"/>
      </w:pPr>
      <w:r>
        <w:rPr>
          <w:color w:val="16202D"/>
          <w:sz w:val="20"/>
          <w:szCs w:val="20"/>
        </w:rPr>
        <w:t xml:space="preserve">On the demo data, an inspection-driver job on edge-crack defects (grade S355) surfaces two suspected contributors — each with its method and evidence — and pointedly refuses a third: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1850"/>
        <w:gridCol w:w="3150"/>
        <w:gridCol w:w="1910"/>
      </w:tblGrid>
      <w:tr>
        <w:trPr>
          <w:tblHeader/>
        </w:trPr>
        <w:tc>
          <w:tcPr>
            <w:tcW w:type="dxa" w:w="24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Suspected contributor</w:t>
            </w:r>
          </w:p>
        </w:tc>
        <w:tc>
          <w:tcPr>
            <w:tcW w:type="dxa" w:w="18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Method</w:t>
            </w:r>
          </w:p>
        </w:tc>
        <w:tc>
          <w:tcPr>
            <w:tcW w:type="dxa" w:w="31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Evidence</w:t>
            </w:r>
          </w:p>
        </w:tc>
        <w:tc>
          <w:tcPr>
            <w:tcW w:type="dxa" w:w="191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Verdict</w:t>
            </w:r>
          </w:p>
        </w:tc>
      </w:tr>
      <w:tr>
        <w:tc>
          <w:tcPr>
            <w:tcW w:type="dxa" w:w="24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Tundish superheat</w:t>
            </w:r>
          </w:p>
        </w:tc>
        <w:tc>
          <w:tcPr>
            <w:tcW w:type="dxa" w:w="18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Spearman</w:t>
            </w:r>
          </w:p>
        </w:tc>
        <w:tc>
          <w:tcPr>
            <w:tcW w:type="dxa" w:w="3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r_s = 0.41, q = 0.004, stability 86%</w:t>
            </w:r>
          </w:p>
        </w:tc>
        <w:tc>
          <w:tcPr>
            <w:tcW w:type="dxa" w:w="19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surfaced</w:t>
            </w:r>
          </w:p>
        </w:tc>
      </w:tr>
      <w:tr>
        <w:tc>
          <w:tcPr>
            <w:tcW w:type="dxa" w:w="24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Mould-level variation</w:t>
            </w:r>
          </w:p>
        </w:tc>
        <w:tc>
          <w:tcPr>
            <w:tcW w:type="dxa" w:w="18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Mutual information</w:t>
            </w:r>
          </w:p>
        </w:tc>
        <w:tc>
          <w:tcPr>
            <w:tcW w:type="dxa" w:w="3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MI = 0.23, q = 0.02, stability 81%</w:t>
            </w:r>
          </w:p>
        </w:tc>
        <w:tc>
          <w:tcPr>
            <w:tcW w:type="dxa" w:w="19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surfaced</w:t>
            </w:r>
          </w:p>
        </w:tc>
      </w:tr>
      <w:tr>
        <w:tc>
          <w:tcPr>
            <w:tcW w:type="dxa" w:w="24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Casting speed</w:t>
            </w:r>
          </w:p>
        </w:tc>
        <w:tc>
          <w:tcPr>
            <w:tcW w:type="dxa" w:w="18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Spearman</w:t>
            </w:r>
          </w:p>
        </w:tc>
        <w:tc>
          <w:tcPr>
            <w:tcW w:type="dxa" w:w="3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r_s = 0.08, q = 0.61</w:t>
            </w:r>
          </w:p>
        </w:tc>
        <w:tc>
          <w:tcPr>
            <w:tcW w:type="dxa" w:w="19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not surfaced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honesty is in what it leaves out</w:t>
            </w:r>
          </w:p>
          <w:p>
            <w:pPr>
              <w:spacing w:after="0" w:line="256"/>
            </w:pPr>
            <w:r>
              <w:rPr>
                <w:color w:val="16202D"/>
                <w:sz w:val="18"/>
                <w:szCs w:val="18"/>
              </w:rPr>
              <w:t xml:space="preserve">Casting speed showed a weak, non-significant association and was not surfaced. A tool that surfaced it anyway would generate the false leads that destroy an engineer's trust. Restraint under statistical discipline is the feature.</w:t>
            </w:r>
          </w:p>
        </w:tc>
      </w:tr>
    </w:tbl>
    <w:p>
      <w:pPr>
        <w:pStyle w:val="Heading2"/>
      </w:pPr>
      <w:r>
        <w:t xml:space="preserve">7.5 The value model</w:t>
      </w:r>
    </w:p>
    <w:p>
      <w:pPr>
        <w:spacing w:after="140" w:before="0" w:line="274"/>
      </w:pPr>
      <w:r>
        <w:rPr>
          <w:color w:val="16202D"/>
          <w:sz w:val="20"/>
          <w:szCs w:val="20"/>
        </w:rPr>
        <w:t xml:space="preserve">A finding becomes a decision only when it carries a euro figure. The value engine computes a bounded range from per-tenant cost inputs, and every number is drill-throughable.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impact_eur =</w:t>
            </w:r>
          </w:p>
          <w:p>
            <w:pPr>
              <w:spacing w:after="0" w:before="0" w:line="240"/>
            </w:pPr>
            <w:r>
              <w:rPr>
                <w:rFonts w:ascii="JetBrains Mono" w:cs="JetBrains Mono" w:eastAsia="JetBrains Mono" w:hAnsi="JetBrains Mono"/>
                <w:color w:val="EAF6FF"/>
                <w:sz w:val="16"/>
                <w:szCs w:val="16"/>
              </w:rPr>
              <w:t xml:space="preserve">  SUM over affected material( tonnes * penalty_eur_per_t )</w:t>
            </w:r>
          </w:p>
          <w:p>
            <w:pPr>
              <w:spacing w:after="0" w:before="0" w:line="240"/>
            </w:pPr>
            <w:r>
              <w:rPr>
                <w:rFonts w:ascii="JetBrains Mono" w:cs="JetBrains Mono" w:eastAsia="JetBrains Mono" w:hAnsi="JetBrains Mono"/>
                <w:color w:val="EAF6FF"/>
                <w:sz w:val="16"/>
                <w:szCs w:val="16"/>
              </w:rPr>
              <w:t xml:space="preserve">+ ( production_impact_minutes * downtime_eur_per_min )</w:t>
            </w:r>
          </w:p>
          <w:p>
            <w:pPr>
              <w:spacing w:after="0" w:before="0" w:line="240"/>
            </w:pPr>
            <w:r>
              <w:rPr>
                <w:rFonts w:ascii="JetBrains Mono" w:cs="JetBrains Mono" w:eastAsia="JetBrains Mono" w:hAnsi="JetBrains Mono"/>
                <w:color w:val="EAF6FF"/>
                <w:sz w:val="16"/>
                <w:szCs w:val="16"/>
              </w:rPr>
              <w:t xml:space="preserve"> </w:t>
            </w:r>
          </w:p>
          <w:p>
            <w:pPr>
              <w:spacing w:after="0" w:before="0" w:line="240"/>
            </w:pPr>
            <w:r>
              <w:rPr>
                <w:rFonts w:ascii="JetBrains Mono" w:cs="JetBrains Mono" w:eastAsia="JetBrains Mono" w:hAnsi="JetBrains Mono"/>
                <w:color w:val="EAF6FF"/>
                <w:sz w:val="16"/>
                <w:szCs w:val="16"/>
              </w:rPr>
              <w:t xml:space="preserve">penalty_eur_per_t = downgrade_delta  OR  scrap_value</w:t>
            </w:r>
          </w:p>
          <w:p>
            <w:pPr>
              <w:spacing w:after="0" w:before="0" w:line="240"/>
            </w:pPr>
            <w:r>
              <w:rPr>
                <w:rFonts w:ascii="JetBrains Mono" w:cs="JetBrains Mono" w:eastAsia="JetBrains Mono" w:hAnsi="JetBrains Mono"/>
                <w:color w:val="EAF6FF"/>
                <w:sz w:val="16"/>
                <w:szCs w:val="16"/>
              </w:rPr>
              <w:t xml:space="preserve">all rates per-tenant configurable; every input drill-through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260"/>
      </w:tblGrid>
      <w:tr>
        <w:trPr>
          <w:tblHeader/>
        </w:trPr>
        <w:tc>
          <w:tcPr>
            <w:tcW w:type="dxa" w:w="29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Input</w:t>
            </w:r>
          </w:p>
        </w:tc>
        <w:tc>
          <w:tcPr>
            <w:tcW w:type="dxa" w:w="2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Demo value</w:t>
            </w:r>
          </w:p>
        </w:tc>
        <w:tc>
          <w:tcPr>
            <w:tcW w:type="dxa" w:w="42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Note</w:t>
            </w:r>
          </w:p>
        </w:tc>
      </w:tr>
      <w:tr>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Good coil value</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€620 / t</w:t>
            </w:r>
          </w:p>
        </w:tc>
        <w:tc>
          <w:tcPr>
            <w:tcW w:type="dxa" w:w="4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sellable value, configurable</w:t>
            </w:r>
          </w:p>
        </w:tc>
      </w:tr>
      <w:tr>
        <w:tc>
          <w:tcPr>
            <w:tcW w:type="dxa" w:w="29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Downgrade penalty</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€70 / t</w:t>
            </w:r>
          </w:p>
        </w:tc>
        <w:tc>
          <w:tcPr>
            <w:tcW w:type="dxa" w:w="42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price delta prime → secondary</w:t>
            </w:r>
          </w:p>
        </w:tc>
      </w:tr>
      <w:tr>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Scrap loss</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 full value</w:t>
            </w:r>
          </w:p>
        </w:tc>
        <w:tc>
          <w:tcPr>
            <w:tcW w:type="dxa" w:w="4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when material is rejected</w:t>
            </w:r>
          </w:p>
        </w:tc>
      </w:tr>
      <w:tr>
        <w:tc>
          <w:tcPr>
            <w:tcW w:type="dxa" w:w="29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Downtime cost — caster</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€1,800 / min</w:t>
            </w:r>
          </w:p>
        </w:tc>
        <w:tc>
          <w:tcPr>
            <w:tcW w:type="dxa" w:w="42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per production-impact minute</w:t>
            </w:r>
          </w:p>
        </w:tc>
      </w:tr>
      <w:tr>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Downtime cost — HSM</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€450 / min</w:t>
            </w:r>
          </w:p>
        </w:tc>
        <w:tc>
          <w:tcPr>
            <w:tcW w:type="dxa" w:w="4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per production-impact minute</w:t>
            </w:r>
          </w:p>
        </w:tc>
      </w:tr>
    </w:tbl>
    <w:p>
      <w:pPr>
        <w:spacing w:after="140" w:before="0" w:line="274"/>
      </w:pPr>
      <w:r>
        <w:rPr>
          <w:b/>
          <w:bCs/>
          <w:color w:val="16202D"/>
          <w:sz w:val="20"/>
          <w:szCs w:val="20"/>
        </w:rPr>
        <w:t xml:space="preserve">Worked impact — </w:t>
      </w:r>
      <w:r>
        <w:rPr>
          <w:color w:val="16202D"/>
          <w:sz w:val="20"/>
          <w:szCs w:val="20"/>
        </w:rPr>
        <w:t xml:space="preserve">the edge-crack / superheat finding on S355, combining downgraded tonnes and associated production-impact minutes over a month, yields a range of </w:t>
      </w:r>
      <w:r>
        <w:rPr>
          <w:b/>
          <w:bCs/>
          <w:color w:val="16202D"/>
          <w:sz w:val="20"/>
          <w:szCs w:val="20"/>
        </w:rPr>
        <w:t xml:space="preserve">€28k–€56k per month, point estimate ≈ €42k</w:t>
      </w:r>
      <w:r>
        <w:rPr>
          <w:color w:val="16202D"/>
          <w:sz w:val="20"/>
          <w:szCs w:val="20"/>
        </w:rPr>
        <w:t xml:space="preserve"> — and every figure in that range is clickable back to the heats, coils and events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euro range is a decision aid, not a guarantee</w:t>
            </w:r>
          </w:p>
          <w:p>
            <w:pPr>
              <w:spacing w:after="0" w:line="256"/>
            </w:pPr>
            <w:r>
              <w:rPr>
                <w:color w:val="16202D"/>
                <w:sz w:val="18"/>
                <w:szCs w:val="18"/>
              </w:rPr>
              <w:t xml:space="preserve">It is bounded (low–high), tied to cost inputs the customer owns, and fully traceable. It answers "is this worth my time?" without ever promising "fix this and save exactly €42k."</w:t>
            </w:r>
          </w:p>
        </w:tc>
      </w:tr>
    </w:tbl>
    <w:p>
      <w:pPr>
        <w:pStyle w:val="Heading2"/>
      </w:pPr>
      <w:r>
        <w:t xml:space="preserve">7.6 The suggestion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Field</w:t>
            </w:r>
          </w:p>
        </w:tc>
        <w:tc>
          <w:tcPr>
            <w:tcW w:type="dxa" w:w="6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Meaning</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id / title</w:t>
            </w:r>
          </w:p>
        </w:tc>
        <w:tc>
          <w:tcPr>
            <w:tcW w:type="dxa" w:w="6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stable identifier and one-line summary</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suspected_contributor</w:t>
            </w:r>
          </w:p>
        </w:tc>
        <w:tc>
          <w:tcPr>
            <w:tcW w:type="dxa" w:w="6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factor the finding implicates</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evidence_handles</w:t>
            </w:r>
          </w:p>
        </w:tc>
        <w:tc>
          <w:tcPr>
            <w:tcW w:type="dxa" w:w="6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resolvable links to the finding, job run and dataset</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impact_eur_range</w:t>
            </w:r>
          </w:p>
        </w:tc>
        <w:tc>
          <w:tcPr>
            <w:tcW w:type="dxa" w:w="6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low–high euro estimate from the value engine</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confidence</w:t>
            </w:r>
          </w:p>
        </w:tc>
        <w:tc>
          <w:tcPr>
            <w:tcW w:type="dxa" w:w="6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graded from effect size + stability + coverage</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recommended_action</w:t>
            </w:r>
          </w:p>
        </w:tc>
        <w:tc>
          <w:tcPr>
            <w:tcW w:type="dxa" w:w="6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inspect / tune / monitor / validate — never "fix, guaranteed"</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affected_scope</w:t>
            </w:r>
          </w:p>
        </w:tc>
        <w:tc>
          <w:tcPr>
            <w:tcW w:type="dxa" w:w="6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grade, line and period the suggestion applies to</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status</w:t>
            </w:r>
          </w:p>
        </w:tc>
        <w:tc>
          <w:tcPr>
            <w:tcW w:type="dxa" w:w="6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open / assigned / in-progress / validated / dismissed (§2.1)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Suggestions are deterministic</w:t>
            </w:r>
          </w:p>
          <w:p>
            <w:pPr>
              <w:spacing w:after="0" w:line="256"/>
            </w:pPr>
            <w:r>
              <w:rPr>
                <w:color w:val="16202D"/>
                <w:sz w:val="18"/>
                <w:szCs w:val="18"/>
              </w:rPr>
              <w:t xml:space="preserve">They are generated by the suggestion engine from findings, ranked by impact and evidence. The assistant may explain a suggestion but never invents one and never re-ranks them.</w:t>
            </w:r>
          </w:p>
        </w:tc>
      </w:tr>
    </w:tbl>
    <w:p>
      <w:pPr>
        <w:pStyle w:val="Heading2"/>
      </w:pPr>
      <w:r>
        <w:t xml:space="preserve">7.7 The assistant grounding runtime</w:t>
      </w:r>
    </w:p>
    <w:p>
      <w:pPr>
        <w:spacing w:after="140" w:before="0" w:line="274"/>
      </w:pPr>
      <w:r>
        <w:rPr>
          <w:color w:val="16202D"/>
          <w:sz w:val="20"/>
          <w:szCs w:val="20"/>
        </w:rPr>
        <w:t xml:space="preserve">The concrete sequence behind every assistant answer — pinned down, not described in principle:</w:t>
      </w:r>
    </w:p>
    <w:p>
      <w:pPr>
        <w:pStyle w:val="ListParagraph"/>
        <w:numPr>
          <w:ilvl w:val="0"/>
          <w:numId w:val="2"/>
        </w:numPr>
        <w:spacing w:after="70" w:line="268"/>
      </w:pPr>
      <w:r>
        <w:rPr>
          <w:b/>
          <w:bCs/>
          <w:color w:val="16202D"/>
          <w:sz w:val="20"/>
          <w:szCs w:val="20"/>
        </w:rPr>
        <w:t xml:space="preserve">1 — </w:t>
      </w:r>
      <w:r>
        <w:rPr>
          <w:color w:val="16202D"/>
          <w:sz w:val="20"/>
          <w:szCs w:val="20"/>
        </w:rPr>
        <w:t xml:space="preserve">the user asks a natural-language question.</w:t>
      </w:r>
    </w:p>
    <w:p>
      <w:pPr>
        <w:pStyle w:val="ListParagraph"/>
        <w:numPr>
          <w:ilvl w:val="0"/>
          <w:numId w:val="2"/>
        </w:numPr>
        <w:spacing w:after="70" w:line="268"/>
      </w:pPr>
      <w:r>
        <w:rPr>
          <w:b/>
          <w:bCs/>
          <w:color w:val="16202D"/>
          <w:sz w:val="20"/>
          <w:szCs w:val="20"/>
        </w:rPr>
        <w:t xml:space="preserve">2 — </w:t>
      </w:r>
      <w:r>
        <w:rPr>
          <w:color w:val="16202D"/>
          <w:sz w:val="20"/>
          <w:szCs w:val="20"/>
        </w:rPr>
        <w:t xml:space="preserve">it is resolved against tenant-scoped retrieval; only this tenant's approved findings, definitions and documents are in scope.</w:t>
      </w:r>
    </w:p>
    <w:p>
      <w:pPr>
        <w:pStyle w:val="ListParagraph"/>
        <w:numPr>
          <w:ilvl w:val="0"/>
          <w:numId w:val="2"/>
        </w:numPr>
        <w:spacing w:after="70" w:line="268"/>
      </w:pPr>
      <w:r>
        <w:rPr>
          <w:b/>
          <w:bCs/>
          <w:color w:val="16202D"/>
          <w:sz w:val="20"/>
          <w:szCs w:val="20"/>
        </w:rPr>
        <w:t xml:space="preserve">3 — </w:t>
      </w:r>
      <w:r>
        <w:rPr>
          <w:color w:val="16202D"/>
          <w:sz w:val="20"/>
          <w:szCs w:val="20"/>
        </w:rPr>
        <w:t xml:space="preserve">the assistant selects and calls deterministic tools (engines, KPI views) with parameters; it never computes itself.</w:t>
      </w:r>
    </w:p>
    <w:p>
      <w:pPr>
        <w:pStyle w:val="ListParagraph"/>
        <w:numPr>
          <w:ilvl w:val="0"/>
          <w:numId w:val="2"/>
        </w:numPr>
        <w:spacing w:after="70" w:line="268"/>
      </w:pPr>
      <w:r>
        <w:rPr>
          <w:b/>
          <w:bCs/>
          <w:color w:val="16202D"/>
          <w:sz w:val="20"/>
          <w:szCs w:val="20"/>
        </w:rPr>
        <w:t xml:space="preserve">4 — </w:t>
      </w:r>
      <w:r>
        <w:rPr>
          <w:color w:val="16202D"/>
          <w:sz w:val="20"/>
          <w:szCs w:val="20"/>
        </w:rPr>
        <w:t xml:space="preserve">results return carrying evidence handles.</w:t>
      </w:r>
    </w:p>
    <w:p>
      <w:pPr>
        <w:pStyle w:val="ListParagraph"/>
        <w:numPr>
          <w:ilvl w:val="0"/>
          <w:numId w:val="2"/>
        </w:numPr>
        <w:spacing w:after="70" w:line="268"/>
      </w:pPr>
      <w:r>
        <w:rPr>
          <w:b/>
          <w:bCs/>
          <w:color w:val="16202D"/>
          <w:sz w:val="20"/>
          <w:szCs w:val="20"/>
        </w:rPr>
        <w:t xml:space="preserve">5 — </w:t>
      </w:r>
      <w:r>
        <w:rPr>
          <w:color w:val="16202D"/>
          <w:sz w:val="20"/>
          <w:szCs w:val="20"/>
        </w:rPr>
        <w:t xml:space="preserve">the provenance check rejects any sentence containing a number without a resolvable handle (the no-fabrication guard).</w:t>
      </w:r>
    </w:p>
    <w:p>
      <w:pPr>
        <w:pStyle w:val="ListParagraph"/>
        <w:numPr>
          <w:ilvl w:val="0"/>
          <w:numId w:val="2"/>
        </w:numPr>
        <w:spacing w:after="70" w:line="268"/>
      </w:pPr>
      <w:r>
        <w:rPr>
          <w:b/>
          <w:bCs/>
          <w:color w:val="16202D"/>
          <w:sz w:val="20"/>
          <w:szCs w:val="20"/>
        </w:rPr>
        <w:t xml:space="preserve">6 — </w:t>
      </w:r>
      <w:r>
        <w:rPr>
          <w:color w:val="16202D"/>
          <w:sz w:val="20"/>
          <w:szCs w:val="20"/>
        </w:rPr>
        <w:t xml:space="preserve">the answer renders with inline citations and an offer of the next safe step.</w:t>
      </w:r>
    </w:p>
    <w:p>
      <w:pPr>
        <w:pStyle w:val="Heading2"/>
      </w:pPr>
      <w:r>
        <w:t xml:space="preserve">7.8 Assistant model serving, data boundary &amp; provider governance</w:t>
      </w:r>
    </w:p>
    <w:p>
      <w:pPr>
        <w:spacing w:after="140" w:before="0" w:line="274"/>
      </w:pPr>
      <w:r>
        <w:rPr>
          <w:color w:val="16202D"/>
          <w:sz w:val="20"/>
          <w:szCs w:val="20"/>
        </w:rPr>
        <w:t xml:space="preserve">This is the single question most likely to stall an enterprise deal, so the answer is committed and unambiguous. </w:t>
      </w:r>
      <w:r>
        <w:rPr>
          <w:b/>
          <w:bCs/>
          <w:color w:val="16202D"/>
          <w:sz w:val="20"/>
          <w:szCs w:val="20"/>
        </w:rPr>
        <w:t xml:space="preserve">The analytical engines are ours and run inside the tenant — your numbers are never sent to a third party to be computed. </w:t>
      </w:r>
      <w:r>
        <w:rPr>
          <w:color w:val="16202D"/>
          <w:sz w:val="20"/>
          <w:szCs w:val="20"/>
        </w:rPr>
        <w:t xml:space="preserve">Only the conversational assistant uses an LLM, and it runs behind a Model Gateway with three serving modes and a strict data-minimization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1760"/>
      </w:tblGrid>
      <w:tr>
        <w:trPr>
          <w:tblHeader/>
        </w:trPr>
        <w:tc>
          <w:tcPr>
            <w:tcW w:type="dxa" w:w="2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Serving mode</w:t>
            </w:r>
          </w:p>
        </w:tc>
        <w:tc>
          <w:tcPr>
            <w:tcW w:type="dxa" w:w="29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Where the model runs</w:t>
            </w:r>
          </w:p>
        </w:tc>
        <w:tc>
          <w:tcPr>
            <w:tcW w:type="dxa" w:w="2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Default for</w:t>
            </w:r>
          </w:p>
        </w:tc>
        <w:tc>
          <w:tcPr>
            <w:tcW w:type="dxa" w:w="1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Data egress</w:t>
            </w:r>
          </w:p>
        </w:tc>
      </w:tr>
      <w:tr>
        <w:tc>
          <w:tcPr>
            <w:tcW w:type="dxa" w:w="2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Self-hosted / in-tenant</w:t>
            </w:r>
          </w:p>
        </w:tc>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An open-weights model served on the customer's own GPU inside their network.</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Enterprise, on-prem, air-gapped (and offered wherever a GPU is available)</w:t>
            </w:r>
          </w:p>
        </w:tc>
        <w:tc>
          <w:tcPr>
            <w:tcW w:type="dxa" w:w="1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None — nothing leaves the network.</w:t>
            </w:r>
          </w:p>
        </w:tc>
      </w:tr>
      <w:tr>
        <w:tc>
          <w:tcPr>
            <w:tcW w:type="dxa" w:w="2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Vendor-managed private endpoint</w:t>
            </w:r>
          </w:p>
        </w:tc>
        <w:tc>
          <w:tcPr>
            <w:tcW w:type="dxa" w:w="29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business-tier model API under a signed DPA with zero-data-retention and no-training-on-data terms.</w:t>
            </w:r>
          </w:p>
        </w:tc>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SaaS Pro / Pro Plus</w:t>
            </w:r>
          </w:p>
        </w:tc>
        <w:tc>
          <w:tcPr>
            <w:tcW w:type="dxa" w:w="1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Only the question + scoped evidence chunks.</w:t>
            </w:r>
          </w:p>
        </w:tc>
      </w:tr>
      <w:tr>
        <w:tc>
          <w:tcPr>
            <w:tcW w:type="dxa" w:w="2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Bring-your-own-model</w:t>
            </w:r>
          </w:p>
        </w:tc>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customer points the gateway at their own Azure OpenAI / Bedrock / on-prem endpoint.</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Customers with an approved LLM</w:t>
            </w:r>
          </w:p>
        </w:tc>
        <w:tc>
          <w:tcPr>
            <w:tcW w:type="dxa" w:w="1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Stays within the customer's chosen provider.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Data-minimization contract</w:t>
            </w:r>
          </w:p>
          <w:p>
            <w:pPr>
              <w:spacing w:after="60" w:line="256"/>
            </w:pPr>
            <w:r>
              <w:rPr>
                <w:b/>
                <w:bCs/>
                <w:color w:val="16202D"/>
                <w:sz w:val="20"/>
                <w:szCs w:val="20"/>
              </w:rPr>
              <w:t xml:space="preserve">What may leave (private-endpoint mode only): </w:t>
            </w:r>
            <w:r>
              <w:rPr>
                <w:color w:val="16202D"/>
                <w:sz w:val="20"/>
                <w:szCs w:val="20"/>
              </w:rPr>
              <w:t xml:space="preserve">the user's question text, the specific retrieved evidence chunks the question needs, and the tool schemas.</w:t>
            </w:r>
          </w:p>
          <w:p>
            <w:pPr>
              <w:spacing w:after="60" w:line="256"/>
            </w:pPr>
            <w:r>
              <w:rPr>
                <w:b/>
                <w:bCs/>
                <w:color w:val="16202D"/>
                <w:sz w:val="20"/>
                <w:szCs w:val="20"/>
              </w:rPr>
              <w:t xml:space="preserve">What never leaves: </w:t>
            </w:r>
            <w:r>
              <w:rPr>
                <w:color w:val="16202D"/>
                <w:sz w:val="20"/>
                <w:szCs w:val="20"/>
              </w:rPr>
              <w:t xml:space="preserve">credentials, full source or staging tables, other tenants' data, or anything beyond the permission-scoped retrieval.</w:t>
            </w:r>
          </w:p>
          <w:p>
            <w:pPr>
              <w:spacing w:after="60" w:line="256"/>
            </w:pPr>
            <w:r>
              <w:rPr>
                <w:b/>
                <w:bCs/>
                <w:color w:val="16202D"/>
                <w:sz w:val="20"/>
                <w:szCs w:val="20"/>
              </w:rPr>
              <w:t xml:space="preserve">Redaction pass: </w:t>
            </w:r>
            <w:r>
              <w:rPr>
                <w:color w:val="16202D"/>
                <w:sz w:val="20"/>
                <w:szCs w:val="20"/>
              </w:rPr>
              <w:t xml:space="preserve">customer-identifying tokens can be masked before any external call (configurable per tenant).</w:t>
            </w:r>
          </w:p>
          <w:p>
            <w:pPr>
              <w:spacing w:after="60" w:line="256"/>
            </w:pPr>
            <w:r>
              <w:rPr>
                <w:b/>
                <w:bCs/>
                <w:color w:val="16202D"/>
                <w:sz w:val="20"/>
                <w:szCs w:val="20"/>
              </w:rPr>
              <w:t xml:space="preserve">Hard switch: </w:t>
            </w:r>
            <w:r>
              <w:rPr>
                <w:color w:val="16202D"/>
                <w:sz w:val="20"/>
                <w:szCs w:val="20"/>
              </w:rPr>
              <w:t xml:space="preserve">a per-tenant "no external model calls" toggle forces self-hosted serving.</w:t>
            </w:r>
          </w:p>
          <w:p>
            <w:pPr>
              <w:spacing w:after="0" w:line="256"/>
            </w:pPr>
            <w:r>
              <w:rPr>
                <w:b/>
                <w:bCs/>
                <w:color w:val="16202D"/>
                <w:sz w:val="20"/>
                <w:szCs w:val="20"/>
              </w:rPr>
              <w:t xml:space="preserve">Audit: </w:t>
            </w:r>
            <w:r>
              <w:rPr>
                <w:color w:val="16202D"/>
                <w:sz w:val="20"/>
                <w:szCs w:val="20"/>
              </w:rPr>
              <w:t xml:space="preserve">every assistant call records which model answered, what data classification left the boundary, and token counts.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Default posture</w:t>
            </w:r>
          </w:p>
          <w:p>
            <w:pPr>
              <w:spacing w:after="0" w:line="256"/>
            </w:pPr>
            <w:r>
              <w:rPr>
                <w:color w:val="16202D"/>
                <w:sz w:val="18"/>
                <w:szCs w:val="18"/>
              </w:rPr>
              <w:t xml:space="preserve">Where a GPU is present, the default is self-hosted (zero egress). Where it is not, SaaS uses a contracted zero-retention private endpoint that receives only the question and the minimal evidence — never raw plant data. And any customer can bring their own model. There is no scenario in which PPIQ silently ships proprietary process data to an unnamed public model.</w:t>
            </w:r>
          </w:p>
        </w:tc>
      </w:tr>
    </w:tbl>
    <w:p>
      <w:pPr>
        <w:pStyle w:val="Heading2"/>
      </w:pPr>
      <w:r>
        <w:t xml:space="preserve">7.9 Assistant evaluation, quality assurance &amp; model-version governance</w:t>
      </w:r>
    </w:p>
    <w:p>
      <w:pPr>
        <w:spacing w:after="140" w:before="0" w:line="274"/>
      </w:pPr>
      <w:r>
        <w:rPr>
          <w:color w:val="16202D"/>
          <w:sz w:val="20"/>
          <w:szCs w:val="20"/>
        </w:rPr>
        <w:t xml:space="preserve">The residual risk is not fabricated numbers — the no-fabrication guard handles those. It is </w:t>
      </w:r>
      <w:r>
        <w:rPr>
          <w:b/>
          <w:bCs/>
          <w:color w:val="16202D"/>
          <w:sz w:val="20"/>
          <w:szCs w:val="20"/>
        </w:rPr>
        <w:t xml:space="preserve">misinterpretation, mis-summary, or selecting the wrong tool. </w:t>
      </w:r>
      <w:r>
        <w:rPr>
          <w:color w:val="16202D"/>
          <w:sz w:val="20"/>
          <w:szCs w:val="20"/>
        </w:rPr>
        <w:t xml:space="preserve">PPIQ governs narrative fidelity and tool correctness with an evaluation harness and version pinning.</w:t>
      </w:r>
    </w:p>
    <w:p>
      <w:pPr>
        <w:pStyle w:val="ListParagraph"/>
        <w:numPr>
          <w:ilvl w:val="0"/>
          <w:numId w:val="2"/>
        </w:numPr>
        <w:spacing w:after="70" w:line="268"/>
      </w:pPr>
      <w:r>
        <w:rPr>
          <w:b/>
          <w:bCs/>
          <w:color w:val="16202D"/>
          <w:sz w:val="20"/>
          <w:szCs w:val="20"/>
        </w:rPr>
        <w:t xml:space="preserve">Golden Q&amp;A set per release: </w:t>
      </w:r>
      <w:r>
        <w:rPr>
          <w:color w:val="16202D"/>
          <w:sz w:val="20"/>
          <w:szCs w:val="20"/>
        </w:rPr>
        <w:t xml:space="preserve">questions with known-correct grounded answers, scored on groundedness, tool-selection accuracy, answer correctness and refusal-appropriateness.</w:t>
      </w:r>
    </w:p>
    <w:p>
      <w:pPr>
        <w:pStyle w:val="ListParagraph"/>
        <w:numPr>
          <w:ilvl w:val="0"/>
          <w:numId w:val="2"/>
        </w:numPr>
        <w:spacing w:after="70" w:line="268"/>
      </w:pPr>
      <w:r>
        <w:rPr>
          <w:b/>
          <w:bCs/>
          <w:color w:val="16202D"/>
          <w:sz w:val="20"/>
          <w:szCs w:val="20"/>
        </w:rPr>
        <w:t xml:space="preserve">Faithfulness check: </w:t>
      </w:r>
      <w:r>
        <w:rPr>
          <w:color w:val="16202D"/>
          <w:sz w:val="20"/>
          <w:szCs w:val="20"/>
        </w:rPr>
        <w:t xml:space="preserve">an automated entailment test that every claim — not only numbers — maps to retrieved evidence.</w:t>
      </w:r>
    </w:p>
    <w:p>
      <w:pPr>
        <w:pStyle w:val="ListParagraph"/>
        <w:numPr>
          <w:ilvl w:val="0"/>
          <w:numId w:val="2"/>
        </w:numPr>
        <w:spacing w:after="70" w:line="268"/>
      </w:pPr>
      <w:r>
        <w:rPr>
          <w:b/>
          <w:bCs/>
          <w:color w:val="16202D"/>
          <w:sz w:val="20"/>
          <w:szCs w:val="20"/>
        </w:rPr>
        <w:t xml:space="preserve">Tool-selection tests: </w:t>
      </w:r>
      <w:r>
        <w:rPr>
          <w:color w:val="16202D"/>
          <w:sz w:val="20"/>
          <w:szCs w:val="20"/>
        </w:rPr>
        <w:t xml:space="preserve">given a question, did the assistant call the right engine with the right parameters?</w:t>
      </w:r>
    </w:p>
    <w:p>
      <w:pPr>
        <w:pStyle w:val="ListParagraph"/>
        <w:numPr>
          <w:ilvl w:val="0"/>
          <w:numId w:val="2"/>
        </w:numPr>
        <w:spacing w:after="70" w:line="268"/>
      </w:pPr>
      <w:r>
        <w:rPr>
          <w:b/>
          <w:bCs/>
          <w:color w:val="16202D"/>
          <w:sz w:val="20"/>
          <w:szCs w:val="20"/>
        </w:rPr>
        <w:t xml:space="preserve">Causal-overreach lint: </w:t>
      </w:r>
      <w:r>
        <w:rPr>
          <w:color w:val="16202D"/>
          <w:sz w:val="20"/>
          <w:szCs w:val="20"/>
        </w:rPr>
        <w:t xml:space="preserve">forbidden-phrase and over-claim detection ("root cause," "guaranteed," "optimal").</w:t>
      </w:r>
    </w:p>
    <w:p>
      <w:pPr>
        <w:pStyle w:val="ListParagraph"/>
        <w:numPr>
          <w:ilvl w:val="0"/>
          <w:numId w:val="2"/>
        </w:numPr>
        <w:spacing w:after="70" w:line="268"/>
      </w:pPr>
      <w:r>
        <w:rPr>
          <w:b/>
          <w:bCs/>
          <w:color w:val="16202D"/>
          <w:sz w:val="20"/>
          <w:szCs w:val="20"/>
        </w:rPr>
        <w:t xml:space="preserve">Regression gate: </w:t>
      </w:r>
      <w:r>
        <w:rPr>
          <w:color w:val="16202D"/>
          <w:sz w:val="20"/>
          <w:szCs w:val="20"/>
        </w:rPr>
        <w:t xml:space="preserve">a model version cannot ship unless it matches or beats the prior version's harness scores.</w:t>
      </w:r>
    </w:p>
    <w:p>
      <w:pPr>
        <w:pStyle w:val="ListParagraph"/>
        <w:numPr>
          <w:ilvl w:val="0"/>
          <w:numId w:val="2"/>
        </w:numPr>
        <w:spacing w:after="70" w:line="268"/>
      </w:pPr>
      <w:r>
        <w:rPr>
          <w:b/>
          <w:bCs/>
          <w:color w:val="16202D"/>
          <w:sz w:val="20"/>
          <w:szCs w:val="20"/>
        </w:rPr>
        <w:t xml:space="preserve">Model-version pinning: </w:t>
      </w:r>
      <w:r>
        <w:rPr>
          <w:color w:val="16202D"/>
          <w:sz w:val="20"/>
          <w:szCs w:val="20"/>
        </w:rPr>
        <w:t xml:space="preserve">the deployed model is pinned per release; air-gapped customers receive a validated model bundle.</w:t>
      </w:r>
    </w:p>
    <w:p>
      <w:pPr>
        <w:pStyle w:val="ListParagraph"/>
        <w:numPr>
          <w:ilvl w:val="0"/>
          <w:numId w:val="2"/>
        </w:numPr>
        <w:spacing w:after="70" w:line="268"/>
      </w:pPr>
      <w:r>
        <w:rPr>
          <w:b/>
          <w:bCs/>
          <w:color w:val="16202D"/>
          <w:sz w:val="20"/>
          <w:szCs w:val="20"/>
        </w:rPr>
        <w:t xml:space="preserve">Human-in-the-loop: </w:t>
      </w:r>
      <w:r>
        <w:rPr>
          <w:color w:val="16202D"/>
          <w:sz w:val="20"/>
          <w:szCs w:val="20"/>
        </w:rPr>
        <w:t xml:space="preserve">thumbs feedback feeds the evaluation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Swapping the LLM is a governed event, not a silent one</w:t>
            </w:r>
          </w:p>
          <w:p>
            <w:pPr>
              <w:spacing w:after="0" w:line="256"/>
            </w:pPr>
            <w:r>
              <w:rPr>
                <w:color w:val="16202D"/>
                <w:sz w:val="18"/>
                <w:szCs w:val="18"/>
              </w:rPr>
              <w:t xml:space="preserve">A new model must pass the same harness, its version is pinned and recorded, and a regression blocks release. This is how you depend on the assistant across model generations — your trust rests on the architecture and the gate, not on any single model being clever.</w:t>
            </w:r>
          </w:p>
        </w:tc>
      </w:tr>
    </w:tbl>
    <w:p>
      <w:pPr>
        <w:pStyle w:val="Heading2"/>
      </w:pPr>
      <w:r>
        <w:t xml:space="preserve">7.10 Configuring the assistant from the HMI</w:t>
      </w:r>
    </w:p>
    <w:p>
      <w:pPr>
        <w:spacing w:after="140" w:before="0" w:line="274"/>
      </w:pPr>
      <w:r>
        <w:rPr>
          <w:color w:val="16202D"/>
          <w:sz w:val="20"/>
          <w:szCs w:val="20"/>
        </w:rPr>
        <w:t xml:space="preserve">Per principle #1, if it cannot be configured from the HMI it is not done — and that includes the assistant itself. An admin controls, with no code and full versioning:</w:t>
      </w:r>
    </w:p>
    <w:p>
      <w:pPr>
        <w:pStyle w:val="ListParagraph"/>
        <w:numPr>
          <w:ilvl w:val="0"/>
          <w:numId w:val="2"/>
        </w:numPr>
        <w:spacing w:after="70" w:line="268"/>
      </w:pPr>
      <w:r>
        <w:rPr>
          <w:color w:val="16202D"/>
          <w:sz w:val="20"/>
          <w:szCs w:val="20"/>
        </w:rPr>
        <w:t xml:space="preserve">which tools the assistant may use, per role and tier;</w:t>
      </w:r>
    </w:p>
    <w:p>
      <w:pPr>
        <w:pStyle w:val="ListParagraph"/>
        <w:numPr>
          <w:ilvl w:val="0"/>
          <w:numId w:val="2"/>
        </w:numPr>
        <w:spacing w:after="70" w:line="268"/>
      </w:pPr>
      <w:r>
        <w:rPr>
          <w:color w:val="16202D"/>
          <w:sz w:val="20"/>
          <w:szCs w:val="20"/>
        </w:rPr>
        <w:t xml:space="preserve">which knowledge sources are indexed for grounding — which findings, definitions and documents;</w:t>
      </w:r>
    </w:p>
    <w:p>
      <w:pPr>
        <w:pStyle w:val="ListParagraph"/>
        <w:numPr>
          <w:ilvl w:val="0"/>
          <w:numId w:val="2"/>
        </w:numPr>
        <w:spacing w:after="70" w:line="268"/>
      </w:pPr>
      <w:r>
        <w:rPr>
          <w:color w:val="16202D"/>
          <w:sz w:val="20"/>
          <w:szCs w:val="20"/>
        </w:rPr>
        <w:t xml:space="preserve">a plant-specific glossary and synonyms (the customer's own term for a defect or KPI);</w:t>
      </w:r>
    </w:p>
    <w:p>
      <w:pPr>
        <w:pStyle w:val="ListParagraph"/>
        <w:numPr>
          <w:ilvl w:val="0"/>
          <w:numId w:val="2"/>
        </w:numPr>
        <w:spacing w:after="70" w:line="268"/>
      </w:pPr>
      <w:r>
        <w:rPr>
          <w:color w:val="16202D"/>
          <w:sz w:val="20"/>
          <w:szCs w:val="20"/>
        </w:rPr>
        <w:t xml:space="preserve">guardrail phrases and the response style and verbosity.</w:t>
      </w:r>
    </w:p>
    <w:p>
      <w:pPr>
        <w:pStyle w:val="Heading2"/>
      </w:pPr>
      <w:r>
        <w:t xml:space="preserve">7.11 The limits of correlation — unmeasured confounders &amp; KPI reconciliation</w:t>
      </w:r>
    </w:p>
    <w:p>
      <w:pPr>
        <w:spacing w:after="140" w:before="0" w:line="274"/>
      </w:pPr>
      <w:r>
        <w:rPr>
          <w:color w:val="16202D"/>
          <w:sz w:val="20"/>
          <w:szCs w:val="20"/>
        </w:rPr>
        <w:t xml:space="preserve">Two sharp questions deserve honest, designed answers: </w:t>
      </w:r>
      <w:r>
        <w:rPr>
          <w:i/>
          <w:iCs/>
          <w:color w:val="16202D"/>
          <w:sz w:val="20"/>
          <w:szCs w:val="20"/>
        </w:rPr>
        <w:t xml:space="preserve">"what about the lurking variable I don't even measure?" </w:t>
      </w:r>
      <w:r>
        <w:rPr>
          <w:color w:val="16202D"/>
          <w:sz w:val="20"/>
          <w:szCs w:val="20"/>
        </w:rPr>
        <w:t xml:space="preserve">and </w:t>
      </w:r>
      <w:r>
        <w:rPr>
          <w:i/>
          <w:iCs/>
          <w:color w:val="16202D"/>
          <w:sz w:val="20"/>
          <w:szCs w:val="20"/>
        </w:rPr>
        <w:t xml:space="preserve">"your KPI won't match my MES."</w:t>
      </w:r>
    </w:p>
    <w:p>
      <w:pPr>
        <w:spacing w:after="140" w:before="0" w:line="274"/>
      </w:pPr>
      <w:r>
        <w:rPr>
          <w:b/>
          <w:bCs/>
          <w:color w:val="16202D"/>
          <w:sz w:val="20"/>
          <w:szCs w:val="20"/>
        </w:rPr>
        <w:t xml:space="preserve">Unmeasured confounders. </w:t>
      </w:r>
      <w:r>
        <w:rPr>
          <w:color w:val="16202D"/>
          <w:sz w:val="20"/>
          <w:szCs w:val="20"/>
        </w:rPr>
        <w:t xml:space="preserve">Correlation over captured data cannot rule out a cause you do not measure — a raw-material lot, ambient humidity, a specific operator. PPIQ is explicit about this limit rather than hiding it.</w:t>
      </w:r>
    </w:p>
    <w:p>
      <w:pPr>
        <w:pStyle w:val="ListParagraph"/>
        <w:numPr>
          <w:ilvl w:val="0"/>
          <w:numId w:val="2"/>
        </w:numPr>
        <w:spacing w:after="70" w:line="268"/>
      </w:pPr>
      <w:r>
        <w:rPr>
          <w:color w:val="16202D"/>
          <w:sz w:val="20"/>
          <w:szCs w:val="20"/>
        </w:rPr>
        <w:t xml:space="preserve">Findings are framed as suspected contributors warranting investigation, never proven causes.</w:t>
      </w:r>
    </w:p>
    <w:p>
      <w:pPr>
        <w:pStyle w:val="ListParagraph"/>
        <w:numPr>
          <w:ilvl w:val="0"/>
          <w:numId w:val="2"/>
        </w:numPr>
        <w:spacing w:after="70" w:line="268"/>
      </w:pPr>
      <w:r>
        <w:rPr>
          <w:color w:val="16202D"/>
          <w:sz w:val="20"/>
          <w:szCs w:val="20"/>
        </w:rPr>
        <w:t xml:space="preserve">The product stratifies by every confounder it can see and states which it controlled for.</w:t>
      </w:r>
    </w:p>
    <w:p>
      <w:pPr>
        <w:pStyle w:val="ListParagraph"/>
        <w:numPr>
          <w:ilvl w:val="0"/>
          <w:numId w:val="2"/>
        </w:numPr>
        <w:spacing w:after="70" w:line="268"/>
      </w:pPr>
      <w:r>
        <w:rPr>
          <w:color w:val="16202D"/>
          <w:sz w:val="20"/>
          <w:szCs w:val="20"/>
        </w:rPr>
        <w:t xml:space="preserve">When a likely confounder is unmeasured, the assistant says so: </w:t>
      </w:r>
      <w:r>
        <w:rPr>
          <w:i/>
          <w:iCs/>
          <w:color w:val="16202D"/>
          <w:sz w:val="20"/>
          <w:szCs w:val="20"/>
        </w:rPr>
        <w:t xml:space="preserve">"this association may be driven by a factor not present in the connected data."</w:t>
      </w:r>
    </w:p>
    <w:p>
      <w:pPr>
        <w:pStyle w:val="ListParagraph"/>
        <w:numPr>
          <w:ilvl w:val="0"/>
          <w:numId w:val="2"/>
        </w:numPr>
        <w:spacing w:after="70" w:line="268"/>
      </w:pPr>
      <w:r>
        <w:rPr>
          <w:color w:val="16202D"/>
          <w:sz w:val="20"/>
          <w:szCs w:val="20"/>
        </w:rPr>
        <w:t xml:space="preserve">It surfaces candidates for the human to test and makes it easy to connect a new source to test a hypothesis — it does not claim closure.</w:t>
      </w:r>
    </w:p>
    <w:p>
      <w:pPr>
        <w:spacing w:after="140" w:before="0" w:line="274"/>
      </w:pPr>
      <w:r>
        <w:rPr>
          <w:b/>
          <w:bCs/>
          <w:color w:val="16202D"/>
          <w:sz w:val="20"/>
          <w:szCs w:val="20"/>
        </w:rPr>
        <w:t xml:space="preserve">KPI reconciliation. </w:t>
      </w:r>
      <w:r>
        <w:rPr>
          <w:color w:val="16202D"/>
          <w:sz w:val="20"/>
          <w:szCs w:val="20"/>
        </w:rPr>
        <w:t xml:space="preserve">A buyer's official yield from their MES may differ from PPIQ's because definitions differ. PPIQ does not fight the system of record.</w:t>
      </w:r>
    </w:p>
    <w:p>
      <w:pPr>
        <w:pStyle w:val="ListParagraph"/>
        <w:numPr>
          <w:ilvl w:val="0"/>
          <w:numId w:val="2"/>
        </w:numPr>
        <w:spacing w:after="70" w:line="268"/>
      </w:pPr>
      <w:r>
        <w:rPr>
          <w:color w:val="16202D"/>
          <w:sz w:val="20"/>
          <w:szCs w:val="20"/>
        </w:rPr>
        <w:t xml:space="preserve">KPI definitions are versioned and fully transparent — the customer can read the exact SQL view that produced a number (§4.4).</w:t>
      </w:r>
    </w:p>
    <w:p>
      <w:pPr>
        <w:pStyle w:val="ListParagraph"/>
        <w:numPr>
          <w:ilvl w:val="0"/>
          <w:numId w:val="2"/>
        </w:numPr>
        <w:spacing w:after="70" w:line="268"/>
      </w:pPr>
      <w:r>
        <w:rPr>
          <w:color w:val="16202D"/>
          <w:sz w:val="20"/>
          <w:szCs w:val="20"/>
        </w:rPr>
        <w:t xml:space="preserve">PPIQ can align a KPI to the customer's authoritative definition and offers a reconciliation view showing where and why the two differ (population, exclusions, timing).</w:t>
      </w:r>
    </w:p>
    <w:p>
      <w:pPr>
        <w:pStyle w:val="ListParagraph"/>
        <w:numPr>
          <w:ilvl w:val="0"/>
          <w:numId w:val="2"/>
        </w:numPr>
        <w:spacing w:after="70" w:line="268"/>
      </w:pPr>
      <w:r>
        <w:rPr>
          <w:color w:val="16202D"/>
          <w:sz w:val="20"/>
          <w:szCs w:val="20"/>
        </w:rPr>
        <w:t xml:space="preserve">PPIQ positions itself as the investigative layer, not the official system of record for regulatory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Transparency turns a credibility threat into a win</w:t>
            </w:r>
          </w:p>
          <w:p>
            <w:pPr>
              <w:spacing w:after="0" w:line="256"/>
            </w:pPr>
            <w:r>
              <w:rPr>
                <w:color w:val="16202D"/>
                <w:sz w:val="18"/>
                <w:szCs w:val="18"/>
              </w:rPr>
              <w:t xml:space="preserve">PPIQ never claims its KPI is "the right one" over the customer's MES. It shows its formula, reconciles to the official definition on request, and explains any gap — which is exactly what a skeptical engineer needs to start trusting the rest of the system.</w:t>
            </w:r>
          </w:p>
        </w:tc>
      </w:tr>
    </w:tbl>
    <w:p>
      <w:pPr>
        <w:pStyle w:val="Heading2"/>
      </w:pPr>
      <w:r>
        <w:t xml:space="preserve">7.B · In plain terms — for buyers, not engineers</w:t>
      </w:r>
    </w:p>
    <w:p>
      <w:pPr>
        <w:spacing w:after="120" w:before="0" w:line="274"/>
      </w:pPr>
      <w:r>
        <w:rPr>
          <w:i/>
          <w:iCs/>
          <w:color w:val="8EA7C1"/>
          <w:sz w:val="19"/>
          <w:szCs w:val="19"/>
        </w:rPr>
        <w:t xml:space="preserve">What the engines compute versus what the assistant explains, how a question is answered safely, where the model runs, and how we prove answer quality.</w:t>
      </w:r>
    </w:p>
    <w:p>
      <w:pPr>
        <w:spacing w:after="60" w:before="80" w:line="274"/>
      </w:pPr>
      <w:r>
        <w:rPr>
          <w:b/>
          <w:bCs/>
          <w:color w:val="102A43"/>
          <w:sz w:val="18"/>
          <w:szCs w:val="18"/>
        </w:rPr>
        <w:t xml:space="preserve">▸ AI responsibility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Action</w:t>
            </w:r>
          </w:p>
        </w:tc>
        <w:tc>
          <w:tcPr>
            <w:tcW w:type="dxa" w:w="2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Done by engine</w:t>
            </w:r>
          </w:p>
        </w:tc>
        <w:tc>
          <w:tcPr>
            <w:tcW w:type="dxa" w:w="2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Done by assistant</w:t>
            </w:r>
          </w:p>
        </w:tc>
      </w:tr>
      <w:tr>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Calculate KPI</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r>
      <w:tr>
        <w:tc>
          <w:tcPr>
            <w:tcW w:type="dxa" w:w="4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Run correlation / stability</w:t>
            </w:r>
          </w:p>
        </w:tc>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r>
      <w:tr>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Decide readiness</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r>
      <w:tr>
        <w:tc>
          <w:tcPr>
            <w:tcW w:type="dxa" w:w="4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Rank suspected contributors</w:t>
            </w:r>
          </w:p>
        </w:tc>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r>
      <w:tr>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Compute euro impact</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r>
      <w:tr>
        <w:tc>
          <w:tcPr>
            <w:tcW w:type="dxa" w:w="4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Generate suggestion record</w:t>
            </w:r>
          </w:p>
        </w:tc>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r>
      <w:tr>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Explain a finding</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r>
      <w:tr>
        <w:tc>
          <w:tcPr>
            <w:tcW w:type="dxa" w:w="4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Answer "why?" with citations</w:t>
            </w:r>
          </w:p>
        </w:tc>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r>
      <w:tr>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Recommend next safe step</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Engine decides</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Assistant presents</w:t>
            </w:r>
          </w:p>
        </w:tc>
      </w:tr>
    </w:tbl>
    <w:p>
      <w:pPr>
        <w:spacing w:after="60" w:before="80" w:line="274"/>
      </w:pPr>
      <w:r>
        <w:rPr>
          <w:b/>
          <w:bCs/>
          <w:color w:val="102A43"/>
          <w:sz w:val="18"/>
          <w:szCs w:val="18"/>
        </w:rPr>
        <w:t xml:space="preserve">▸ How the assistant answers a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Question  -&gt;  permission check  -&gt;  tenant-scoped retrieval  -&gt;  tool selection</w:t>
            </w:r>
          </w:p>
          <w:p>
            <w:pPr>
              <w:spacing w:after="0" w:before="0" w:line="240"/>
            </w:pPr>
            <w:r>
              <w:rPr>
                <w:rFonts w:ascii="JetBrains Mono" w:cs="JetBrains Mono" w:eastAsia="JetBrains Mono" w:hAnsi="JetBrains Mono"/>
                <w:color w:val="EAF6FF"/>
                <w:sz w:val="16"/>
                <w:szCs w:val="16"/>
              </w:rPr>
              <w:t xml:space="preserve">   -&gt;  deterministic engine call  -&gt;  evidence handles returned</w:t>
            </w:r>
          </w:p>
          <w:p>
            <w:pPr>
              <w:spacing w:after="0" w:before="0" w:line="240"/>
            </w:pPr>
            <w:r>
              <w:rPr>
                <w:rFonts w:ascii="JetBrains Mono" w:cs="JetBrains Mono" w:eastAsia="JetBrains Mono" w:hAnsi="JetBrains Mono"/>
                <w:color w:val="EAF6FF"/>
                <w:sz w:val="16"/>
                <w:szCs w:val="16"/>
              </w:rPr>
              <w:t xml:space="preserve">   -&gt;  redaction / data-boundary check  -&gt;  LLM drafts answer</w:t>
            </w:r>
          </w:p>
          <w:p>
            <w:pPr>
              <w:spacing w:after="0" w:before="0" w:line="240"/>
            </w:pPr>
            <w:r>
              <w:rPr>
                <w:rFonts w:ascii="JetBrains Mono" w:cs="JetBrains Mono" w:eastAsia="JetBrains Mono" w:hAnsi="JetBrains Mono"/>
                <w:color w:val="EAF6FF"/>
                <w:sz w:val="16"/>
                <w:szCs w:val="16"/>
              </w:rPr>
              <w:t xml:space="preserve">   -&gt;  no-fabrication guard (every number needs a handle)</w:t>
            </w:r>
          </w:p>
          <w:p>
            <w:pPr>
              <w:spacing w:after="0" w:before="0" w:line="240"/>
            </w:pPr>
            <w:r>
              <w:rPr>
                <w:rFonts w:ascii="JetBrains Mono" w:cs="JetBrains Mono" w:eastAsia="JetBrains Mono" w:hAnsi="JetBrains Mono"/>
                <w:color w:val="EAF6FF"/>
                <w:sz w:val="16"/>
                <w:szCs w:val="16"/>
              </w:rPr>
              <w:t xml:space="preserve">   -&gt;  cited answer rendered  -&gt;  audit log recorded</w:t>
            </w:r>
          </w:p>
        </w:tc>
      </w:tr>
    </w:tbl>
    <w:p>
      <w:pPr>
        <w:spacing w:after="60" w:before="80" w:line="274"/>
      </w:pPr>
      <w:r>
        <w:rPr>
          <w:b/>
          <w:bCs/>
          <w:color w:val="102A43"/>
          <w:sz w:val="18"/>
          <w:szCs w:val="18"/>
        </w:rPr>
        <w:t xml:space="preserve">▸ Where the model runs, and what may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Serving mode</w:t>
            </w:r>
          </w:p>
        </w:tc>
        <w:tc>
          <w:tcPr>
            <w:tcW w:type="dxa" w:w="234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Where it runs</w:t>
            </w:r>
          </w:p>
        </w:tc>
        <w:tc>
          <w:tcPr>
            <w:tcW w:type="dxa" w:w="234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Default for</w:t>
            </w:r>
          </w:p>
        </w:tc>
        <w:tc>
          <w:tcPr>
            <w:tcW w:type="dxa" w:w="234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Data egress</w:t>
            </w:r>
          </w:p>
        </w:tc>
      </w:tr>
      <w:tr>
        <w:tc>
          <w:tcPr>
            <w:tcW w:type="dxa" w:w="23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Self-hosted / in-tenant</w:t>
            </w:r>
          </w:p>
        </w:tc>
        <w:tc>
          <w:tcPr>
            <w:tcW w:type="dxa" w:w="23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Your GPU, your network</w:t>
            </w:r>
          </w:p>
        </w:tc>
        <w:tc>
          <w:tcPr>
            <w:tcW w:type="dxa" w:w="23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Enterprise, on-prem, air-gapped</w:t>
            </w:r>
          </w:p>
        </w:tc>
        <w:tc>
          <w:tcPr>
            <w:tcW w:type="dxa" w:w="23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None</w:t>
            </w:r>
          </w:p>
        </w:tc>
      </w:tr>
      <w:tr>
        <w:tc>
          <w:tcPr>
            <w:tcW w:type="dxa" w:w="23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Vendor-managed private endpoint</w:t>
            </w:r>
          </w:p>
        </w:tc>
        <w:tc>
          <w:tcPr>
            <w:tcW w:type="dxa" w:w="23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Zero-retention API under DPA</w:t>
            </w:r>
          </w:p>
        </w:tc>
        <w:tc>
          <w:tcPr>
            <w:tcW w:type="dxa" w:w="23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SaaS Pro / Pro Plus</w:t>
            </w:r>
          </w:p>
        </w:tc>
        <w:tc>
          <w:tcPr>
            <w:tcW w:type="dxa" w:w="23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Question + scoped evidence only</w:t>
            </w:r>
          </w:p>
        </w:tc>
      </w:tr>
      <w:tr>
        <w:tc>
          <w:tcPr>
            <w:tcW w:type="dxa" w:w="23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Bring-your-own-model</w:t>
            </w:r>
          </w:p>
        </w:tc>
        <w:tc>
          <w:tcPr>
            <w:tcW w:type="dxa" w:w="23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Your Azure OpenAI / Bedrock / on-prem</w:t>
            </w:r>
          </w:p>
        </w:tc>
        <w:tc>
          <w:tcPr>
            <w:tcW w:type="dxa" w:w="23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Customers with an approved LLM</w:t>
            </w:r>
          </w:p>
        </w:tc>
        <w:tc>
          <w:tcPr>
            <w:tcW w:type="dxa" w:w="23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Stays in your provider</w:t>
            </w:r>
          </w:p>
        </w:tc>
      </w:tr>
    </w:tbl>
    <w:p>
      <w:pPr>
        <w:spacing w:after="120" w:before="20" w:line="274"/>
      </w:pPr>
      <w:r>
        <w:rPr>
          <w:i/>
          <w:iCs/>
          <w:color w:val="8EA7C1"/>
          <w:sz w:val="16"/>
          <w:szCs w:val="16"/>
        </w:rPr>
        <w:t xml:space="preserve">A per-tenant "no external model calls" switch forces self-hosted serving; a redaction pass can mask customer-identifying tokens before any external call; every call is audited (model, data classification that left, token counts).</w:t>
      </w:r>
    </w:p>
    <w:p>
      <w:pPr>
        <w:spacing w:after="60" w:before="80" w:line="274"/>
      </w:pPr>
      <w:r>
        <w:rPr>
          <w:b/>
          <w:bCs/>
          <w:color w:val="102A43"/>
          <w:sz w:val="18"/>
          <w:szCs w:val="18"/>
        </w:rPr>
        <w:t xml:space="preserve">▸ Assistant assurance — the targets we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Metric</w:t>
            </w:r>
          </w:p>
        </w:tc>
        <w:tc>
          <w:tcPr>
            <w:tcW w:type="dxa" w:w="36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Target</w:t>
            </w:r>
          </w:p>
        </w:tc>
      </w:tr>
      <w:tr>
        <w:tc>
          <w:tcPr>
            <w:tcW w:type="dxa" w:w="5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Grounded-answer accuracy (golden set)</w:t>
            </w:r>
          </w:p>
        </w:tc>
        <w:tc>
          <w:tcPr>
            <w:tcW w:type="dxa" w:w="3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 95%</w:t>
            </w:r>
          </w:p>
        </w:tc>
      </w:tr>
      <w:tr>
        <w:tc>
          <w:tcPr>
            <w:tcW w:type="dxa" w:w="5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Unsupported numeric-claim rate</w:t>
            </w:r>
          </w:p>
        </w:tc>
        <w:tc>
          <w:tcPr>
            <w:tcW w:type="dxa" w:w="3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0</w:t>
            </w:r>
          </w:p>
        </w:tc>
      </w:tr>
      <w:tr>
        <w:tc>
          <w:tcPr>
            <w:tcW w:type="dxa" w:w="5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Correct tool selection</w:t>
            </w:r>
          </w:p>
        </w:tc>
        <w:tc>
          <w:tcPr>
            <w:tcW w:type="dxa" w:w="3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 95%</w:t>
            </w:r>
          </w:p>
        </w:tc>
      </w:tr>
      <w:tr>
        <w:tc>
          <w:tcPr>
            <w:tcW w:type="dxa" w:w="5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Refusal correctness</w:t>
            </w:r>
          </w:p>
        </w:tc>
        <w:tc>
          <w:tcPr>
            <w:tcW w:type="dxa" w:w="3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 90%</w:t>
            </w:r>
          </w:p>
        </w:tc>
      </w:tr>
      <w:tr>
        <w:tc>
          <w:tcPr>
            <w:tcW w:type="dxa" w:w="5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Forbidden-claim detection</w:t>
            </w:r>
          </w:p>
        </w:tc>
        <w:tc>
          <w:tcPr>
            <w:tcW w:type="dxa" w:w="3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100%</w:t>
            </w:r>
          </w:p>
        </w:tc>
      </w:tr>
      <w:tr>
        <w:tc>
          <w:tcPr>
            <w:tcW w:type="dxa" w:w="5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Model regression on upgrade</w:t>
            </w:r>
          </w:p>
        </w:tc>
        <w:tc>
          <w:tcPr>
            <w:tcW w:type="dxa" w:w="3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new model must match or beat the current one</w:t>
            </w:r>
          </w:p>
        </w:tc>
      </w:tr>
    </w:tbl>
    <w:p>
      <w:pPr>
        <w:spacing w:after="120" w:before="20" w:line="274"/>
      </w:pPr>
      <w:r>
        <w:rPr>
          <w:i/>
          <w:iCs/>
          <w:color w:val="8EA7C1"/>
          <w:sz w:val="16"/>
          <w:szCs w:val="16"/>
        </w:rPr>
        <w:t xml:space="preserve">You do not depend on the model to compute truth — the engines do that and every number is cited. Model size affects language quality, not the correctness of the numbers. Model swaps are governed: golden Q&amp;A, faithfulness, tool-selection and causal-overreach tests must pass, and the version is pinned.</w:t>
      </w:r>
    </w:p>
    <w:p>
      <w:pPr>
        <w:pStyle w:val="Heading1"/>
      </w:pPr>
      <w:r>
        <w:t xml:space="preserve">8 · UI / UX, Information Architecture &amp; Performance</w:t>
      </w:r>
    </w:p>
    <w:p>
      <w:pPr>
        <w:pBdr>
          <w:bottom w:val="single" w:color="00D4FF" w:sz="14" w:space="1"/>
        </w:pBdr>
        <w:spacing w:after="140" w:before="20"/>
      </w:pPr>
      <w:r>
        <w:t xml:space="preserve"/>
      </w:r>
    </w:p>
    <w:p>
      <w:pPr>
        <w:spacing w:after="140" w:before="0" w:line="274"/>
      </w:pPr>
      <w:r>
        <w:rPr>
          <w:color w:val="16202D"/>
          <w:sz w:val="20"/>
          <w:szCs w:val="20"/>
        </w:rPr>
        <w:t xml:space="preserve">The HMI is the product. It must feel fast, never dead, never lie about state, and be usable by every role, in every language the customer needs, on the devices they actually use. v5 adds the accessibility, internationalization, mobile and concurrency commitments a serious procurement will check.</w:t>
      </w:r>
    </w:p>
    <w:p>
      <w:pPr>
        <w:pStyle w:val="Heading2"/>
      </w:pPr>
      <w:r>
        <w:t xml:space="preserve">8.1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Area</w:t>
            </w:r>
          </w:p>
        </w:tc>
        <w:tc>
          <w:tcPr>
            <w:tcW w:type="dxa" w:w="76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Pages</w:t>
            </w:r>
          </w:p>
        </w:tc>
      </w:tr>
      <w:tr>
        <w:tc>
          <w:tcPr>
            <w:tcW w:type="dxa" w:w="1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Shell</w:t>
            </w:r>
          </w:p>
        </w:tc>
        <w:tc>
          <w:tcPr>
            <w:tcW w:type="dxa" w:w="7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Global navigation, search / command palette, tenant &amp; environment switch, notifications, profile</w:t>
            </w:r>
          </w:p>
        </w:tc>
      </w:tr>
      <w:tr>
        <w:tc>
          <w:tcPr>
            <w:tcW w:type="dxa" w:w="1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Admin</w:t>
            </w:r>
          </w:p>
        </w:tc>
        <w:tc>
          <w:tcPr>
            <w:tcW w:type="dxa" w:w="7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Connections, Source Catalog, Mapping Workbench, KPI definitions, Jobs Monitor, Users &amp; Roles, License, Assistant configuration</w:t>
            </w:r>
          </w:p>
        </w:tc>
      </w:tr>
      <w:tr>
        <w:tc>
          <w:tcPr>
            <w:tcW w:type="dxa" w:w="1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Investigate</w:t>
            </w:r>
          </w:p>
        </w:tc>
        <w:tc>
          <w:tcPr>
            <w:tcW w:type="dxa" w:w="7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Dashboards, dynamic pages, widget builder, advanced analysis, findings, suggestions, assistant</w:t>
            </w:r>
          </w:p>
        </w:tc>
      </w:tr>
      <w:tr>
        <w:tc>
          <w:tcPr>
            <w:tcW w:type="dxa" w:w="1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Operate</w:t>
            </w:r>
          </w:p>
        </w:tc>
        <w:tc>
          <w:tcPr>
            <w:tcW w:type="dxa" w:w="7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Jobs Monitor, data coverage, mapping health, alerts &amp; cases</w:t>
            </w:r>
          </w:p>
        </w:tc>
      </w:tr>
      <w:tr>
        <w:tc>
          <w:tcPr>
            <w:tcW w:type="dxa" w:w="1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Report</w:t>
            </w:r>
          </w:p>
        </w:tc>
        <w:tc>
          <w:tcPr>
            <w:tcW w:type="dxa" w:w="7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Report builder, exports, scheduled reports</w:t>
            </w:r>
          </w:p>
        </w:tc>
      </w:tr>
    </w:tbl>
    <w:p>
      <w:pPr>
        <w:pStyle w:val="Heading2"/>
      </w:pPr>
      <w:r>
        <w:t xml:space="preserve">8.2 The shell</w:t>
      </w:r>
    </w:p>
    <w:p>
      <w:pPr>
        <w:pStyle w:val="ListParagraph"/>
        <w:numPr>
          <w:ilvl w:val="0"/>
          <w:numId w:val="2"/>
        </w:numPr>
        <w:spacing w:after="70" w:line="268"/>
      </w:pPr>
      <w:r>
        <w:rPr>
          <w:color w:val="16202D"/>
          <w:sz w:val="20"/>
          <w:szCs w:val="20"/>
        </w:rPr>
        <w:t xml:space="preserve">Persistent left navigation organized by IA area, with a command palette for fast navigation and actions.</w:t>
      </w:r>
    </w:p>
    <w:p>
      <w:pPr>
        <w:pStyle w:val="ListParagraph"/>
        <w:numPr>
          <w:ilvl w:val="0"/>
          <w:numId w:val="2"/>
        </w:numPr>
        <w:spacing w:after="70" w:line="268"/>
      </w:pPr>
      <w:r>
        <w:rPr>
          <w:color w:val="16202D"/>
          <w:sz w:val="20"/>
          <w:szCs w:val="20"/>
        </w:rPr>
        <w:t xml:space="preserve">Tenant and environment (demo / production) are always visible and unmistakable.</w:t>
      </w:r>
    </w:p>
    <w:p>
      <w:pPr>
        <w:pStyle w:val="ListParagraph"/>
        <w:numPr>
          <w:ilvl w:val="0"/>
          <w:numId w:val="2"/>
        </w:numPr>
        <w:spacing w:after="70" w:line="268"/>
      </w:pPr>
      <w:r>
        <w:rPr>
          <w:color w:val="16202D"/>
          <w:sz w:val="20"/>
          <w:szCs w:val="20"/>
        </w:rPr>
        <w:t xml:space="preserve">A notifications center (§2.1) and an at-a-glance readiness / health indicator.</w:t>
      </w:r>
    </w:p>
    <w:p>
      <w:pPr>
        <w:pStyle w:val="Heading2"/>
      </w:pPr>
      <w:r>
        <w:t xml:space="preserve">8.3 Page-by-page edge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State</w:t>
            </w:r>
          </w:p>
        </w:tc>
        <w:tc>
          <w:tcPr>
            <w:tcW w:type="dxa" w:w="74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Standard</w:t>
            </w:r>
          </w:p>
        </w:tc>
      </w:tr>
      <w:tr>
        <w:tc>
          <w:tcPr>
            <w:tcW w:type="dxa" w:w="1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Empty</w:t>
            </w:r>
          </w:p>
        </w:tc>
        <w:tc>
          <w:tcPr>
            <w:tcW w:type="dxa" w:w="74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Explains what to do next with a primary action — never a blank panel.</w:t>
            </w:r>
          </w:p>
        </w:tc>
      </w:tr>
      <w:tr>
        <w:tc>
          <w:tcPr>
            <w:tcW w:type="dxa" w:w="19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Loading</w:t>
            </w:r>
          </w:p>
        </w:tc>
        <w:tc>
          <w:tcPr>
            <w:tcW w:type="dxa" w:w="74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Skeletons and progress; long operations show elapsed time and a cancel.</w:t>
            </w:r>
          </w:p>
        </w:tc>
      </w:tr>
      <w:tr>
        <w:tc>
          <w:tcPr>
            <w:tcW w:type="dxa" w:w="1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Error</w:t>
            </w:r>
          </w:p>
        </w:tc>
        <w:tc>
          <w:tcPr>
            <w:tcW w:type="dxa" w:w="74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typed, specific message and the next safe step — never a generic "could not load."</w:t>
            </w:r>
          </w:p>
        </w:tc>
      </w:tr>
      <w:tr>
        <w:tc>
          <w:tcPr>
            <w:tcW w:type="dxa" w:w="19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Partial / stale</w:t>
            </w:r>
          </w:p>
        </w:tc>
        <w:tc>
          <w:tcPr>
            <w:tcW w:type="dxa" w:w="74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Shows coverage and last-updated; warns when data is stale or low-coverage (§5.4).</w:t>
            </w:r>
          </w:p>
        </w:tc>
      </w:tr>
      <w:tr>
        <w:tc>
          <w:tcPr>
            <w:tcW w:type="dxa" w:w="1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Success</w:t>
            </w:r>
          </w:p>
        </w:tc>
        <w:tc>
          <w:tcPr>
            <w:tcW w:type="dxa" w:w="74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data, with its formula and evidence reachable in one click.</w:t>
            </w:r>
          </w:p>
        </w:tc>
      </w:tr>
    </w:tbl>
    <w:p>
      <w:pPr>
        <w:pStyle w:val="Heading2"/>
      </w:pPr>
      <w:r>
        <w:t xml:space="preserve">8.4 Interaction standards</w:t>
      </w:r>
    </w:p>
    <w:p>
      <w:pPr>
        <w:pStyle w:val="ListParagraph"/>
        <w:numPr>
          <w:ilvl w:val="0"/>
          <w:numId w:val="2"/>
        </w:numPr>
        <w:spacing w:after="70" w:line="268"/>
      </w:pPr>
      <w:r>
        <w:rPr>
          <w:color w:val="16202D"/>
          <w:sz w:val="20"/>
          <w:szCs w:val="20"/>
        </w:rPr>
        <w:t xml:space="preserve">No dead controls — every button does something or is disabled with a visible reason.</w:t>
      </w:r>
    </w:p>
    <w:p>
      <w:pPr>
        <w:pStyle w:val="ListParagraph"/>
        <w:numPr>
          <w:ilvl w:val="0"/>
          <w:numId w:val="2"/>
        </w:numPr>
        <w:spacing w:after="70" w:line="268"/>
      </w:pPr>
      <w:r>
        <w:rPr>
          <w:color w:val="16202D"/>
          <w:sz w:val="20"/>
          <w:szCs w:val="20"/>
        </w:rPr>
        <w:t xml:space="preserve">Every operation over ~400 ms shows progress; nothing freezes silently.</w:t>
      </w:r>
    </w:p>
    <w:p>
      <w:pPr>
        <w:pStyle w:val="ListParagraph"/>
        <w:numPr>
          <w:ilvl w:val="0"/>
          <w:numId w:val="2"/>
        </w:numPr>
        <w:spacing w:after="70" w:line="268"/>
      </w:pPr>
      <w:r>
        <w:rPr>
          <w:color w:val="16202D"/>
          <w:sz w:val="20"/>
          <w:szCs w:val="20"/>
        </w:rPr>
        <w:t xml:space="preserve">Destructive actions confirm and show their dependencies first (§12.3).</w:t>
      </w:r>
    </w:p>
    <w:p>
      <w:pPr>
        <w:pStyle w:val="Heading2"/>
      </w:pPr>
      <w:r>
        <w:t xml:space="preserve">8.5 Performance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Operation class</w:t>
            </w:r>
          </w:p>
        </w:tc>
        <w:tc>
          <w:tcPr>
            <w:tcW w:type="dxa" w:w="3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Budget</w:t>
            </w:r>
          </w:p>
        </w:tc>
      </w:tr>
      <w:tr>
        <w:tc>
          <w:tcPr>
            <w:tcW w:type="dxa" w:w="5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Interactive UI action (open page, filter)</w:t>
            </w:r>
          </w:p>
        </w:tc>
        <w:tc>
          <w:tcPr>
            <w:tcW w:type="dxa" w:w="3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&lt; 800 ms p95</w:t>
            </w:r>
          </w:p>
        </w:tc>
      </w:tr>
      <w:tr>
        <w:tc>
          <w:tcPr>
            <w:tcW w:type="dxa" w:w="5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Standard query-backed widget</w:t>
            </w:r>
          </w:p>
        </w:tc>
        <w:tc>
          <w:tcPr>
            <w:tcW w:type="dxa" w:w="3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&lt; 3 s p95, with skeleton</w:t>
            </w:r>
          </w:p>
        </w:tc>
      </w:tr>
      <w:tr>
        <w:tc>
          <w:tcPr>
            <w:tcW w:type="dxa" w:w="5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Heavy analytical query</w:t>
            </w:r>
          </w:p>
        </w:tc>
        <w:tc>
          <w:tcPr>
            <w:tcW w:type="dxa" w:w="3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&lt; 30 s with live progress; otherwise promoted to a job</w:t>
            </w:r>
          </w:p>
        </w:tc>
      </w:tr>
      <w:tr>
        <w:tc>
          <w:tcPr>
            <w:tcW w:type="dxa" w:w="5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Learning / import / report</w:t>
            </w:r>
          </w:p>
        </w:tc>
        <w:tc>
          <w:tcPr>
            <w:tcW w:type="dxa" w:w="3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asynchronous job, tracked in the Jobs Monitor</w:t>
            </w:r>
          </w:p>
        </w:tc>
      </w:tr>
    </w:tbl>
    <w:p>
      <w:pPr>
        <w:pStyle w:val="Heading2"/>
      </w:pPr>
      <w:r>
        <w:t xml:space="preserve">8.6 Accessibility (WCAG 2.1 AA)</w:t>
      </w:r>
    </w:p>
    <w:p>
      <w:pPr>
        <w:spacing w:after="140" w:before="0" w:line="274"/>
      </w:pPr>
      <w:r>
        <w:rPr>
          <w:color w:val="16202D"/>
          <w:sz w:val="20"/>
          <w:szCs w:val="20"/>
        </w:rPr>
        <w:t xml:space="preserve">Procurement — especially public-sector and EU buyers — increasingly requires accessibility. PPIQ targets WCAG 2.1 AA / EN 301 549.</w:t>
      </w:r>
    </w:p>
    <w:p>
      <w:pPr>
        <w:pStyle w:val="ListParagraph"/>
        <w:numPr>
          <w:ilvl w:val="0"/>
          <w:numId w:val="2"/>
        </w:numPr>
        <w:spacing w:after="70" w:line="268"/>
      </w:pPr>
      <w:r>
        <w:rPr>
          <w:color w:val="16202D"/>
          <w:sz w:val="20"/>
          <w:szCs w:val="20"/>
        </w:rPr>
        <w:t xml:space="preserve">Full keyboard navigation with visible focus; screen-reader labels and ARIA on every control, and data-table fallbacks for charts.</w:t>
      </w:r>
    </w:p>
    <w:p>
      <w:pPr>
        <w:pStyle w:val="ListParagraph"/>
        <w:numPr>
          <w:ilvl w:val="0"/>
          <w:numId w:val="2"/>
        </w:numPr>
        <w:spacing w:after="70" w:line="268"/>
      </w:pPr>
      <w:r>
        <w:rPr>
          <w:color w:val="16202D"/>
          <w:sz w:val="20"/>
          <w:szCs w:val="20"/>
        </w:rPr>
        <w:t xml:space="preserve">Color is never the only signal — icons and labels accompany every status colour.</w:t>
      </w:r>
    </w:p>
    <w:p>
      <w:pPr>
        <w:pStyle w:val="ListParagraph"/>
        <w:numPr>
          <w:ilvl w:val="0"/>
          <w:numId w:val="2"/>
        </w:numPr>
        <w:spacing w:after="70" w:line="268"/>
      </w:pPr>
      <w:r>
        <w:rPr>
          <w:color w:val="16202D"/>
          <w:sz w:val="20"/>
          <w:szCs w:val="20"/>
        </w:rPr>
        <w:t xml:space="preserve">The Dark Industrial theme is contrast-audited to AA; a light high-contrast theme ships alongside it for users and environments that need it.</w:t>
      </w:r>
    </w:p>
    <w:p>
      <w:pPr>
        <w:pStyle w:val="ListParagraph"/>
        <w:numPr>
          <w:ilvl w:val="0"/>
          <w:numId w:val="2"/>
        </w:numPr>
        <w:spacing w:after="70" w:line="268"/>
      </w:pPr>
      <w:r>
        <w:rPr>
          <w:color w:val="16202D"/>
          <w:sz w:val="20"/>
          <w:szCs w:val="20"/>
        </w:rPr>
        <w:t xml:space="preserve">Reduced-motion and font-scaling preferences are respected.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dark palette is beautiful and it passes contrast</w:t>
            </w:r>
          </w:p>
          <w:p>
            <w:pPr>
              <w:spacing w:after="0" w:line="256"/>
            </w:pPr>
            <w:r>
              <w:rPr>
                <w:color w:val="16202D"/>
                <w:sz w:val="18"/>
                <w:szCs w:val="18"/>
              </w:rPr>
              <w:t xml:space="preserve">Accessibility is not optional, so a contrast-audited light / high-contrast theme ships alongside the dark theme, and printed reports default to the light surface (Appendix C).</w:t>
            </w:r>
          </w:p>
        </w:tc>
      </w:tr>
    </w:tbl>
    <w:p>
      <w:pPr>
        <w:pStyle w:val="Heading2"/>
      </w:pPr>
      <w:r>
        <w:t xml:space="preserve">8.7 Internationalization, RTL, units &amp; timezones</w:t>
      </w:r>
    </w:p>
    <w:p>
      <w:pPr>
        <w:spacing w:after="140" w:before="0" w:line="274"/>
      </w:pPr>
      <w:r>
        <w:rPr>
          <w:color w:val="16202D"/>
          <w:sz w:val="20"/>
          <w:szCs w:val="20"/>
        </w:rPr>
        <w:t xml:space="preserve">PPIQ targets MENA and European plants, so language and locale are core, not an afterthought.</w:t>
      </w:r>
    </w:p>
    <w:p>
      <w:pPr>
        <w:pStyle w:val="ListParagraph"/>
        <w:numPr>
          <w:ilvl w:val="0"/>
          <w:numId w:val="2"/>
        </w:numPr>
        <w:spacing w:after="70" w:line="268"/>
      </w:pPr>
      <w:r>
        <w:rPr>
          <w:color w:val="16202D"/>
          <w:sz w:val="20"/>
          <w:szCs w:val="20"/>
        </w:rPr>
        <w:t xml:space="preserve">Full UI localization, with first-class English, German and Arabic — including right-to-left layout for Arabic.</w:t>
      </w:r>
    </w:p>
    <w:p>
      <w:pPr>
        <w:pStyle w:val="ListParagraph"/>
        <w:numPr>
          <w:ilvl w:val="0"/>
          <w:numId w:val="2"/>
        </w:numPr>
        <w:spacing w:after="70" w:line="268"/>
      </w:pPr>
      <w:r>
        <w:rPr>
          <w:color w:val="16202D"/>
          <w:sz w:val="20"/>
          <w:szCs w:val="20"/>
        </w:rPr>
        <w:t xml:space="preserve">Locale-aware number, date and unit formatting; a unit system (metric / imperial, °C / °F, t / lb) configurable per tenant and per user.</w:t>
      </w:r>
    </w:p>
    <w:p>
      <w:pPr>
        <w:pStyle w:val="ListParagraph"/>
        <w:numPr>
          <w:ilvl w:val="0"/>
          <w:numId w:val="2"/>
        </w:numPr>
        <w:spacing w:after="70" w:line="268"/>
      </w:pPr>
      <w:r>
        <w:rPr>
          <w:color w:val="16202D"/>
          <w:sz w:val="20"/>
          <w:szCs w:val="20"/>
        </w:rPr>
        <w:t xml:space="preserve">Multi-timezone: every timestamp is stored in UTC and displayed in the user's or the site's timezone — essential for multi-site groups.</w:t>
      </w:r>
    </w:p>
    <w:p>
      <w:pPr>
        <w:pStyle w:val="Heading2"/>
      </w:pPr>
      <w:r>
        <w:t xml:space="preserve">8.8 Mobile &amp; shop-floor access</w:t>
      </w:r>
    </w:p>
    <w:p>
      <w:pPr>
        <w:pStyle w:val="ListParagraph"/>
        <w:numPr>
          <w:ilvl w:val="0"/>
          <w:numId w:val="2"/>
        </w:numPr>
        <w:spacing w:after="70" w:line="268"/>
      </w:pPr>
      <w:r>
        <w:rPr>
          <w:color w:val="16202D"/>
          <w:sz w:val="20"/>
          <w:szCs w:val="20"/>
        </w:rPr>
        <w:t xml:space="preserve">Responsive layout, with a tablet-optimized mode for the shop floor.</w:t>
      </w:r>
    </w:p>
    <w:p>
      <w:pPr>
        <w:pStyle w:val="ListParagraph"/>
        <w:numPr>
          <w:ilvl w:val="0"/>
          <w:numId w:val="2"/>
        </w:numPr>
        <w:spacing w:after="70" w:line="268"/>
      </w:pPr>
      <w:r>
        <w:rPr>
          <w:color w:val="16202D"/>
          <w:sz w:val="20"/>
          <w:szCs w:val="20"/>
        </w:rPr>
        <w:t xml:space="preserve">On mobile and tablet: read dashboards, receive and acknowledge alerts, view a finding, and work a suggestion's status — the consume-and-act path, not full authoring.</w:t>
      </w:r>
    </w:p>
    <w:p>
      <w:pPr>
        <w:pStyle w:val="Heading2"/>
      </w:pPr>
      <w:r>
        <w:t xml:space="preserve">8.9 Concurrency &amp; multi-user collaboration</w:t>
      </w:r>
    </w:p>
    <w:p>
      <w:pPr>
        <w:spacing w:after="140" w:before="0" w:line="274"/>
      </w:pPr>
      <w:r>
        <w:rPr>
          <w:color w:val="16202D"/>
          <w:sz w:val="20"/>
          <w:szCs w:val="20"/>
        </w:rPr>
        <w:t xml:space="preserve">The sharp question — "two users on the same page, one edits, what does the other see?" — gets a designed answer, not last-write-wins.</w:t>
      </w:r>
    </w:p>
    <w:p>
      <w:pPr>
        <w:pStyle w:val="ListParagraph"/>
        <w:numPr>
          <w:ilvl w:val="0"/>
          <w:numId w:val="2"/>
        </w:numPr>
        <w:spacing w:after="70" w:line="268"/>
      </w:pPr>
      <w:r>
        <w:rPr>
          <w:b/>
          <w:bCs/>
          <w:color w:val="16202D"/>
          <w:sz w:val="20"/>
          <w:szCs w:val="20"/>
        </w:rPr>
        <w:t xml:space="preserve">Optimistic concurrency with version stamps: </w:t>
      </w:r>
      <w:r>
        <w:rPr>
          <w:color w:val="16202D"/>
          <w:sz w:val="20"/>
          <w:szCs w:val="20"/>
        </w:rPr>
        <w:t xml:space="preserve">on save, if the definition changed since it was loaded, the second user gets a clear conflict dialog (their changes vs. current) with merge / overwrite / cancel.</w:t>
      </w:r>
    </w:p>
    <w:p>
      <w:pPr>
        <w:pStyle w:val="ListParagraph"/>
        <w:numPr>
          <w:ilvl w:val="0"/>
          <w:numId w:val="2"/>
        </w:numPr>
        <w:spacing w:after="70" w:line="268"/>
      </w:pPr>
      <w:r>
        <w:rPr>
          <w:b/>
          <w:bCs/>
          <w:color w:val="16202D"/>
          <w:sz w:val="20"/>
          <w:szCs w:val="20"/>
        </w:rPr>
        <w:t xml:space="preserve">Live presence: </w:t>
      </w:r>
      <w:r>
        <w:rPr>
          <w:color w:val="16202D"/>
          <w:sz w:val="20"/>
          <w:szCs w:val="20"/>
        </w:rPr>
        <w:t xml:space="preserve">"User X is editing this page" prevents most collisions before they happen.</w:t>
      </w:r>
    </w:p>
    <w:p>
      <w:pPr>
        <w:pStyle w:val="ListParagraph"/>
        <w:numPr>
          <w:ilvl w:val="0"/>
          <w:numId w:val="2"/>
        </w:numPr>
        <w:spacing w:after="70" w:line="268"/>
      </w:pPr>
      <w:r>
        <w:rPr>
          <w:b/>
          <w:bCs/>
          <w:color w:val="16202D"/>
          <w:sz w:val="20"/>
          <w:szCs w:val="20"/>
        </w:rPr>
        <w:t xml:space="preserve">Published vs. draft: </w:t>
      </w:r>
      <w:r>
        <w:rPr>
          <w:color w:val="16202D"/>
          <w:sz w:val="20"/>
          <w:szCs w:val="20"/>
        </w:rPr>
        <w:t xml:space="preserve">published dashboards are immutable pinned versions; editing happens on a draft, so viewers always see a stable version and are never disrupted mid-edit.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No one silently loses work; no one sees a half-edited dashboard</w:t>
            </w:r>
          </w:p>
          <w:p>
            <w:pPr>
              <w:spacing w:after="0" w:line="256"/>
            </w:pPr>
            <w:r>
              <w:rPr>
                <w:color w:val="16202D"/>
                <w:sz w:val="18"/>
                <w:szCs w:val="18"/>
              </w:rPr>
              <w:t xml:space="preserve">Definitions are versioned (§12) and edits are conflict-detected. The combination of presence, draft/publish and conflict-on-save makes multi-user editing safe without a heavyweight real-time co-editing engine.</w:t>
            </w:r>
          </w:p>
        </w:tc>
      </w:tr>
    </w:tbl>
    <w:p>
      <w:pPr>
        <w:pStyle w:val="Heading2"/>
      </w:pPr>
      <w:r>
        <w:t xml:space="preserve">8.B · In plain terms — for buyers, not engineers</w:t>
      </w:r>
    </w:p>
    <w:p>
      <w:pPr>
        <w:spacing w:after="120" w:before="0" w:line="274"/>
      </w:pPr>
      <w:r>
        <w:rPr>
          <w:i/>
          <w:iCs/>
          <w:color w:val="8EA7C1"/>
          <w:sz w:val="19"/>
          <w:szCs w:val="19"/>
        </w:rPr>
        <w:t xml:space="preserve">What happens when two people open the same page, and how sessions and devices are controlled.</w:t>
      </w:r>
    </w:p>
    <w:p>
      <w:pPr>
        <w:spacing w:after="60" w:before="80" w:line="274"/>
      </w:pPr>
      <w:r>
        <w:rPr>
          <w:b/>
          <w:bCs/>
          <w:color w:val="102A43"/>
          <w:sz w:val="18"/>
          <w:szCs w:val="18"/>
        </w:rPr>
        <w:t xml:space="preserve">▸ Session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Policy</w:t>
            </w:r>
          </w:p>
        </w:tc>
        <w:tc>
          <w:tcPr>
            <w:tcW w:type="dxa" w:w="6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Behaviour</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Strict named seat</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One active session only</w:t>
            </w:r>
          </w:p>
        </w:tc>
      </w:tr>
      <w:tr>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Standard</w:t>
            </w:r>
          </w:p>
        </w:tc>
        <w:tc>
          <w:tcPr>
            <w:tcW w:type="dxa" w:w="6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Multiple devices allowed, up to N, with a device list</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Enterprise</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Configurable per tenant</w:t>
            </w:r>
          </w:p>
        </w:tc>
      </w:tr>
      <w:tr>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Suspicious login</w:t>
            </w:r>
          </w:p>
        </w:tc>
        <w:tc>
          <w:tcPr>
            <w:tcW w:type="dxa" w:w="6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Step-up MFA / revoke</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Admin login</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MFA mandatory</w:t>
            </w:r>
          </w:p>
        </w:tc>
      </w:tr>
      <w:tr>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Log out all devices</w:t>
            </w:r>
          </w:p>
        </w:tc>
        <w:tc>
          <w:tcPr>
            <w:tcW w:type="dxa" w:w="6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Supported, takes effect immediately</w:t>
            </w:r>
          </w:p>
        </w:tc>
      </w:tr>
    </w:tbl>
    <w:p>
      <w:pPr>
        <w:spacing w:after="60" w:before="80" w:line="274"/>
      </w:pPr>
      <w:r>
        <w:rPr>
          <w:b/>
          <w:bCs/>
          <w:color w:val="102A43"/>
          <w:sz w:val="18"/>
          <w:szCs w:val="18"/>
        </w:rPr>
        <w:t xml:space="preserve">▸ Two people, one dashboard — nobody loses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User A opens Dashboard v12 (draft)</w:t>
            </w:r>
          </w:p>
          <w:p>
            <w:pPr>
              <w:spacing w:after="0" w:before="0" w:line="240"/>
            </w:pPr>
            <w:r>
              <w:rPr>
                <w:rFonts w:ascii="JetBrains Mono" w:cs="JetBrains Mono" w:eastAsia="JetBrains Mono" w:hAnsi="JetBrains Mono"/>
                <w:color w:val="EAF6FF"/>
                <w:sz w:val="16"/>
                <w:szCs w:val="16"/>
              </w:rPr>
              <w:t xml:space="preserve">User B opens the same draft     (live presence: "User A is editing")</w:t>
            </w:r>
          </w:p>
          <w:p>
            <w:pPr>
              <w:spacing w:after="0" w:before="0" w:line="240"/>
            </w:pPr>
            <w:r>
              <w:rPr>
                <w:rFonts w:ascii="JetBrains Mono" w:cs="JetBrains Mono" w:eastAsia="JetBrains Mono" w:hAnsi="JetBrains Mono"/>
                <w:color w:val="EAF6FF"/>
                <w:sz w:val="16"/>
                <w:szCs w:val="16"/>
              </w:rPr>
              <w:t xml:space="preserve">User A saves  -&gt;  v13</w:t>
            </w:r>
          </w:p>
          <w:p>
            <w:pPr>
              <w:spacing w:after="0" w:before="0" w:line="240"/>
            </w:pPr>
            <w:r>
              <w:rPr>
                <w:rFonts w:ascii="JetBrains Mono" w:cs="JetBrains Mono" w:eastAsia="JetBrains Mono" w:hAnsi="JetBrains Mono"/>
                <w:color w:val="EAF6FF"/>
                <w:sz w:val="16"/>
                <w:szCs w:val="16"/>
              </w:rPr>
              <w:t xml:space="preserve">User B tries to save the old draft</w:t>
            </w:r>
          </w:p>
          <w:p>
            <w:pPr>
              <w:spacing w:after="0" w:before="0" w:line="240"/>
            </w:pPr>
            <w:r>
              <w:rPr>
                <w:rFonts w:ascii="JetBrains Mono" w:cs="JetBrains Mono" w:eastAsia="JetBrains Mono" w:hAnsi="JetBrains Mono"/>
                <w:color w:val="EAF6FF"/>
                <w:sz w:val="16"/>
                <w:szCs w:val="16"/>
              </w:rPr>
              <w:t xml:space="preserve">   System blocks: "This dashboard changed since you opened it."</w:t>
            </w:r>
          </w:p>
          <w:p>
            <w:pPr>
              <w:spacing w:after="0" w:before="0" w:line="240"/>
            </w:pPr>
            <w:r>
              <w:rPr>
                <w:rFonts w:ascii="JetBrains Mono" w:cs="JetBrains Mono" w:eastAsia="JetBrains Mono" w:hAnsi="JetBrains Mono"/>
                <w:color w:val="EAF6FF"/>
                <w:sz w:val="16"/>
                <w:szCs w:val="16"/>
              </w:rPr>
              <w:t xml:space="preserve">   Options:  Compare changes  |  Merge  |  Save as new draft  |  Cancel  |  Overwrite (if allowed)</w:t>
            </w:r>
          </w:p>
        </w:tc>
      </w:tr>
    </w:tbl>
    <w:p>
      <w:pPr>
        <w:spacing w:after="60" w:before="80" w:line="274"/>
      </w:pPr>
      <w:r>
        <w:rPr>
          <w:b/>
          <w:bCs/>
          <w:color w:val="102A43"/>
          <w:sz w:val="18"/>
          <w:szCs w:val="18"/>
        </w:rPr>
        <w:t xml:space="preserve">▸ Draft → publish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Draft  -&gt;  Validate  -&gt;  Preview  -&gt;  Publish (immutable, pinned version)</w:t>
            </w:r>
          </w:p>
          <w:p>
            <w:pPr>
              <w:spacing w:after="0" w:before="0" w:line="240"/>
            </w:pPr>
            <w:r>
              <w:rPr>
                <w:rFonts w:ascii="JetBrains Mono" w:cs="JetBrains Mono" w:eastAsia="JetBrains Mono" w:hAnsi="JetBrains Mono"/>
                <w:color w:val="EAF6FF"/>
                <w:sz w:val="16"/>
                <w:szCs w:val="16"/>
              </w:rPr>
              <w:t xml:space="preserve">   viewers always see the stable published version; never a half-edited page</w:t>
            </w:r>
          </w:p>
          <w:p>
            <w:pPr>
              <w:spacing w:after="0" w:before="0" w:line="240"/>
            </w:pPr>
            <w:r>
              <w:rPr>
                <w:rFonts w:ascii="JetBrains Mono" w:cs="JetBrains Mono" w:eastAsia="JetBrains Mono" w:hAnsi="JetBrains Mono"/>
                <w:color w:val="EAF6FF"/>
                <w:sz w:val="16"/>
                <w:szCs w:val="16"/>
              </w:rPr>
              <w:t xml:space="preserve">   Rollback to a prior published version at any time</w:t>
            </w:r>
          </w:p>
        </w:tc>
      </w:tr>
    </w:tbl>
    <w:p>
      <w:pPr>
        <w:pStyle w:val="Heading1"/>
      </w:pPr>
      <w:r>
        <w:t xml:space="preserve">9 · License, Commercial Model &amp; Entitlements</w:t>
      </w:r>
    </w:p>
    <w:p>
      <w:pPr>
        <w:pBdr>
          <w:bottom w:val="single" w:color="00D4FF" w:sz="14" w:space="1"/>
        </w:pBdr>
        <w:spacing w:after="140" w:before="20"/>
      </w:pPr>
      <w:r>
        <w:t xml:space="preserve"/>
      </w:r>
    </w:p>
    <w:p>
      <w:pPr>
        <w:spacing w:after="140" w:before="0" w:line="274"/>
      </w:pPr>
      <w:r>
        <w:rPr>
          <w:color w:val="16202D"/>
          <w:sz w:val="20"/>
          <w:szCs w:val="20"/>
        </w:rPr>
        <w:t xml:space="preserve">Licensing is one backend truth driving both API and UI, and v5 makes firm what v4 left "illustrative": the tiers, the commercial model, and — critically — how a licence is issued, activated, renewed and protected, including with no internet at all.</w:t>
      </w:r>
    </w:p>
    <w:p>
      <w:pPr>
        <w:pStyle w:val="Heading2"/>
      </w:pPr>
      <w:r>
        <w:t xml:space="preserve">9.1 Tiers &amp; entitlements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50"/>
        <w:gridCol w:w="1350"/>
        <w:gridCol w:w="1500"/>
        <w:gridCol w:w="2600"/>
      </w:tblGrid>
      <w:tr>
        <w:trPr>
          <w:tblHeader/>
        </w:trPr>
        <w:tc>
          <w:tcPr>
            <w:tcW w:type="dxa" w:w="25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Capability</w:t>
            </w:r>
          </w:p>
        </w:tc>
        <w:tc>
          <w:tcPr>
            <w:tcW w:type="dxa" w:w="13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Lite</w:t>
            </w:r>
          </w:p>
        </w:tc>
        <w:tc>
          <w:tcPr>
            <w:tcW w:type="dxa" w:w="13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Pro</w:t>
            </w:r>
          </w:p>
        </w:tc>
        <w:tc>
          <w:tcPr>
            <w:tcW w:type="dxa" w:w="15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Pro Plus</w:t>
            </w:r>
          </w:p>
        </w:tc>
        <w:tc>
          <w:tcPr>
            <w:tcW w:type="dxa" w:w="26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Enterprise</w:t>
            </w:r>
          </w:p>
        </w:tc>
      </w:tr>
      <w:tr>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Named users</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3</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15</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40</w:t>
            </w:r>
          </w:p>
        </w:tc>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w:t>
            </w:r>
          </w:p>
        </w:tc>
      </w:tr>
      <w:tr>
        <w:tc>
          <w:tcPr>
            <w:tcW w:type="dxa" w:w="2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Connected sources</w:t>
            </w:r>
          </w:p>
        </w:tc>
        <w:tc>
          <w:tcPr>
            <w:tcW w:type="dxa" w:w="13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demo / CSV</w:t>
            </w:r>
          </w:p>
        </w:tc>
        <w:tc>
          <w:tcPr>
            <w:tcW w:type="dxa" w:w="13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5</w:t>
            </w:r>
          </w:p>
        </w:tc>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15</w:t>
            </w:r>
          </w:p>
        </w:tc>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unlimited</w:t>
            </w:r>
          </w:p>
        </w:tc>
      </w:tr>
      <w:tr>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Pages / dashboards</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5</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50</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200</w:t>
            </w:r>
          </w:p>
        </w:tc>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w:t>
            </w:r>
          </w:p>
        </w:tc>
      </w:tr>
      <w:tr>
        <w:tc>
          <w:tcPr>
            <w:tcW w:type="dxa" w:w="2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Advanced analysis</w:t>
            </w:r>
          </w:p>
        </w:tc>
        <w:tc>
          <w:tcPr>
            <w:tcW w:type="dxa" w:w="13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t>
            </w:r>
          </w:p>
        </w:tc>
        <w:tc>
          <w:tcPr>
            <w:tcW w:type="dxa" w:w="13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limited</w:t>
            </w:r>
          </w:p>
        </w:tc>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full</w:t>
            </w:r>
          </w:p>
        </w:tc>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full</w:t>
            </w:r>
          </w:p>
        </w:tc>
      </w:tr>
      <w:tr>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Suggestions</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r>
      <w:tr>
        <w:tc>
          <w:tcPr>
            <w:tcW w:type="dxa" w:w="2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Assistant serving</w:t>
            </w:r>
          </w:p>
        </w:tc>
        <w:tc>
          <w:tcPr>
            <w:tcW w:type="dxa" w:w="13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t>
            </w:r>
          </w:p>
        </w:tc>
        <w:tc>
          <w:tcPr>
            <w:tcW w:type="dxa" w:w="13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private endpoint</w:t>
            </w:r>
          </w:p>
        </w:tc>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private endpoint</w:t>
            </w:r>
          </w:p>
        </w:tc>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self-hosted / BYOM</w:t>
            </w:r>
          </w:p>
        </w:tc>
      </w:tr>
      <w:tr>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Reports &amp; exports</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basic</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scheduled</w:t>
            </w:r>
          </w:p>
        </w:tc>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scheduled + API</w:t>
            </w:r>
          </w:p>
        </w:tc>
      </w:tr>
      <w:tr>
        <w:tc>
          <w:tcPr>
            <w:tcW w:type="dxa" w:w="2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Deployment</w:t>
            </w:r>
          </w:p>
        </w:tc>
        <w:tc>
          <w:tcPr>
            <w:tcW w:type="dxa" w:w="13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SaaS</w:t>
            </w:r>
          </w:p>
        </w:tc>
        <w:tc>
          <w:tcPr>
            <w:tcW w:type="dxa" w:w="13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SaaS</w:t>
            </w:r>
          </w:p>
        </w:tc>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SaaS / cloud</w:t>
            </w:r>
          </w:p>
        </w:tc>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any, incl. on-prem &amp; air-gapped</w:t>
            </w:r>
          </w:p>
        </w:tc>
      </w:tr>
      <w:tr>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Support</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community</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standard</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priority</w:t>
            </w:r>
          </w:p>
        </w:tc>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SLA-backed</w:t>
            </w:r>
          </w:p>
        </w:tc>
      </w:tr>
    </w:tbl>
    <w:p>
      <w:pPr>
        <w:pStyle w:val="Heading2"/>
      </w:pPr>
      <w:r>
        <w:t xml:space="preserve">9.2 Runtime entitlement resolution</w:t>
      </w:r>
    </w:p>
    <w:p>
      <w:pPr>
        <w:pStyle w:val="ListParagraph"/>
        <w:numPr>
          <w:ilvl w:val="0"/>
          <w:numId w:val="2"/>
        </w:numPr>
        <w:spacing w:after="70" w:line="268"/>
      </w:pPr>
      <w:r>
        <w:rPr>
          <w:color w:val="16202D"/>
          <w:sz w:val="20"/>
          <w:szCs w:val="20"/>
        </w:rPr>
        <w:t xml:space="preserve">One backend resolver computes effective rights = f(licence tier, role); both the API and the UI consult it, so a gate can never be bypassed by calling the API directly.</w:t>
      </w:r>
    </w:p>
    <w:p>
      <w:pPr>
        <w:pStyle w:val="ListParagraph"/>
        <w:numPr>
          <w:ilvl w:val="0"/>
          <w:numId w:val="2"/>
        </w:numPr>
        <w:spacing w:after="70" w:line="268"/>
      </w:pPr>
      <w:r>
        <w:rPr>
          <w:color w:val="16202D"/>
          <w:sz w:val="20"/>
          <w:szCs w:val="20"/>
        </w:rPr>
        <w:t xml:space="preserve">Every protected action and UI control is gated; an unavailable feature is shown disabled with an upgrade path, not hidden confusingly.</w:t>
      </w:r>
    </w:p>
    <w:p>
      <w:pPr>
        <w:pStyle w:val="ListParagraph"/>
        <w:numPr>
          <w:ilvl w:val="0"/>
          <w:numId w:val="2"/>
        </w:numPr>
        <w:spacing w:after="70" w:line="268"/>
      </w:pPr>
      <w:r>
        <w:rPr>
          <w:color w:val="16202D"/>
          <w:sz w:val="20"/>
          <w:szCs w:val="20"/>
        </w:rPr>
        <w:t xml:space="preserve">A demo toggle switches between demo and production entitlements without code changes.</w:t>
      </w:r>
    </w:p>
    <w:p>
      <w:pPr>
        <w:pStyle w:val="Heading2"/>
      </w:pPr>
      <w:r>
        <w:t xml:space="preserve">9.3 Commercial model — term, renewal &amp; expiration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Aspect</w:t>
            </w:r>
          </w:p>
        </w:tc>
        <w:tc>
          <w:tcPr>
            <w:tcW w:type="dxa" w:w="70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Commitment</w:t>
            </w:r>
          </w:p>
        </w:tc>
      </w:tr>
      <w:tr>
        <w:tc>
          <w:tcPr>
            <w:tcW w:type="dxa" w:w="2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Model</w:t>
            </w:r>
          </w:p>
        </w:tc>
        <w:tc>
          <w:tcPr>
            <w:tcW w:type="dxa" w:w="70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Annual subscription by default (with multi-year discounts); a perpetual licence plus annual maintenance is available for air-gapped / on-prem where a subscription is impractical.</w:t>
            </w:r>
          </w:p>
        </w:tc>
      </w:tr>
      <w:tr>
        <w:tc>
          <w:tcPr>
            <w:tcW w:type="dxa" w:w="2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Pricing axes</w:t>
            </w:r>
          </w:p>
        </w:tc>
        <w:tc>
          <w:tcPr>
            <w:tcW w:type="dxa" w:w="70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Per-site base + tier, with add-ons for sources beyond cap, named seats beyond cap, additional environments and assistant capacity. PPIQ is priced as a plant platform, not a per-seat BI tool; indicative bands live in a separate price list.</w:t>
            </w:r>
          </w:p>
        </w:tc>
      </w:tr>
      <w:tr>
        <w:tc>
          <w:tcPr>
            <w:tcW w:type="dxa" w:w="2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Term &amp; renewal</w:t>
            </w:r>
          </w:p>
        </w:tc>
        <w:tc>
          <w:tcPr>
            <w:tcW w:type="dxa" w:w="70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defined term; SaaS auto-renews via billing; on-prem renews by a re-issued signed licence (§9.4).</w:t>
            </w:r>
          </w:p>
        </w:tc>
      </w:tr>
      <w:tr>
        <w:tc>
          <w:tcPr>
            <w:tcW w:type="dxa" w:w="2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Expiration behaviour</w:t>
            </w:r>
          </w:p>
        </w:tc>
        <w:tc>
          <w:tcPr>
            <w:tcW w:type="dxa" w:w="70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Clear in-app warnings well ahead of expiry; then a configurable grace period (default ~30 days, read-only / degraded); then locked to read-only of existing dashboards. Customer data is never destroyed by expiry.</w:t>
            </w:r>
          </w:p>
        </w:tc>
      </w:tr>
    </w:tbl>
    <w:p>
      <w:pPr>
        <w:pStyle w:val="Heading2"/>
      </w:pPr>
      <w:r>
        <w:t xml:space="preserve">9.4 License issuance, signed activation &amp; anti-tamper</w:t>
      </w:r>
    </w:p>
    <w:p>
      <w:pPr>
        <w:pStyle w:val="ListParagraph"/>
        <w:numPr>
          <w:ilvl w:val="0"/>
          <w:numId w:val="2"/>
        </w:numPr>
        <w:spacing w:after="70" w:line="268"/>
      </w:pPr>
      <w:r>
        <w:rPr>
          <w:color w:val="16202D"/>
          <w:sz w:val="20"/>
          <w:szCs w:val="20"/>
        </w:rPr>
        <w:t xml:space="preserve">Entitlements are carried in a cryptographically signed, offline-verifiable licence object (Ed25519-signed JWS) holding tenant, tier, seat and source caps, issue/expiry dates, feature flags and the allowed deployment mode.</w:t>
      </w:r>
    </w:p>
    <w:p>
      <w:pPr>
        <w:pStyle w:val="ListParagraph"/>
        <w:numPr>
          <w:ilvl w:val="0"/>
          <w:numId w:val="2"/>
        </w:numPr>
        <w:spacing w:after="70" w:line="268"/>
      </w:pPr>
      <w:r>
        <w:rPr>
          <w:color w:val="16202D"/>
          <w:sz w:val="20"/>
          <w:szCs w:val="20"/>
        </w:rPr>
        <w:t xml:space="preserve">The application verifies the signature against SOU's public key, so licensing works fully air-gapped with no internet.</w:t>
      </w:r>
    </w:p>
    <w:p>
      <w:pPr>
        <w:pStyle w:val="ListParagraph"/>
        <w:numPr>
          <w:ilvl w:val="0"/>
          <w:numId w:val="2"/>
        </w:numPr>
        <w:spacing w:after="70" w:line="268"/>
      </w:pPr>
      <w:r>
        <w:rPr>
          <w:color w:val="16202D"/>
          <w:sz w:val="20"/>
          <w:szCs w:val="20"/>
        </w:rPr>
        <w:t xml:space="preserve">Activation: online activation plus a heartbeat for SaaS; offline activation by a signed file delivered out-of-band for air-gapped, with periodic re-issue.</w:t>
      </w:r>
    </w:p>
    <w:p>
      <w:pPr>
        <w:pStyle w:val="ListParagraph"/>
        <w:numPr>
          <w:ilvl w:val="0"/>
          <w:numId w:val="2"/>
        </w:numPr>
        <w:spacing w:after="70" w:line="268"/>
      </w:pPr>
      <w:r>
        <w:rPr>
          <w:color w:val="16202D"/>
          <w:sz w:val="20"/>
          <w:szCs w:val="20"/>
        </w:rPr>
        <w:t xml:space="preserve">Anti-tamper: entitlements come only from the signed licence, never from an editable database row; a broken or absent signature flips the app to a clearly-communicated invalid-licence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A customer cannot flip their own tier in an on-prem database</w:t>
            </w:r>
          </w:p>
          <w:p>
            <w:pPr>
              <w:spacing w:after="0" w:line="256"/>
            </w:pPr>
            <w:r>
              <w:rPr>
                <w:color w:val="16202D"/>
                <w:sz w:val="18"/>
                <w:szCs w:val="18"/>
              </w:rPr>
              <w:t xml:space="preserve">The tier lives in a signed token the application verifies, not in a row anyone can UPDATE. This is what makes on-prem and air-gapped licensing trustworthy without the app having to phone home.</w:t>
            </w:r>
          </w:p>
        </w:tc>
      </w:tr>
    </w:tbl>
    <w:p>
      <w:pPr>
        <w:pStyle w:val="Heading2"/>
      </w:pPr>
      <w:r>
        <w:t xml:space="preserve">9.5 Overage behaviour</w:t>
      </w:r>
    </w:p>
    <w:p>
      <w:pPr>
        <w:pStyle w:val="ListParagraph"/>
        <w:numPr>
          <w:ilvl w:val="0"/>
          <w:numId w:val="2"/>
        </w:numPr>
        <w:spacing w:after="70" w:line="268"/>
      </w:pPr>
      <w:r>
        <w:rPr>
          <w:color w:val="16202D"/>
          <w:sz w:val="20"/>
          <w:szCs w:val="20"/>
        </w:rPr>
        <w:t xml:space="preserve">Soft cap by default: a warning and an upsell prompt as a cap is approached or exceeded — never silent data loss or a hard stop mid-work.</w:t>
      </w:r>
    </w:p>
    <w:p>
      <w:pPr>
        <w:pStyle w:val="ListParagraph"/>
        <w:numPr>
          <w:ilvl w:val="0"/>
          <w:numId w:val="2"/>
        </w:numPr>
        <w:spacing w:after="70" w:line="268"/>
      </w:pPr>
      <w:r>
        <w:rPr>
          <w:color w:val="16202D"/>
          <w:sz w:val="20"/>
          <w:szCs w:val="20"/>
        </w:rPr>
        <w:t xml:space="preserve">Hard caps are applied only where a contract requires them, and always communicated clearly.</w:t>
      </w:r>
    </w:p>
    <w:p>
      <w:pPr>
        <w:pStyle w:val="Heading2"/>
      </w:pPr>
      <w:r>
        <w:t xml:space="preserve">9.B · In plain terms — for buyers, not engineers</w:t>
      </w:r>
    </w:p>
    <w:p>
      <w:pPr>
        <w:spacing w:after="120" w:before="0" w:line="274"/>
      </w:pPr>
      <w:r>
        <w:rPr>
          <w:i/>
          <w:iCs/>
          <w:color w:val="8EA7C1"/>
          <w:sz w:val="19"/>
          <w:szCs w:val="19"/>
        </w:rPr>
        <w:t xml:space="preserve">Exactly what each tier includes, what happens at the caps, and the life of a licence from quote to expiry.</w:t>
      </w:r>
    </w:p>
    <w:p>
      <w:pPr>
        <w:spacing w:after="60" w:before="80" w:line="274"/>
      </w:pPr>
      <w:r>
        <w:rPr>
          <w:b/>
          <w:bCs/>
          <w:color w:val="102A43"/>
          <w:sz w:val="18"/>
          <w:szCs w:val="18"/>
        </w:rPr>
        <w:t xml:space="preserve">▸ Entitlements by tier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rPr>
          <w:tblHeader/>
        </w:trPr>
        <w:tc>
          <w:tcPr>
            <w:tcW w:type="dxa" w:w="2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Capability / limit</w:t>
            </w:r>
          </w:p>
        </w:tc>
        <w:tc>
          <w:tcPr>
            <w:tcW w:type="dxa" w:w="17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Lite</w:t>
            </w:r>
          </w:p>
        </w:tc>
        <w:tc>
          <w:tcPr>
            <w:tcW w:type="dxa" w:w="17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Pro</w:t>
            </w:r>
          </w:p>
        </w:tc>
        <w:tc>
          <w:tcPr>
            <w:tcW w:type="dxa" w:w="17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Pro Plus</w:t>
            </w:r>
          </w:p>
        </w:tc>
        <w:tc>
          <w:tcPr>
            <w:tcW w:type="dxa" w:w="17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Enterprise</w:t>
            </w:r>
          </w:p>
        </w:tc>
      </w:tr>
      <w:tr>
        <w:tc>
          <w:tcPr>
            <w:tcW w:type="dxa" w:w="2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Named users</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3</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15</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40</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w:t>
            </w:r>
          </w:p>
        </w:tc>
      </w:tr>
      <w:tr>
        <w:tc>
          <w:tcPr>
            <w:tcW w:type="dxa" w:w="2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Sites / plants</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up to 3</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custom</w:t>
            </w:r>
          </w:p>
        </w:tc>
      </w:tr>
      <w:tr>
        <w:tc>
          <w:tcPr>
            <w:tcW w:type="dxa" w:w="2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Environments (prod / test)</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2</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w:t>
            </w:r>
          </w:p>
        </w:tc>
      </w:tr>
      <w:tr>
        <w:tc>
          <w:tcPr>
            <w:tcW w:type="dxa" w:w="2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Connected sources</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demo / CSV</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5</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15</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unlimited</w:t>
            </w:r>
          </w:p>
        </w:tc>
      </w:tr>
      <w:tr>
        <w:tc>
          <w:tcPr>
            <w:tcW w:type="dxa" w:w="2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 objects (tables / tags)</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small</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~100</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~500</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w:t>
            </w:r>
          </w:p>
        </w:tc>
      </w:tr>
      <w:tr>
        <w:tc>
          <w:tcPr>
            <w:tcW w:type="dxa" w:w="2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Pages / dashboards</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5</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50</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200</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custom</w:t>
            </w:r>
          </w:p>
        </w:tc>
      </w:tr>
      <w:tr>
        <w:tc>
          <w:tcPr>
            <w:tcW w:type="dxa" w:w="2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 volume</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small</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~2 TB</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~10 TB</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w:t>
            </w:r>
          </w:p>
        </w:tc>
      </w:tr>
      <w:tr>
        <w:tc>
          <w:tcPr>
            <w:tcW w:type="dxa" w:w="2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Refresh cadence (fastest)</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daily</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15 min</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2 min</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2 min / custom</w:t>
            </w:r>
          </w:p>
        </w:tc>
      </w:tr>
      <w:tr>
        <w:tc>
          <w:tcPr>
            <w:tcW w:type="dxa" w:w="2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Job concurrency</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limited</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higher</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pooled / custom</w:t>
            </w:r>
          </w:p>
        </w:tc>
      </w:tr>
      <w:tr>
        <w:tc>
          <w:tcPr>
            <w:tcW w:type="dxa" w:w="2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Assistant monthly usage</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capped</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larger cap</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self-hosted / unmetered</w:t>
            </w:r>
          </w:p>
        </w:tc>
      </w:tr>
      <w:tr>
        <w:tc>
          <w:tcPr>
            <w:tcW w:type="dxa" w:w="2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Storage retention</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short</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standard</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extended</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w:t>
            </w:r>
          </w:p>
        </w:tc>
      </w:tr>
      <w:tr>
        <w:tc>
          <w:tcPr>
            <w:tcW w:type="dxa" w:w="2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Assistant serving</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private endpoint</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private endpoint</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self-hosted / BYOM</w:t>
            </w:r>
          </w:p>
        </w:tc>
      </w:tr>
      <w:tr>
        <w:tc>
          <w:tcPr>
            <w:tcW w:type="dxa" w:w="2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Reports &amp; exports</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basic</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scheduled</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scheduled + API</w:t>
            </w:r>
          </w:p>
        </w:tc>
      </w:tr>
      <w:tr>
        <w:tc>
          <w:tcPr>
            <w:tcW w:type="dxa" w:w="2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Deployment</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SaaS</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SaaS</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SaaS / cloud</w:t>
            </w:r>
          </w:p>
        </w:tc>
        <w:tc>
          <w:tcPr>
            <w:tcW w:type="dxa" w:w="17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any, incl. on-prem &amp; air-gapped</w:t>
            </w:r>
          </w:p>
        </w:tc>
      </w:tr>
      <w:tr>
        <w:tc>
          <w:tcPr>
            <w:tcW w:type="dxa" w:w="2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Support / SLA</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community</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standard 99.5%</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priority 99.9%</w:t>
            </w:r>
          </w:p>
        </w:tc>
        <w:tc>
          <w:tcPr>
            <w:tcW w:type="dxa" w:w="17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SLA-backed 99.9%+</w:t>
            </w:r>
          </w:p>
        </w:tc>
      </w:tr>
    </w:tbl>
    <w:p>
      <w:pPr>
        <w:spacing w:after="120" w:before="20" w:line="274"/>
      </w:pPr>
      <w:r>
        <w:rPr>
          <w:i/>
          <w:iCs/>
          <w:color w:val="8EA7C1"/>
          <w:sz w:val="16"/>
          <w:szCs w:val="16"/>
        </w:rPr>
        <w:t xml:space="preserve">Indicative only. Exact contractual limits and € pricing live in the separate price list, so the doctrine does not age every time pricing moves.</w:t>
      </w:r>
    </w:p>
    <w:p>
      <w:pPr>
        <w:spacing w:after="60" w:before="80" w:line="274"/>
      </w:pPr>
      <w:r>
        <w:rPr>
          <w:b/>
          <w:bCs/>
          <w:color w:val="102A43"/>
          <w:sz w:val="18"/>
          <w:szCs w:val="18"/>
        </w:rPr>
        <w:t xml:space="preserve">▸ What happens at a cap — soft vs hard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300"/>
        <w:gridCol w:w="3300"/>
      </w:tblGrid>
      <w:tr>
        <w:trPr>
          <w:tblHeader/>
        </w:trPr>
        <w:tc>
          <w:tcPr>
            <w:tcW w:type="dxa" w:w="2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Limit</w:t>
            </w:r>
          </w:p>
        </w:tc>
        <w:tc>
          <w:tcPr>
            <w:tcW w:type="dxa" w:w="3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Soft cap (default)</w:t>
            </w:r>
          </w:p>
        </w:tc>
        <w:tc>
          <w:tcPr>
            <w:tcW w:type="dxa" w:w="3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Hard cap (by contract)</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Users</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Warning / upsell</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Cannot invite more users</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Sources</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Warning / upsell</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Cannot activate a new source</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Pages / widgets</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Warning</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Cannot publish more</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Assistant usage</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Throttle / upgrade prompt</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Disable assistant calls</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Job concurrency</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Queue jobs</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Reject high-priority overload</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Storage</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Warning</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Retention / archive policy applies</w:t>
            </w:r>
          </w:p>
        </w:tc>
      </w:tr>
    </w:tbl>
    <w:p>
      <w:pPr>
        <w:spacing w:after="60" w:before="80" w:line="274"/>
      </w:pPr>
      <w:r>
        <w:rPr>
          <w:b/>
          <w:bCs/>
          <w:color w:val="102A43"/>
          <w:sz w:val="18"/>
          <w:szCs w:val="18"/>
        </w:rPr>
        <w:t xml:space="preserve">▸ Licence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Quote accepted  -&gt;  tenant created  -&gt;  licence generated by SOU licensing portal</w:t>
            </w:r>
          </w:p>
          <w:p>
            <w:pPr>
              <w:spacing w:after="0" w:before="0" w:line="240"/>
            </w:pPr>
            <w:r>
              <w:rPr>
                <w:rFonts w:ascii="JetBrains Mono" w:cs="JetBrains Mono" w:eastAsia="JetBrains Mono" w:hAnsi="JetBrains Mono"/>
                <w:color w:val="EAF6FF"/>
                <w:sz w:val="16"/>
                <w:szCs w:val="16"/>
              </w:rPr>
              <w:t xml:space="preserve">   -&gt;  signed with Ed25519 private key</w:t>
            </w:r>
          </w:p>
          <w:p>
            <w:pPr>
              <w:spacing w:after="0" w:before="0" w:line="240"/>
            </w:pPr>
            <w:r>
              <w:rPr>
                <w:rFonts w:ascii="JetBrains Mono" w:cs="JetBrains Mono" w:eastAsia="JetBrains Mono" w:hAnsi="JetBrains Mono"/>
                <w:color w:val="EAF6FF"/>
                <w:sz w:val="16"/>
                <w:szCs w:val="16"/>
              </w:rPr>
              <w:t xml:space="preserve">   -&gt;  customer activates  (online token  OR  offline signed file)</w:t>
            </w:r>
          </w:p>
          <w:p>
            <w:pPr>
              <w:spacing w:after="0" w:before="0" w:line="240"/>
            </w:pPr>
            <w:r>
              <w:rPr>
                <w:rFonts w:ascii="JetBrains Mono" w:cs="JetBrains Mono" w:eastAsia="JetBrains Mono" w:hAnsi="JetBrains Mono"/>
                <w:color w:val="EAF6FF"/>
                <w:sz w:val="16"/>
                <w:szCs w:val="16"/>
              </w:rPr>
              <w:t xml:space="preserve">   -&gt;  application verifies signature (SOU public key)  -- works air-gapped</w:t>
            </w:r>
          </w:p>
          <w:p>
            <w:pPr>
              <w:spacing w:after="0" w:before="0" w:line="240"/>
            </w:pPr>
            <w:r>
              <w:rPr>
                <w:rFonts w:ascii="JetBrains Mono" w:cs="JetBrains Mono" w:eastAsia="JetBrains Mono" w:hAnsi="JetBrains Mono"/>
                <w:color w:val="EAF6FF"/>
                <w:sz w:val="16"/>
                <w:szCs w:val="16"/>
              </w:rPr>
              <w:t xml:space="preserve">   -&gt;  feature gates + usage meters activated</w:t>
            </w:r>
          </w:p>
          <w:p>
            <w:pPr>
              <w:spacing w:after="0" w:before="0" w:line="240"/>
            </w:pPr>
            <w:r>
              <w:rPr>
                <w:rFonts w:ascii="JetBrains Mono" w:cs="JetBrains Mono" w:eastAsia="JetBrains Mono" w:hAnsi="JetBrains Mono"/>
                <w:color w:val="EAF6FF"/>
                <w:sz w:val="16"/>
                <w:szCs w:val="16"/>
              </w:rPr>
              <w:t xml:space="preserve">   -&gt;  expiry warnings  -&gt;  grace (~30 days, read-only)  -&gt;  read-only / degraded</w:t>
            </w:r>
          </w:p>
          <w:p>
            <w:pPr>
              <w:spacing w:after="0" w:before="0" w:line="240"/>
            </w:pPr>
            <w:r>
              <w:rPr>
                <w:rFonts w:ascii="JetBrains Mono" w:cs="JetBrains Mono" w:eastAsia="JetBrains Mono" w:hAnsi="JetBrains Mono"/>
                <w:color w:val="EAF6FF"/>
                <w:sz w:val="16"/>
                <w:szCs w:val="16"/>
              </w:rPr>
              <w:t xml:space="preserve">   (customer data is never destroyed by expiry; tier lives in the signed token, not an editable row)</w:t>
            </w:r>
          </w:p>
        </w:tc>
      </w:tr>
    </w:tbl>
    <w:p>
      <w:pPr>
        <w:spacing w:after="60" w:before="80" w:line="274"/>
      </w:pPr>
      <w:r>
        <w:rPr>
          <w:b/>
          <w:bCs/>
          <w:color w:val="102A43"/>
          <w:sz w:val="18"/>
          <w:szCs w:val="18"/>
        </w:rPr>
        <w:t xml:space="preserve">▸ Commercial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Model</w:t>
            </w:r>
          </w:p>
        </w:tc>
        <w:tc>
          <w:tcPr>
            <w:tcW w:type="dxa" w:w="6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Example</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SaaS annual</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12-month renewable subscription</w:t>
            </w:r>
          </w:p>
        </w:tc>
      </w:tr>
      <w:tr>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Multi-year</w:t>
            </w:r>
          </w:p>
        </w:tc>
        <w:tc>
          <w:tcPr>
            <w:tcW w:type="dxa" w:w="6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36-month contract with discount</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On-prem annual</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Annual signed licence file</w:t>
            </w:r>
          </w:p>
        </w:tc>
      </w:tr>
      <w:tr>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Air-gapped perpetual</w:t>
            </w:r>
          </w:p>
        </w:tc>
        <w:tc>
          <w:tcPr>
            <w:tcW w:type="dxa" w:w="6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Perpetual runtime + annual support / updates</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Expired licence</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Existing dashboards read-only; new imports / jobs disabled</w:t>
            </w:r>
          </w:p>
        </w:tc>
      </w:tr>
    </w:tbl>
    <w:p>
      <w:pPr>
        <w:pStyle w:val="Heading1"/>
      </w:pPr>
      <w:r>
        <w:t xml:space="preserve">10 · User, Role, Access &amp; Tenant Governance</w:t>
      </w:r>
    </w:p>
    <w:p>
      <w:pPr>
        <w:pBdr>
          <w:bottom w:val="single" w:color="00D4FF" w:sz="14" w:space="1"/>
        </w:pBdr>
        <w:spacing w:after="140" w:before="20"/>
      </w:pPr>
      <w:r>
        <w:t xml:space="preserve"/>
      </w:r>
    </w:p>
    <w:p>
      <w:pPr>
        <w:pStyle w:val="Heading2"/>
      </w:pPr>
      <w:r>
        <w:t xml:space="preserve">10.1 Roles &amp; the access matrix</w:t>
      </w:r>
    </w:p>
    <w:p>
      <w:pPr>
        <w:spacing w:after="140" w:before="0" w:line="274"/>
      </w:pPr>
      <w:r>
        <w:rPr>
          <w:color w:val="16202D"/>
          <w:sz w:val="20"/>
          <w:szCs w:val="20"/>
        </w:rPr>
        <w:t xml:space="preserve">Access is role-based, scoped, and enforced on every gate. The role set covers the real personas in a plant and in SOU's own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Role</w:t>
            </w:r>
          </w:p>
        </w:tc>
        <w:tc>
          <w:tcPr>
            <w:tcW w:type="dxa" w:w="62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Scope &amp; key permissions</w:t>
            </w:r>
          </w:p>
        </w:tc>
      </w:tr>
      <w:tr>
        <w:tc>
          <w:tcPr>
            <w:tcW w:type="dxa" w:w="31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Tenant Owner</w:t>
            </w:r>
          </w:p>
        </w:tc>
        <w:tc>
          <w:tcPr>
            <w:tcW w:type="dxa" w:w="6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Owns the tenant; billing and all settings.</w:t>
            </w:r>
          </w:p>
        </w:tc>
      </w:tr>
      <w:tr>
        <w:tc>
          <w:tcPr>
            <w:tcW w:type="dxa" w:w="31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Plant Admin</w:t>
            </w:r>
          </w:p>
        </w:tc>
        <w:tc>
          <w:tcPr>
            <w:tcW w:type="dxa" w:w="62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Connections, mappings and users within a site.</w:t>
            </w:r>
          </w:p>
        </w:tc>
      </w:tr>
      <w:tr>
        <w:tc>
          <w:tcPr>
            <w:tcW w:type="dxa" w:w="31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 Engineer</w:t>
            </w:r>
          </w:p>
        </w:tc>
        <w:tc>
          <w:tcPr>
            <w:tcW w:type="dxa" w:w="6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Authors mappings, KPI views and safe SQL.</w:t>
            </w:r>
          </w:p>
        </w:tc>
      </w:tr>
      <w:tr>
        <w:tc>
          <w:tcPr>
            <w:tcW w:type="dxa" w:w="31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Process / Quality / Reliability Engineer</w:t>
            </w:r>
          </w:p>
        </w:tc>
        <w:tc>
          <w:tcPr>
            <w:tcW w:type="dxa" w:w="62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Investigates, builds dashboards, runs analysis, works suggestions.</w:t>
            </w:r>
          </w:p>
        </w:tc>
      </w:tr>
      <w:tr>
        <w:tc>
          <w:tcPr>
            <w:tcW w:type="dxa" w:w="31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Operator</w:t>
            </w:r>
          </w:p>
        </w:tc>
        <w:tc>
          <w:tcPr>
            <w:tcW w:type="dxa" w:w="6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Reads dashboards, acknowledges alerts, updates case status.</w:t>
            </w:r>
          </w:p>
        </w:tc>
      </w:tr>
      <w:tr>
        <w:tc>
          <w:tcPr>
            <w:tcW w:type="dxa" w:w="31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Viewer / Executive</w:t>
            </w:r>
          </w:p>
        </w:tc>
        <w:tc>
          <w:tcPr>
            <w:tcW w:type="dxa" w:w="62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Reads dashboards and reports.</w:t>
            </w:r>
          </w:p>
        </w:tc>
      </w:tr>
      <w:tr>
        <w:tc>
          <w:tcPr>
            <w:tcW w:type="dxa" w:w="31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Commercial Admin</w:t>
            </w:r>
          </w:p>
        </w:tc>
        <w:tc>
          <w:tcPr>
            <w:tcW w:type="dxa" w:w="6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Licence and commercial settings.</w:t>
            </w:r>
          </w:p>
        </w:tc>
      </w:tr>
      <w:tr>
        <w:tc>
          <w:tcPr>
            <w:tcW w:type="dxa" w:w="31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Support (SOU)</w:t>
            </w:r>
          </w:p>
        </w:tc>
        <w:tc>
          <w:tcPr>
            <w:tcW w:type="dxa" w:w="62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Scoped, time-boxed, fully audited assistance access.</w:t>
            </w:r>
          </w:p>
        </w:tc>
      </w:tr>
      <w:tr>
        <w:tc>
          <w:tcPr>
            <w:tcW w:type="dxa" w:w="31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Super Admin (SOU)</w:t>
            </w:r>
          </w:p>
        </w:tc>
        <w:tc>
          <w:tcPr>
            <w:tcW w:type="dxa" w:w="6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Platform operations across tenants, audited.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Tenant isolation is absolute</w:t>
            </w:r>
          </w:p>
          <w:p>
            <w:pPr>
              <w:spacing w:after="0" w:line="256"/>
            </w:pPr>
            <w:r>
              <w:rPr>
                <w:color w:val="16202D"/>
                <w:sz w:val="18"/>
                <w:szCs w:val="18"/>
              </w:rPr>
              <w:t xml:space="preserve">Every row carries a TenantId and row-level security enforces that no query, API call or assistant retrieval can cross a tenant boundary in shared SaaS. In dedicated, on-prem and air-gapped deployments there is exactly one tenant and physical isolation. Cross-tenant leakage is an explicit test in §13 and §18.</w:t>
            </w:r>
          </w:p>
        </w:tc>
      </w:tr>
    </w:tbl>
    <w:p>
      <w:pPr>
        <w:pStyle w:val="Heading2"/>
      </w:pPr>
      <w:r>
        <w:t xml:space="preserve">10.2 Identity &amp; authentication</w:t>
      </w:r>
    </w:p>
    <w:p>
      <w:pPr>
        <w:spacing w:after="140" w:before="0" w:line="274"/>
      </w:pPr>
      <w:r>
        <w:rPr>
          <w:color w:val="16202D"/>
          <w:sz w:val="20"/>
          <w:szCs w:val="20"/>
        </w:rPr>
        <w:t xml:space="preserve">v4 was silent on user authentication — a security reviewer would flag it immediately, especially the access token currently in browser localStorage. </w:t>
      </w:r>
      <w:r>
        <w:rPr>
          <w:b/>
          <w:bCs/>
          <w:color w:val="16202D"/>
          <w:sz w:val="20"/>
          <w:szCs w:val="20"/>
        </w:rPr>
        <w:t xml:space="preserve">v5 commits a full, modern identity model and retires that token.</w:t>
      </w:r>
    </w:p>
    <w:p>
      <w:pPr>
        <w:pStyle w:val="ListParagraph"/>
        <w:numPr>
          <w:ilvl w:val="0"/>
          <w:numId w:val="2"/>
        </w:numPr>
        <w:spacing w:after="70" w:line="268"/>
      </w:pPr>
      <w:r>
        <w:rPr>
          <w:b/>
          <w:bCs/>
          <w:color w:val="16202D"/>
          <w:sz w:val="20"/>
          <w:szCs w:val="20"/>
        </w:rPr>
        <w:t xml:space="preserve">Password storage: </w:t>
      </w:r>
      <w:r>
        <w:rPr>
          <w:color w:val="16202D"/>
          <w:sz w:val="20"/>
          <w:szCs w:val="20"/>
        </w:rPr>
        <w:t xml:space="preserve">Argon2id (memory-hard) with a per-user salt and a server-side pepper, configurable cost — never plaintext, never reversible (bcrypt only as a legacy fallback).</w:t>
      </w:r>
    </w:p>
    <w:p>
      <w:pPr>
        <w:pStyle w:val="ListParagraph"/>
        <w:numPr>
          <w:ilvl w:val="0"/>
          <w:numId w:val="2"/>
        </w:numPr>
        <w:spacing w:after="70" w:line="268"/>
      </w:pPr>
      <w:r>
        <w:rPr>
          <w:b/>
          <w:bCs/>
          <w:color w:val="16202D"/>
          <w:sz w:val="20"/>
          <w:szCs w:val="20"/>
        </w:rPr>
        <w:t xml:space="preserve">Tokens &amp; sessions: </w:t>
      </w:r>
      <w:r>
        <w:rPr>
          <w:color w:val="16202D"/>
          <w:sz w:val="20"/>
          <w:szCs w:val="20"/>
        </w:rPr>
        <w:t xml:space="preserve">short-lived access tokens held in memory only; refresh tokens in HttpOnly, Secure, SameSite cookies with rotation and server-side revocation. The localStorage access token is retired.</w:t>
      </w:r>
    </w:p>
    <w:p>
      <w:pPr>
        <w:pStyle w:val="ListParagraph"/>
        <w:numPr>
          <w:ilvl w:val="0"/>
          <w:numId w:val="2"/>
        </w:numPr>
        <w:spacing w:after="70" w:line="268"/>
      </w:pPr>
      <w:r>
        <w:rPr>
          <w:b/>
          <w:bCs/>
          <w:color w:val="16202D"/>
          <w:sz w:val="20"/>
          <w:szCs w:val="20"/>
        </w:rPr>
        <w:t xml:space="preserve">MFA: </w:t>
      </w:r>
      <w:r>
        <w:rPr>
          <w:color w:val="16202D"/>
          <w:sz w:val="20"/>
          <w:szCs w:val="20"/>
        </w:rPr>
        <w:t xml:space="preserve">TOTP and WebAuthn / passkeys; enforced by policy per tenant and mandatory for admin roles.</w:t>
      </w:r>
    </w:p>
    <w:p>
      <w:pPr>
        <w:pStyle w:val="ListParagraph"/>
        <w:numPr>
          <w:ilvl w:val="0"/>
          <w:numId w:val="2"/>
        </w:numPr>
        <w:spacing w:after="70" w:line="268"/>
      </w:pPr>
      <w:r>
        <w:rPr>
          <w:b/>
          <w:bCs/>
          <w:color w:val="16202D"/>
          <w:sz w:val="20"/>
          <w:szCs w:val="20"/>
        </w:rPr>
        <w:t xml:space="preserve">Password policy: </w:t>
      </w:r>
      <w:r>
        <w:rPr>
          <w:color w:val="16202D"/>
          <w:sz w:val="20"/>
          <w:szCs w:val="20"/>
        </w:rPr>
        <w:t xml:space="preserve">configurable minimum length, a breach-list (k-anonymity) check, and lockout / backoff on failed attempts.</w:t>
      </w:r>
    </w:p>
    <w:p>
      <w:pPr>
        <w:pStyle w:val="ListParagraph"/>
        <w:numPr>
          <w:ilvl w:val="0"/>
          <w:numId w:val="2"/>
        </w:numPr>
        <w:spacing w:after="70" w:line="268"/>
      </w:pPr>
      <w:r>
        <w:rPr>
          <w:b/>
          <w:bCs/>
          <w:color w:val="16202D"/>
          <w:sz w:val="20"/>
          <w:szCs w:val="20"/>
        </w:rPr>
        <w:t xml:space="preserve">SSO &amp; provisioning: </w:t>
      </w:r>
      <w:r>
        <w:rPr>
          <w:color w:val="16202D"/>
          <w:sz w:val="20"/>
          <w:szCs w:val="20"/>
        </w:rPr>
        <w:t xml:space="preserve">SAML 2.0 and OIDC; SCIM 2.0 for automatic provisioning and deprovisioning; just-in-time provisioning; group-to-role mapping.</w:t>
      </w:r>
    </w:p>
    <w:p>
      <w:pPr>
        <w:pStyle w:val="ListParagraph"/>
        <w:numPr>
          <w:ilvl w:val="0"/>
          <w:numId w:val="2"/>
        </w:numPr>
        <w:spacing w:after="70" w:line="268"/>
      </w:pPr>
      <w:r>
        <w:rPr>
          <w:b/>
          <w:bCs/>
          <w:color w:val="16202D"/>
          <w:sz w:val="20"/>
          <w:szCs w:val="20"/>
        </w:rPr>
        <w:t xml:space="preserve">Session policy: </w:t>
      </w:r>
      <w:r>
        <w:rPr>
          <w:color w:val="16202D"/>
          <w:sz w:val="20"/>
          <w:szCs w:val="20"/>
        </w:rPr>
        <w:t xml:space="preserve">configurable concurrent sessions (single active session per named seat to enforce licensing, or N with a device list and remote revoke); idle and absolute timeouts; an active-sessions view and force-logout.</w:t>
      </w:r>
    </w:p>
    <w:p>
      <w:pPr>
        <w:pStyle w:val="ListParagraph"/>
        <w:numPr>
          <w:ilvl w:val="0"/>
          <w:numId w:val="2"/>
        </w:numPr>
        <w:spacing w:after="70" w:line="268"/>
      </w:pPr>
      <w:r>
        <w:rPr>
          <w:b/>
          <w:bCs/>
          <w:color w:val="16202D"/>
          <w:sz w:val="20"/>
          <w:szCs w:val="20"/>
        </w:rPr>
        <w:t xml:space="preserve">Lifecycle: </w:t>
      </w:r>
      <w:r>
        <w:rPr>
          <w:color w:val="16202D"/>
          <w:sz w:val="20"/>
          <w:szCs w:val="20"/>
        </w:rPr>
        <w:t xml:space="preserve">invite → accept → MFA enrol; deactivate with immediate token revocation; offboarding via SCIM.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Retiring the localStorage token makes named seats real</w:t>
            </w:r>
          </w:p>
          <w:p>
            <w:pPr>
              <w:spacing w:after="0" w:line="256"/>
            </w:pPr>
            <w:r>
              <w:rPr>
                <w:color w:val="16202D"/>
                <w:sz w:val="18"/>
                <w:szCs w:val="18"/>
              </w:rPr>
              <w:t xml:space="preserve">Access tokens live in memory; refresh tokens live in HttpOnly cookies. Because a single credential cannot silently run unlimited parallel sessions, the named-seat caps of §9 are enforceable rather than theoretical — and the most common security-review finding against the current build is closed.</w:t>
            </w:r>
          </w:p>
        </w:tc>
      </w:tr>
    </w:tbl>
    <w:p>
      <w:pPr>
        <w:pStyle w:val="Heading2"/>
      </w:pPr>
      <w:r>
        <w:t xml:space="preserve">10.B · In plain terms — for buyers, not engineers</w:t>
      </w:r>
    </w:p>
    <w:p>
      <w:pPr>
        <w:spacing w:after="120" w:before="0" w:line="274"/>
      </w:pPr>
      <w:r>
        <w:rPr>
          <w:i/>
          <w:iCs/>
          <w:color w:val="8EA7C1"/>
          <w:sz w:val="19"/>
          <w:szCs w:val="19"/>
        </w:rPr>
        <w:t xml:space="preserve">Who can do what, the life of a user account, how seats are counted, and how passwords and access are protected.</w:t>
      </w:r>
    </w:p>
    <w:p>
      <w:pPr>
        <w:spacing w:after="60" w:before="80" w:line="274"/>
      </w:pPr>
      <w:r>
        <w:rPr>
          <w:b/>
          <w:bCs/>
          <w:color w:val="102A43"/>
          <w:sz w:val="18"/>
          <w:szCs w:val="18"/>
        </w:rPr>
        <w:t xml:space="preserve">▸ Role /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1080"/>
        <w:gridCol w:w="1080"/>
        <w:gridCol w:w="1080"/>
        <w:gridCol w:w="1080"/>
        <w:gridCol w:w="1080"/>
      </w:tblGrid>
      <w:tr>
        <w:trPr>
          <w:tblHeader/>
        </w:trPr>
        <w:tc>
          <w:tcPr>
            <w:tcW w:type="dxa" w:w="18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Capability</w:t>
            </w:r>
          </w:p>
        </w:tc>
        <w:tc>
          <w:tcPr>
            <w:tcW w:type="dxa" w:w="10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Owner</w:t>
            </w:r>
          </w:p>
        </w:tc>
        <w:tc>
          <w:tcPr>
            <w:tcW w:type="dxa" w:w="10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Plant Admin</w:t>
            </w:r>
          </w:p>
        </w:tc>
        <w:tc>
          <w:tcPr>
            <w:tcW w:type="dxa" w:w="10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Data Eng</w:t>
            </w:r>
          </w:p>
        </w:tc>
        <w:tc>
          <w:tcPr>
            <w:tcW w:type="dxa" w:w="10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Engineer</w:t>
            </w:r>
          </w:p>
        </w:tc>
        <w:tc>
          <w:tcPr>
            <w:tcW w:type="dxa" w:w="10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Operator</w:t>
            </w:r>
          </w:p>
        </w:tc>
        <w:tc>
          <w:tcPr>
            <w:tcW w:type="dxa" w:w="10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Viewer</w:t>
            </w:r>
          </w:p>
        </w:tc>
        <w:tc>
          <w:tcPr>
            <w:tcW w:type="dxa" w:w="10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SOU</w:t>
            </w:r>
          </w:p>
        </w:tc>
      </w:tr>
      <w:tr>
        <w:tc>
          <w:tcPr>
            <w:tcW w:type="dxa" w:w="1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Manage licence</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Limited</w:t>
            </w:r>
          </w:p>
        </w:tc>
      </w:tr>
      <w:tr>
        <w:tc>
          <w:tcPr>
            <w:tcW w:type="dxa" w:w="18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Add user</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r>
      <w:tr>
        <w:tc>
          <w:tcPr>
            <w:tcW w:type="dxa" w:w="1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Add source</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Assisted</w:t>
            </w:r>
          </w:p>
        </w:tc>
      </w:tr>
      <w:tr>
        <w:tc>
          <w:tcPr>
            <w:tcW w:type="dxa" w:w="18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Publish mapping</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Assisted</w:t>
            </w:r>
          </w:p>
        </w:tc>
      </w:tr>
      <w:tr>
        <w:tc>
          <w:tcPr>
            <w:tcW w:type="dxa" w:w="1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Build dashboard</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Assisted</w:t>
            </w:r>
          </w:p>
        </w:tc>
      </w:tr>
      <w:tr>
        <w:tc>
          <w:tcPr>
            <w:tcW w:type="dxa" w:w="18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Run advanced analysis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View</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Assisted</w:t>
            </w:r>
          </w:p>
        </w:tc>
      </w:tr>
      <w:tr>
        <w:tc>
          <w:tcPr>
            <w:tcW w:type="dxa" w:w="1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Assign suggestion</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0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r>
      <w:tr>
        <w:tc>
          <w:tcPr>
            <w:tcW w:type="dxa" w:w="18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View reports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0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r>
    </w:tbl>
    <w:p>
      <w:pPr>
        <w:spacing w:after="60" w:before="80" w:line="274"/>
      </w:pPr>
      <w:r>
        <w:rPr>
          <w:b/>
          <w:bCs/>
          <w:color w:val="102A43"/>
          <w:sz w:val="18"/>
          <w:szCs w:val="18"/>
        </w:rPr>
        <w:t xml:space="preserve">▸ User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Invite user  -&gt;  assign role + site scope  -&gt;  user accepts</w:t>
            </w:r>
          </w:p>
          <w:p>
            <w:pPr>
              <w:spacing w:after="0" w:before="0" w:line="240"/>
            </w:pPr>
            <w:r>
              <w:rPr>
                <w:rFonts w:ascii="JetBrains Mono" w:cs="JetBrains Mono" w:eastAsia="JetBrains Mono" w:hAnsi="JetBrains Mono"/>
                <w:color w:val="EAF6FF"/>
                <w:sz w:val="16"/>
                <w:szCs w:val="16"/>
              </w:rPr>
              <w:t xml:space="preserve">   -&gt;  password / SSO login  -&gt;  MFA enrolment  -&gt;  session created</w:t>
            </w:r>
          </w:p>
          <w:p>
            <w:pPr>
              <w:spacing w:after="0" w:before="0" w:line="240"/>
            </w:pPr>
            <w:r>
              <w:rPr>
                <w:rFonts w:ascii="JetBrains Mono" w:cs="JetBrains Mono" w:eastAsia="JetBrains Mono" w:hAnsi="JetBrains Mono"/>
                <w:color w:val="EAF6FF"/>
                <w:sz w:val="16"/>
                <w:szCs w:val="16"/>
              </w:rPr>
              <w:t xml:space="preserve">   -&gt;  usage audited  -&gt;  role changed / user deactivated</w:t>
            </w:r>
          </w:p>
          <w:p>
            <w:pPr>
              <w:spacing w:after="0" w:before="0" w:line="240"/>
            </w:pPr>
            <w:r>
              <w:rPr>
                <w:rFonts w:ascii="JetBrains Mono" w:cs="JetBrains Mono" w:eastAsia="JetBrains Mono" w:hAnsi="JetBrains Mono"/>
                <w:color w:val="EAF6FF"/>
                <w:sz w:val="16"/>
                <w:szCs w:val="16"/>
              </w:rPr>
              <w:t xml:space="preserve">   -&gt;  tokens revoked immediately</w:t>
            </w:r>
          </w:p>
        </w:tc>
      </w:tr>
    </w:tbl>
    <w:p>
      <w:pPr>
        <w:spacing w:after="60" w:before="80" w:line="274"/>
      </w:pPr>
      <w:r>
        <w:rPr>
          <w:b/>
          <w:bCs/>
          <w:color w:val="102A43"/>
          <w:sz w:val="18"/>
          <w:szCs w:val="18"/>
        </w:rPr>
        <w:t xml:space="preserve">▸ How seats are counted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Question</w:t>
            </w:r>
          </w:p>
        </w:tc>
        <w:tc>
          <w:tcPr>
            <w:tcW w:type="dxa" w:w="5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Policy</w:t>
            </w:r>
          </w:p>
        </w:tc>
      </w:tr>
      <w:tr>
        <w:tc>
          <w:tcPr>
            <w:tcW w:type="dxa" w:w="3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Named or concurrent?</w:t>
            </w:r>
          </w:p>
        </w:tc>
        <w:tc>
          <w:tcPr>
            <w:tcW w:type="dxa" w:w="5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Named seats (a seat = a person); session policy may also cap concurrent sessions per seat</w:t>
            </w:r>
          </w:p>
        </w:tc>
      </w:tr>
      <w:tr>
        <w:tc>
          <w:tcPr>
            <w:tcW w:type="dxa" w:w="3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Do inactive users count?</w:t>
            </w:r>
          </w:p>
        </w:tc>
        <w:tc>
          <w:tcPr>
            <w:tcW w:type="dxa" w:w="5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Deactivated users free the seat; suspended-but-enabled users still count</w:t>
            </w:r>
          </w:p>
        </w:tc>
      </w:tr>
      <w:tr>
        <w:tc>
          <w:tcPr>
            <w:tcW w:type="dxa" w:w="3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Are SOU support users counted?</w:t>
            </w:r>
          </w:p>
        </w:tc>
        <w:tc>
          <w:tcPr>
            <w:tcW w:type="dxa" w:w="5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 — SOU support is a separate, time-boxed, audited role outside your seat caps</w:t>
            </w:r>
          </w:p>
        </w:tc>
      </w:tr>
      <w:tr>
        <w:tc>
          <w:tcPr>
            <w:tcW w:type="dxa" w:w="3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Are API / service accounts counted?</w:t>
            </w:r>
          </w:p>
        </w:tc>
        <w:tc>
          <w:tcPr>
            <w:tcW w:type="dxa" w:w="5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Counted separately as non-interactive integration credentials, not named seats</w:t>
            </w:r>
          </w:p>
        </w:tc>
      </w:tr>
      <w:tr>
        <w:tc>
          <w:tcPr>
            <w:tcW w:type="dxa" w:w="3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 one person hold multiple roles?</w:t>
            </w:r>
          </w:p>
        </w:tc>
        <w:tc>
          <w:tcPr>
            <w:tcW w:type="dxa" w:w="5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 — roles are additive; effective permission is the union, within their site scope</w:t>
            </w:r>
          </w:p>
        </w:tc>
      </w:tr>
      <w:tr>
        <w:tc>
          <w:tcPr>
            <w:tcW w:type="dxa" w:w="3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Per tenant or per site?</w:t>
            </w:r>
          </w:p>
        </w:tc>
        <w:tc>
          <w:tcPr>
            <w:tcW w:type="dxa" w:w="5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Seat caps are per tenant; role scope is per site / plant; environments are counted separately</w:t>
            </w:r>
          </w:p>
        </w:tc>
      </w:tr>
    </w:tbl>
    <w:p>
      <w:pPr>
        <w:spacing w:after="60" w:before="80" w:line="274"/>
      </w:pPr>
      <w:r>
        <w:rPr>
          <w:b/>
          <w:bCs/>
          <w:color w:val="102A43"/>
          <w:sz w:val="18"/>
          <w:szCs w:val="18"/>
        </w:rPr>
        <w:t xml:space="preserve">▸ Password, MFA and emergency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Item</w:t>
            </w:r>
          </w:p>
        </w:tc>
        <w:tc>
          <w:tcPr>
            <w:tcW w:type="dxa" w:w="6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Commitment</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Password hashing</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Argon2id + per-user salt + server-side pepper; indicative m=64 MB, t=3, p=1 (configurable); bcrypt legacy-verify only</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Pepper storage</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In the encrypted secrets vault, separate from the database; never in code or the DB</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Password reset token</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Single-use, short-lived (indicative ≤ 30 min), invalidated on use or on a new request</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MFA</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TOTP and WebAuthn / passkeys; mandatory for admins; one-time recovery codes issued at enrolment, stored hashed</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Breach-password check</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k-anonymity check on set / change; weak or breached passwords rejected</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Emergency (break-glass) access</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sealed, MFA-gated emergency admin path; every use raises an alert and is fully audited</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Audit</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Password change, MFA enrol / reset, lockout and session revoke are all audited</w:t>
            </w:r>
          </w:p>
        </w:tc>
      </w:tr>
    </w:tbl>
    <w:p>
      <w:pPr>
        <w:pStyle w:val="Heading1"/>
      </w:pPr>
      <w:r>
        <w:t xml:space="preserve">11 · Jobs, Scheduling &amp; Operational Control</w:t>
      </w:r>
    </w:p>
    <w:p>
      <w:pPr>
        <w:pBdr>
          <w:bottom w:val="single" w:color="00D4FF" w:sz="14" w:space="1"/>
        </w:pBdr>
        <w:spacing w:after="140" w:before="20"/>
      </w:pPr>
      <w:r>
        <w:t xml:space="preserve"/>
      </w:r>
    </w:p>
    <w:p>
      <w:pPr>
        <w:spacing w:after="140" w:before="0" w:line="274"/>
      </w:pPr>
      <w:r>
        <w:rPr>
          <w:color w:val="16202D"/>
          <w:sz w:val="20"/>
          <w:szCs w:val="20"/>
        </w:rPr>
        <w:t xml:space="preserve">Everything heavy is a job: visible, retryable, idempotent, and isolated from interactive traffic. The Jobs Monitor is the operational heart of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Job family</w:t>
            </w:r>
          </w:p>
        </w:tc>
        <w:tc>
          <w:tcPr>
            <w:tcW w:type="dxa" w:w="69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it does</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Sync / import</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Pull deltas and historical backfills from sources via the Edge Collector (§4.6, §4.8).</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Mapping validation</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Dry-run and validate a mapping version before publish (§4.5).</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Analytics / ML</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KPI-contributor, defect-driver, risk, stability and value jobs (§7.2).</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Indexing</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Refresh the assistant retrieval index.</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Report</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Generate and deliver scheduled reports (§15).</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Demo reset</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Idempotently re-seed and recompute the demo (§14).</w:t>
            </w:r>
          </w:p>
        </w:tc>
      </w:tr>
    </w:tbl>
    <w:p>
      <w:pPr>
        <w:pStyle w:val="ListParagraph"/>
        <w:numPr>
          <w:ilvl w:val="0"/>
          <w:numId w:val="2"/>
        </w:numPr>
        <w:spacing w:after="70" w:line="268"/>
      </w:pPr>
      <w:r>
        <w:rPr>
          <w:b/>
          <w:bCs/>
          <w:color w:val="16202D"/>
          <w:sz w:val="20"/>
          <w:szCs w:val="20"/>
        </w:rPr>
        <w:t xml:space="preserve">Lifecycle: </w:t>
      </w:r>
      <w:r>
        <w:rPr>
          <w:color w:val="16202D"/>
          <w:sz w:val="20"/>
          <w:szCs w:val="20"/>
        </w:rPr>
        <w:t xml:space="preserve">queued → running → succeeded / failed / cancelled, with a full run history (rows read, duration, errors).</w:t>
      </w:r>
    </w:p>
    <w:p>
      <w:pPr>
        <w:pStyle w:val="ListParagraph"/>
        <w:numPr>
          <w:ilvl w:val="0"/>
          <w:numId w:val="2"/>
        </w:numPr>
        <w:spacing w:after="70" w:line="268"/>
      </w:pPr>
      <w:r>
        <w:rPr>
          <w:b/>
          <w:bCs/>
          <w:color w:val="16202D"/>
          <w:sz w:val="20"/>
          <w:szCs w:val="20"/>
        </w:rPr>
        <w:t xml:space="preserve">Reliability: </w:t>
      </w:r>
      <w:r>
        <w:rPr>
          <w:color w:val="16202D"/>
          <w:sz w:val="20"/>
          <w:szCs w:val="20"/>
        </w:rPr>
        <w:t xml:space="preserve">idempotency keys, exponential backoff with bounded retries, and per-job concurrency limits so jobs never starve interactive traffic.</w:t>
      </w:r>
    </w:p>
    <w:p>
      <w:pPr>
        <w:pStyle w:val="ListParagraph"/>
        <w:numPr>
          <w:ilvl w:val="0"/>
          <w:numId w:val="2"/>
        </w:numPr>
        <w:spacing w:after="70" w:line="268"/>
      </w:pPr>
      <w:r>
        <w:rPr>
          <w:b/>
          <w:bCs/>
          <w:color w:val="16202D"/>
          <w:sz w:val="20"/>
          <w:szCs w:val="20"/>
        </w:rPr>
        <w:t xml:space="preserve">Observability: </w:t>
      </w:r>
      <w:r>
        <w:rPr>
          <w:color w:val="16202D"/>
          <w:sz w:val="20"/>
          <w:szCs w:val="20"/>
        </w:rPr>
        <w:t xml:space="preserve">per-job SLOs and alerting on failure (§2.1); a stuck or failed job is visible and explained, never silent.</w:t>
      </w:r>
    </w:p>
    <w:p>
      <w:pPr>
        <w:pStyle w:val="Heading2"/>
      </w:pPr>
      <w:r>
        <w:t xml:space="preserve">11.B · In plain terms — for buyers, not engineers</w:t>
      </w:r>
    </w:p>
    <w:p>
      <w:pPr>
        <w:spacing w:after="120" w:before="0" w:line="274"/>
      </w:pPr>
      <w:r>
        <w:rPr>
          <w:i/>
          <w:iCs/>
          <w:color w:val="8EA7C1"/>
          <w:sz w:val="19"/>
          <w:szCs w:val="19"/>
        </w:rPr>
        <w:t xml:space="preserve">What runs in the background for you, and what you see when a job succeeds or fails.</w:t>
      </w:r>
    </w:p>
    <w:p>
      <w:pPr>
        <w:spacing w:after="60" w:before="80" w:line="274"/>
      </w:pPr>
      <w:r>
        <w:rPr>
          <w:b/>
          <w:bCs/>
          <w:color w:val="102A43"/>
          <w:sz w:val="18"/>
          <w:szCs w:val="18"/>
        </w:rPr>
        <w:t xml:space="preserve">▸ Job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Job</w:t>
            </w:r>
          </w:p>
        </w:tc>
        <w:tc>
          <w:tcPr>
            <w:tcW w:type="dxa" w:w="6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it does for you</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Sync / import</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Pulls deltas and historical backfills from your sources via the Edge Collector</w:t>
            </w:r>
          </w:p>
        </w:tc>
      </w:tr>
      <w:tr>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Mapping validation</w:t>
            </w:r>
          </w:p>
        </w:tc>
        <w:tc>
          <w:tcPr>
            <w:tcW w:type="dxa" w:w="6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Dry-runs and validates a mapping version before publish</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Analytics / ML</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KPI-contributor, defect-driver, risk, stability and value jobs</w:t>
            </w:r>
          </w:p>
        </w:tc>
      </w:tr>
      <w:tr>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Indexing</w:t>
            </w:r>
          </w:p>
        </w:tc>
        <w:tc>
          <w:tcPr>
            <w:tcW w:type="dxa" w:w="6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Refreshes the assistant retrieval index</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Report</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Generates and delivers scheduled reports</w:t>
            </w:r>
          </w:p>
        </w:tc>
      </w:tr>
    </w:tbl>
    <w:p>
      <w:pPr>
        <w:spacing w:after="60" w:before="80" w:line="274"/>
      </w:pPr>
      <w:r>
        <w:rPr>
          <w:b/>
          <w:bCs/>
          <w:color w:val="102A43"/>
          <w:sz w:val="18"/>
          <w:szCs w:val="18"/>
        </w:rPr>
        <w:t xml:space="preserve">▸ Job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Scheduled / triggered  -&gt;  queued  -&gt;  running</w:t>
            </w:r>
          </w:p>
          <w:p>
            <w:pPr>
              <w:spacing w:after="0" w:before="0" w:line="240"/>
            </w:pPr>
            <w:r>
              <w:rPr>
                <w:rFonts w:ascii="JetBrains Mono" w:cs="JetBrains Mono" w:eastAsia="JetBrains Mono" w:hAnsi="JetBrains Mono"/>
                <w:color w:val="EAF6FF"/>
                <w:sz w:val="16"/>
                <w:szCs w:val="16"/>
              </w:rPr>
              <w:t xml:space="preserve">        v</w:t>
            </w:r>
          </w:p>
          <w:p>
            <w:pPr>
              <w:spacing w:after="0" w:before="0" w:line="240"/>
            </w:pPr>
            <w:r>
              <w:rPr>
                <w:rFonts w:ascii="JetBrains Mono" w:cs="JetBrains Mono" w:eastAsia="JetBrains Mono" w:hAnsi="JetBrains Mono"/>
                <w:color w:val="EAF6FF"/>
                <w:sz w:val="16"/>
                <w:szCs w:val="16"/>
              </w:rPr>
              <w:t xml:space="preserve">   success  -&gt;  results + watermark recorded</w:t>
            </w:r>
          </w:p>
          <w:p>
            <w:pPr>
              <w:spacing w:after="0" w:before="0" w:line="240"/>
            </w:pPr>
            <w:r>
              <w:rPr>
                <w:rFonts w:ascii="JetBrains Mono" w:cs="JetBrains Mono" w:eastAsia="JetBrains Mono" w:hAnsi="JetBrains Mono"/>
                <w:color w:val="EAF6FF"/>
                <w:sz w:val="16"/>
                <w:szCs w:val="16"/>
              </w:rPr>
              <w:t xml:space="preserve">   failure  -&gt;  you are told, with the reason  -&gt;  retry / alert  (never a silent fail)</w:t>
            </w:r>
          </w:p>
        </w:tc>
      </w:tr>
    </w:tbl>
    <w:p>
      <w:pPr>
        <w:pStyle w:val="Heading1"/>
      </w:pPr>
      <w:r>
        <w:t xml:space="preserve">12 · Active Dynamic Widget &amp; Script Layer</w:t>
      </w:r>
    </w:p>
    <w:p>
      <w:pPr>
        <w:pBdr>
          <w:bottom w:val="single" w:color="00D4FF" w:sz="14" w:space="1"/>
        </w:pBdr>
        <w:spacing w:after="140" w:before="20"/>
      </w:pPr>
      <w:r>
        <w:t xml:space="preserve"/>
      </w:r>
    </w:p>
    <w:p>
      <w:pPr>
        <w:spacing w:after="140" w:before="0" w:line="274"/>
      </w:pPr>
      <w:r>
        <w:rPr>
          <w:color w:val="16202D"/>
          <w:sz w:val="20"/>
          <w:szCs w:val="20"/>
        </w:rPr>
        <w:t xml:space="preserve">Pages are composed from data, not hardcoded. A widget binds to a mapping-authored view through a small declarative script and carries its evidence handle — so everything on screen is traceable.</w:t>
      </w:r>
    </w:p>
    <w:p>
      <w:pPr>
        <w:pStyle w:val="Heading2"/>
      </w:pPr>
      <w:r>
        <w:t xml:space="preserve">12.1 The script layer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widget:</w:t>
            </w:r>
          </w:p>
          <w:p>
            <w:pPr>
              <w:spacing w:after="0" w:before="0" w:line="240"/>
            </w:pPr>
            <w:r>
              <w:rPr>
                <w:rFonts w:ascii="JetBrains Mono" w:cs="JetBrains Mono" w:eastAsia="JetBrains Mono" w:hAnsi="JetBrains Mono"/>
                <w:color w:val="EAF6FF"/>
                <w:sz w:val="16"/>
                <w:szCs w:val="16"/>
              </w:rPr>
              <w:t xml:space="preserve">  type: timeseries</w:t>
            </w:r>
          </w:p>
          <w:p>
            <w:pPr>
              <w:spacing w:after="0" w:before="0" w:line="240"/>
            </w:pPr>
            <w:r>
              <w:rPr>
                <w:rFonts w:ascii="JetBrains Mono" w:cs="JetBrains Mono" w:eastAsia="JetBrains Mono" w:hAnsi="JetBrains Mono"/>
                <w:color w:val="EAF6FF"/>
                <w:sz w:val="16"/>
                <w:szCs w:val="16"/>
              </w:rPr>
              <w:t xml:space="preserve">  title: "First-Pass Surface Yield — S355"</w:t>
            </w:r>
          </w:p>
          <w:p>
            <w:pPr>
              <w:spacing w:after="0" w:before="0" w:line="240"/>
            </w:pPr>
            <w:r>
              <w:rPr>
                <w:rFonts w:ascii="JetBrains Mono" w:cs="JetBrains Mono" w:eastAsia="JetBrains Mono" w:hAnsi="JetBrains Mono"/>
                <w:color w:val="EAF6FF"/>
                <w:sz w:val="16"/>
                <w:szCs w:val="16"/>
              </w:rPr>
              <w:t xml:space="preserve">  source_view: canon.kpi_first_pass_surface_yield</w:t>
            </w:r>
          </w:p>
          <w:p>
            <w:pPr>
              <w:spacing w:after="0" w:before="0" w:line="240"/>
            </w:pPr>
            <w:r>
              <w:rPr>
                <w:rFonts w:ascii="JetBrains Mono" w:cs="JetBrains Mono" w:eastAsia="JetBrains Mono" w:hAnsi="JetBrains Mono"/>
                <w:color w:val="EAF6FF"/>
                <w:sz w:val="16"/>
                <w:szCs w:val="16"/>
              </w:rPr>
              <w:t xml:space="preserve">  filter: { grade: "S355" }</w:t>
            </w:r>
          </w:p>
          <w:p>
            <w:pPr>
              <w:spacing w:after="0" w:before="0" w:line="240"/>
            </w:pPr>
            <w:r>
              <w:rPr>
                <w:rFonts w:ascii="JetBrains Mono" w:cs="JetBrains Mono" w:eastAsia="JetBrains Mono" w:hAnsi="JetBrains Mono"/>
                <w:color w:val="EAF6FF"/>
                <w:sz w:val="16"/>
                <w:szCs w:val="16"/>
              </w:rPr>
              <w:t xml:space="preserve">  x: day   y: first_pass_yield</w:t>
            </w:r>
          </w:p>
          <w:p>
            <w:pPr>
              <w:spacing w:after="0" w:before="0" w:line="240"/>
            </w:pPr>
            <w:r>
              <w:rPr>
                <w:rFonts w:ascii="JetBrains Mono" w:cs="JetBrains Mono" w:eastAsia="JetBrains Mono" w:hAnsi="JetBrains Mono"/>
                <w:color w:val="EAF6FF"/>
                <w:sz w:val="16"/>
                <w:szCs w:val="16"/>
              </w:rPr>
              <w:t xml:space="preserve">  evidence: kpi:FPSY            # provenance handle</w:t>
            </w:r>
          </w:p>
        </w:tc>
      </w:tr>
    </w:tbl>
    <w:p>
      <w:pPr>
        <w:pStyle w:val="Heading2"/>
      </w:pPr>
      <w:r>
        <w:t xml:space="preserve">12.2 The widget library &amp;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Widget type</w:t>
            </w:r>
          </w:p>
        </w:tc>
        <w:tc>
          <w:tcPr>
            <w:tcW w:type="dxa" w:w="6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Use</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Time-series / trend</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KPI and parameter trends over time</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Distribution / histogram</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spread of a measurement or defect position</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Pareto / ranking</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top defect codes, top downtime reasons</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Correlation / scatter</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two parameters, with the statistic shown</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Genealogy explorer</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walk the heat → coil thread (§5.1)</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Finding / suggestion card</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 evidence-linked result with its euro range</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KPI tile</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single number with target and trend</w:t>
            </w:r>
          </w:p>
        </w:tc>
      </w:tr>
    </w:tbl>
    <w:p>
      <w:pPr>
        <w:pStyle w:val="ListParagraph"/>
        <w:numPr>
          <w:ilvl w:val="0"/>
          <w:numId w:val="2"/>
        </w:numPr>
        <w:spacing w:after="70" w:line="268"/>
      </w:pPr>
      <w:r>
        <w:rPr>
          <w:color w:val="16202D"/>
          <w:sz w:val="20"/>
          <w:szCs w:val="20"/>
        </w:rPr>
        <w:t xml:space="preserve">Pick a type, bind a source view, set filters and axes, attach the evidence handle, preview, and save as a versioned widget — then compose widgets into dashboards and pages, all from the HMI.</w:t>
      </w:r>
    </w:p>
    <w:p>
      <w:pPr>
        <w:pStyle w:val="Heading2"/>
      </w:pPr>
      <w:r>
        <w:t xml:space="preserve">12.3 Dependency graph, safe deletion &amp; definition immutability</w:t>
      </w:r>
    </w:p>
    <w:p>
      <w:pPr>
        <w:pStyle w:val="ListParagraph"/>
        <w:numPr>
          <w:ilvl w:val="0"/>
          <w:numId w:val="2"/>
        </w:numPr>
        <w:spacing w:after="70" w:line="268"/>
      </w:pPr>
      <w:r>
        <w:rPr>
          <w:color w:val="16202D"/>
          <w:sz w:val="20"/>
          <w:szCs w:val="20"/>
        </w:rPr>
        <w:t xml:space="preserve">Every definition — view, widget, KPI, dashboard, report — has a dependency graph.</w:t>
      </w:r>
    </w:p>
    <w:p>
      <w:pPr>
        <w:pStyle w:val="ListParagraph"/>
        <w:numPr>
          <w:ilvl w:val="0"/>
          <w:numId w:val="2"/>
        </w:numPr>
        <w:spacing w:after="70" w:line="268"/>
      </w:pPr>
      <w:r>
        <w:rPr>
          <w:color w:val="16202D"/>
          <w:sz w:val="20"/>
          <w:szCs w:val="20"/>
        </w:rPr>
        <w:t xml:space="preserve">Before deletion, PPIQ shows exactly what references the item and blocks or cascades with confirmation; deletes are soft, with restore.</w:t>
      </w:r>
    </w:p>
    <w:p>
      <w:pPr>
        <w:pStyle w:val="ListParagraph"/>
        <w:numPr>
          <w:ilvl w:val="0"/>
          <w:numId w:val="2"/>
        </w:numPr>
        <w:spacing w:after="70" w:line="268"/>
      </w:pPr>
      <w:r>
        <w:rPr>
          <w:color w:val="16202D"/>
          <w:sz w:val="20"/>
          <w:szCs w:val="20"/>
        </w:rPr>
        <w:t xml:space="preserve">Published findings and reports keep an immutable snapshot of the definitions they used, so a result from three months ago reproduces even after the underlying view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Delete is never silent corruption</w:t>
            </w:r>
          </w:p>
          <w:p>
            <w:pPr>
              <w:spacing w:after="0" w:line="256"/>
            </w:pPr>
            <w:r>
              <w:rPr>
                <w:color w:val="16202D"/>
                <w:sz w:val="18"/>
                <w:szCs w:val="18"/>
              </w:rPr>
              <w:t xml:space="preserve">You see the dependents first, deletes are soft and restorable, and historical findings pin the exact definitions they were computed from — so reproducibility survives change (the reproducibility gate, §21/G16).</w:t>
            </w:r>
          </w:p>
        </w:tc>
      </w:tr>
    </w:tbl>
    <w:p>
      <w:pPr>
        <w:pStyle w:val="Heading2"/>
      </w:pPr>
      <w:r>
        <w:t xml:space="preserve">12.4 Human data-quality overlay</w:t>
      </w:r>
    </w:p>
    <w:p>
      <w:pPr>
        <w:spacing w:after="140" w:before="0" w:line="274"/>
      </w:pPr>
      <w:r>
        <w:rPr>
          <w:color w:val="16202D"/>
          <w:sz w:val="20"/>
          <w:szCs w:val="20"/>
        </w:rPr>
        <w:t xml:space="preserve">Engineers need to correct bad data — a false defect, a mislabeled grade, a sensor outage — without ever mutating the source of record.</w:t>
      </w:r>
    </w:p>
    <w:p>
      <w:pPr>
        <w:pStyle w:val="ListParagraph"/>
        <w:numPr>
          <w:ilvl w:val="0"/>
          <w:numId w:val="2"/>
        </w:numPr>
        <w:spacing w:after="70" w:line="268"/>
      </w:pPr>
      <w:r>
        <w:rPr>
          <w:color w:val="16202D"/>
          <w:sz w:val="20"/>
          <w:szCs w:val="20"/>
        </w:rPr>
        <w:t xml:space="preserve">An annotation or override is stored as an overlay in PPIQ, never written back to the source system (read-only is absolute, §2.1).</w:t>
      </w:r>
    </w:p>
    <w:p>
      <w:pPr>
        <w:pStyle w:val="ListParagraph"/>
        <w:numPr>
          <w:ilvl w:val="0"/>
          <w:numId w:val="2"/>
        </w:numPr>
        <w:spacing w:after="70" w:line="268"/>
      </w:pPr>
      <w:r>
        <w:rPr>
          <w:color w:val="16202D"/>
          <w:sz w:val="20"/>
          <w:szCs w:val="20"/>
        </w:rPr>
        <w:t xml:space="preserve">Overlays are versioned and audited (who, when, why); the corrected value is flagged and the original preserved.</w:t>
      </w:r>
    </w:p>
    <w:p>
      <w:pPr>
        <w:pStyle w:val="ListParagraph"/>
        <w:numPr>
          <w:ilvl w:val="0"/>
          <w:numId w:val="2"/>
        </w:numPr>
        <w:spacing w:after="70" w:line="268"/>
      </w:pPr>
      <w:r>
        <w:rPr>
          <w:color w:val="16202D"/>
          <w:sz w:val="20"/>
          <w:szCs w:val="20"/>
        </w:rPr>
        <w:t xml:space="preserve">Override rates feed the label-quality reporting of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Corrections are overlays — auditable, reversible, visible as corrections</w:t>
            </w:r>
          </w:p>
          <w:p>
            <w:pPr>
              <w:spacing w:after="0" w:line="256"/>
            </w:pPr>
            <w:r>
              <w:rPr>
                <w:color w:val="16202D"/>
                <w:sz w:val="18"/>
                <w:szCs w:val="18"/>
              </w:rPr>
              <w:t xml:space="preserve">Analysis improves while the customer's source stays untouched. This is how PPIQ honours read-only and still lets humans fix the data the machine got wrong.</w:t>
            </w:r>
          </w:p>
        </w:tc>
      </w:tr>
    </w:tbl>
    <w:p>
      <w:pPr>
        <w:pStyle w:val="Heading2"/>
      </w:pPr>
      <w:r>
        <w:t xml:space="preserve">12.B · In plain terms — for buyers, not engineers</w:t>
      </w:r>
    </w:p>
    <w:p>
      <w:pPr>
        <w:spacing w:after="120" w:before="0" w:line="274"/>
      </w:pPr>
      <w:r>
        <w:rPr>
          <w:i/>
          <w:iCs/>
          <w:color w:val="8EA7C1"/>
          <w:sz w:val="19"/>
          <w:szCs w:val="19"/>
        </w:rPr>
        <w:t xml:space="preserve">What you can build and change yourself from the screen, what is versioned, and when source code is needed.</w:t>
      </w:r>
    </w:p>
    <w:p>
      <w:pPr>
        <w:spacing w:after="60" w:before="80" w:line="274"/>
      </w:pPr>
      <w:r>
        <w:rPr>
          <w:b/>
          <w:bCs/>
          <w:color w:val="102A43"/>
          <w:sz w:val="18"/>
          <w:szCs w:val="18"/>
        </w:rPr>
        <w:t xml:space="preserve">▸ What is configurable from the HMI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Item</w:t>
            </w:r>
          </w:p>
        </w:tc>
        <w:tc>
          <w:tcPr>
            <w:tcW w:type="dxa" w:w="174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Add from HMI</w:t>
            </w:r>
          </w:p>
        </w:tc>
        <w:tc>
          <w:tcPr>
            <w:tcW w:type="dxa" w:w="174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Modify from HMI</w:t>
            </w:r>
          </w:p>
        </w:tc>
        <w:tc>
          <w:tcPr>
            <w:tcW w:type="dxa" w:w="174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Versioned</w:t>
            </w:r>
          </w:p>
        </w:tc>
        <w:tc>
          <w:tcPr>
            <w:tcW w:type="dxa" w:w="174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Source code?</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Page</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Dashboard</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Widget</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Chart type</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From library</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Only for a new chart type</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Widget query</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 (safe view / script)</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 for normal cases</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KPI</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Mapping view</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 unless very custom</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Job schedule</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Assistant tools</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 (by admin)</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Assistant model provider</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Admin / config</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Sometimes infrastructure</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New connector family</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N/A</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r>
    </w:tbl>
    <w:p>
      <w:pPr>
        <w:spacing w:after="60" w:before="80" w:line="274"/>
      </w:pPr>
      <w:r>
        <w:rPr>
          <w:b/>
          <w:bCs/>
          <w:color w:val="102A43"/>
          <w:sz w:val="18"/>
          <w:szCs w:val="18"/>
        </w:rPr>
        <w:t xml:space="preserve">▸ Configuration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Draft  -&gt;  Validate  -&gt;  Preview  -&gt;  Publish  -&gt;  Monitor  -&gt;  Rollback</w:t>
            </w:r>
          </w:p>
        </w:tc>
      </w:tr>
    </w:tbl>
    <w:p>
      <w:pPr>
        <w:spacing w:after="120" w:before="20" w:line="274"/>
      </w:pPr>
      <w:r>
        <w:rPr>
          <w:i/>
          <w:iCs/>
          <w:color w:val="8EA7C1"/>
          <w:sz w:val="16"/>
          <w:szCs w:val="16"/>
        </w:rPr>
        <w:t xml:space="preserve">Delete is never silent corruption: you see the dependents first, deletes are soft and restorable, and historical findings keep the definitions they used.</w:t>
      </w:r>
    </w:p>
    <w:p>
      <w:pPr>
        <w:pStyle w:val="Heading1"/>
      </w:pPr>
      <w:r>
        <w:t xml:space="preserve">13 · Hardening &amp; the Zero-Defect Quality Bar</w:t>
      </w:r>
    </w:p>
    <w:p>
      <w:pPr>
        <w:pBdr>
          <w:bottom w:val="single" w:color="00D4FF" w:sz="14" w:space="1"/>
        </w:pBdr>
        <w:spacing w:after="140" w:before="20"/>
      </w:pPr>
      <w:r>
        <w:t xml:space="preserve"/>
      </w:r>
    </w:p>
    <w:p>
      <w:pPr>
        <w:spacing w:after="140" w:before="0" w:line="274"/>
      </w:pPr>
      <w:r>
        <w:rPr>
          <w:color w:val="16202D"/>
          <w:sz w:val="20"/>
          <w:szCs w:val="20"/>
        </w:rPr>
        <w:t xml:space="preserve">"It won't embarrass me" is an engineering commitment, not a hope. A capability is done only when its workflow, its security boundary and its proof test are all green. v5 extends the bar to the new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Dimension</w:t>
            </w:r>
          </w:p>
        </w:tc>
        <w:tc>
          <w:tcPr>
            <w:tcW w:type="dxa" w:w="60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The bar</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Functional</w:t>
            </w:r>
          </w:p>
        </w:tc>
        <w:tc>
          <w:tcPr>
            <w:tcW w:type="dxa" w:w="60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Every documented capability works end to end; no dead buttons.</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State honesty</w:t>
            </w:r>
          </w:p>
        </w:tc>
        <w:tc>
          <w:tcPr>
            <w:tcW w:type="dxa" w:w="60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Empty / loading / error / partial states are specific and truthful (§8.3).</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Performance</w:t>
            </w:r>
          </w:p>
        </w:tc>
        <w:tc>
          <w:tcPr>
            <w:tcW w:type="dxa" w:w="60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Meets the budgets of §8.5; heavy work is a tracked job.</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Data integrity</w:t>
            </w:r>
          </w:p>
        </w:tc>
        <w:tc>
          <w:tcPr>
            <w:tcW w:type="dxa" w:w="60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Joins validated; coverage shown; nothing fails silently (§4.9, §5.4).</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Identity &amp; auth (new)</w:t>
            </w:r>
          </w:p>
        </w:tc>
        <w:tc>
          <w:tcPr>
            <w:tcW w:type="dxa" w:w="60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Argon2id, MFA, in-memory tokens and session policy verified (§10.2).</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Data boundary &amp; model governance (new)</w:t>
            </w:r>
          </w:p>
        </w:tc>
        <w:tc>
          <w:tcPr>
            <w:tcW w:type="dxa" w:w="60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Egress contract enforced; eval harness green; model version pinned (§7.8-7.9).</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Licensing (new)</w:t>
            </w:r>
          </w:p>
        </w:tc>
        <w:tc>
          <w:tcPr>
            <w:tcW w:type="dxa" w:w="60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Signed-licence verification, expiration and anti-tamper tested (§9.4).</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Accessibility (new)</w:t>
            </w:r>
          </w:p>
        </w:tc>
        <w:tc>
          <w:tcPr>
            <w:tcW w:type="dxa" w:w="60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WCAG 2.1 AA checks pass; contrast audited (§8.6).</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Internationalization (new)</w:t>
            </w:r>
          </w:p>
        </w:tc>
        <w:tc>
          <w:tcPr>
            <w:tcW w:type="dxa" w:w="60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 / DE / AR including RTL render correctly; units and timezones correct (§8.7).</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Reproducibility &amp; coverage (new)</w:t>
            </w:r>
          </w:p>
        </w:tc>
        <w:tc>
          <w:tcPr>
            <w:tcW w:type="dxa" w:w="60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Findings reproduce from pinned definitions; every analysis states its population (§12.3, §5.4).</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Schema-drift (new)</w:t>
            </w:r>
          </w:p>
        </w:tc>
        <w:tc>
          <w:tcPr>
            <w:tcW w:type="dxa" w:w="60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Drift detected and surfaced; dependent imports pause rather than corrupt (§4.9).</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Security (new)</w:t>
            </w:r>
          </w:p>
        </w:tc>
        <w:tc>
          <w:tcPr>
            <w:tcW w:type="dxa" w:w="60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SAST / DAST clean; dependencies scanned; tenant isolation tested (§18).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No 85% on a gate item</w:t>
            </w:r>
          </w:p>
          <w:p>
            <w:pPr>
              <w:spacing w:after="0" w:line="256"/>
            </w:pPr>
            <w:r>
              <w:rPr>
                <w:color w:val="16202D"/>
                <w:sz w:val="18"/>
                <w:szCs w:val="18"/>
              </w:rPr>
              <w:t xml:space="preserve">A capability that is "mostly working" is not done. Either the workflow, the security boundary and the proof test are all green, or the item is open. This discipline is exactly what lets a founder click anything in a live, unscripted demo without fear.</w:t>
            </w:r>
          </w:p>
        </w:tc>
      </w:tr>
    </w:tbl>
    <w:p>
      <w:pPr>
        <w:pStyle w:val="Heading2"/>
      </w:pPr>
      <w:r>
        <w:t xml:space="preserve">13.B · In plain terms — for buyers, not engineers</w:t>
      </w:r>
    </w:p>
    <w:p>
      <w:pPr>
        <w:spacing w:after="120" w:before="0" w:line="274"/>
      </w:pPr>
      <w:r>
        <w:rPr>
          <w:i/>
          <w:iCs/>
          <w:color w:val="8EA7C1"/>
          <w:sz w:val="19"/>
          <w:szCs w:val="19"/>
        </w:rPr>
        <w:t xml:space="preserve">What the zero-defect quality bar means when you actually click around in front of your boss or your customer.</w:t>
      </w:r>
    </w:p>
    <w:p>
      <w:pPr>
        <w:spacing w:after="60" w:before="80" w:line="274"/>
      </w:pPr>
      <w:r>
        <w:rPr>
          <w:b/>
          <w:bCs/>
          <w:color w:val="102A43"/>
          <w:sz w:val="18"/>
          <w:szCs w:val="18"/>
        </w:rPr>
        <w:t xml:space="preserve">▸ What "no 85%" means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Promise</w:t>
            </w:r>
          </w:p>
        </w:tc>
        <w:tc>
          <w:tcPr>
            <w:tcW w:type="dxa" w:w="6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you experience</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 dead buttons</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Everything you can click does something</w:t>
            </w:r>
          </w:p>
        </w:tc>
      </w:tr>
      <w:tr>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 "could not load"</w:t>
            </w:r>
          </w:p>
        </w:tc>
        <w:tc>
          <w:tcPr>
            <w:tcW w:type="dxa" w:w="6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Slow operations show progress, not errors</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Honest empty states</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new dashboard tells you what to do, not a blank box</w:t>
            </w:r>
          </w:p>
        </w:tc>
      </w:tr>
      <w:tr>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 silent failure</w:t>
            </w:r>
          </w:p>
        </w:tc>
        <w:tc>
          <w:tcPr>
            <w:tcW w:type="dxa" w:w="6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If a job fails you are told — with why and what to do</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 fake numbers</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Every figure is cited; the assistant refuses rather than guess</w:t>
            </w:r>
          </w:p>
        </w:tc>
      </w:tr>
    </w:tbl>
    <w:p>
      <w:pPr>
        <w:pStyle w:val="Heading1"/>
      </w:pPr>
      <w:r>
        <w:t xml:space="preserve">14 · Demo Doctrine &amp; Target Demo Dataset</w:t>
      </w:r>
    </w:p>
    <w:p>
      <w:pPr>
        <w:pBdr>
          <w:bottom w:val="single" w:color="00D4FF" w:sz="14" w:space="1"/>
        </w:pBdr>
        <w:spacing w:after="140" w:before="20"/>
      </w:pPr>
      <w:r>
        <w:t xml:space="preserve"/>
      </w:r>
    </w:p>
    <w:p>
      <w:pPr>
        <w:pStyle w:val="Heading2"/>
      </w:pPr>
      <w:r>
        <w:t xml:space="preserve">14.1 The golden rules</w:t>
      </w:r>
    </w:p>
    <w:p>
      <w:pPr>
        <w:pStyle w:val="ListParagraph"/>
        <w:numPr>
          <w:ilvl w:val="0"/>
          <w:numId w:val="2"/>
        </w:numPr>
        <w:spacing w:after="70" w:line="268"/>
      </w:pPr>
      <w:r>
        <w:rPr>
          <w:color w:val="16202D"/>
          <w:sz w:val="20"/>
          <w:szCs w:val="20"/>
        </w:rPr>
        <w:t xml:space="preserve">The demo is built entirely through the HMI — no hardcoded screens, no separate demo app.</w:t>
      </w:r>
    </w:p>
    <w:p>
      <w:pPr>
        <w:pStyle w:val="ListParagraph"/>
        <w:numPr>
          <w:ilvl w:val="0"/>
          <w:numId w:val="2"/>
        </w:numPr>
        <w:spacing w:after="70" w:line="268"/>
      </w:pPr>
      <w:r>
        <w:rPr>
          <w:color w:val="16202D"/>
          <w:sz w:val="20"/>
          <w:szCs w:val="20"/>
        </w:rPr>
        <w:t xml:space="preserve">Seeded rows are tagged origin = seed and are never presented as live computation.</w:t>
      </w:r>
    </w:p>
    <w:p>
      <w:pPr>
        <w:pStyle w:val="ListParagraph"/>
        <w:numPr>
          <w:ilvl w:val="0"/>
          <w:numId w:val="2"/>
        </w:numPr>
        <w:spacing w:after="70" w:line="268"/>
      </w:pPr>
      <w:r>
        <w:rPr>
          <w:color w:val="16202D"/>
          <w:sz w:val="20"/>
          <w:szCs w:val="20"/>
        </w:rPr>
        <w:t xml:space="preserve">Learning jobs recompute on demo data, so the demo proves the engine, not a fixture.</w:t>
      </w:r>
    </w:p>
    <w:p>
      <w:pPr>
        <w:pStyle w:val="ListParagraph"/>
        <w:numPr>
          <w:ilvl w:val="0"/>
          <w:numId w:val="2"/>
        </w:numPr>
        <w:spacing w:after="70" w:line="268"/>
      </w:pPr>
      <w:r>
        <w:rPr>
          <w:color w:val="16202D"/>
          <w:sz w:val="20"/>
          <w:szCs w:val="20"/>
        </w:rPr>
        <w:t xml:space="preserve">Everything is clickable and traceable — the same quality bar as production (§13).</w:t>
      </w:r>
    </w:p>
    <w:p>
      <w:pPr>
        <w:pStyle w:val="Heading2"/>
      </w:pPr>
      <w:r>
        <w:t xml:space="preserve">14.2 The demo topology</w:t>
      </w:r>
    </w:p>
    <w:p>
      <w:pPr>
        <w:spacing w:after="140" w:before="0" w:line="274"/>
      </w:pPr>
      <w:r>
        <w:rPr>
          <w:color w:val="16202D"/>
          <w:sz w:val="20"/>
          <w:szCs w:val="20"/>
        </w:rPr>
        <w:t xml:space="preserve">A realistic flat-steel works: EAF melting → ladle furnace → continuous caster → tundish/sequence → hot strip mill → skin-pass → finishing (pickling, galvanizing), with cold and hot coil transport, a storage/strip line, the yard and the roll shop — roughly thirteen areas, enough heterogeneity to make mapping and genealogy non-trivial.</w:t>
      </w:r>
    </w:p>
    <w:p>
      <w:pPr>
        <w:pStyle w:val="Heading2"/>
      </w:pPr>
      <w:r>
        <w:t xml:space="preserve">14.3 Eight heterogeneous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Source</w:t>
            </w:r>
          </w:p>
        </w:tc>
        <w:tc>
          <w:tcPr>
            <w:tcW w:type="dxa" w:w="3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System</w:t>
            </w:r>
          </w:p>
        </w:tc>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Format</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Continuous caster</w:t>
            </w:r>
          </w:p>
        </w:tc>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Process database</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Oracle</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Hot strip mill</w:t>
            </w:r>
          </w:p>
        </w:tc>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Process database</w:t>
            </w:r>
          </w:p>
        </w:tc>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Oracle / MSSQL</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Surface inspection</w:t>
            </w:r>
          </w:p>
        </w:tc>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Parsytec device DB</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MySQL</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Lab / chemistry</w:t>
            </w:r>
          </w:p>
        </w:tc>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LIMS</w:t>
            </w:r>
          </w:p>
        </w:tc>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MSSQL</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Downtime log</w:t>
            </w:r>
          </w:p>
        </w:tc>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Operations sheet</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Excel</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Maintenance</w:t>
            </w:r>
          </w:p>
        </w:tc>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CMMS export</w:t>
            </w:r>
          </w:p>
        </w:tc>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CSV</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Energy / utilities</w:t>
            </w:r>
          </w:p>
        </w:tc>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Historian / OPC-UA</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time-series</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Yard / logistics</w:t>
            </w:r>
          </w:p>
        </w:tc>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Tracking export</w:t>
            </w:r>
          </w:p>
        </w:tc>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CSV</w:t>
            </w:r>
          </w:p>
        </w:tc>
      </w:tr>
    </w:tbl>
    <w:p>
      <w:pPr>
        <w:pStyle w:val="Heading2"/>
      </w:pPr>
      <w:r>
        <w:t xml:space="preserve">14.4 Scale &amp; deliberate imperfection</w:t>
      </w:r>
    </w:p>
    <w:p>
      <w:pPr>
        <w:spacing w:after="140" w:before="0" w:line="274"/>
      </w:pPr>
      <w:r>
        <w:rPr>
          <w:color w:val="16202D"/>
          <w:sz w:val="20"/>
          <w:szCs w:val="20"/>
        </w:rPr>
        <w:t xml:space="preserve">Roughly 630 heats and 5,600 coils per month, with realistic missingness, noisy inspection labels and transition (mixed) heats. The imperfection is the point: it proves the engine, the coverage transparency (§5.4), the label-quality handling (§5.5) and the blended-provenance model (§5.3) on data that looks like a real plant's.</w:t>
      </w:r>
    </w:p>
    <w:p>
      <w:pPr>
        <w:pStyle w:val="Heading2"/>
      </w:pPr>
      <w:r>
        <w:t xml:space="preserve">14.5 From demo to proof — the Proof-of-Value pilot</w:t>
      </w:r>
    </w:p>
    <w:p>
      <w:pPr>
        <w:spacing w:after="140" w:before="0" w:line="274"/>
      </w:pPr>
      <w:r>
        <w:rPr>
          <w:color w:val="16202D"/>
          <w:sz w:val="20"/>
          <w:szCs w:val="20"/>
        </w:rPr>
        <w:t xml:space="preserve">The demo proves the engine on prepared data. The honest answer to "prove it on MY data" is a scoped pilot on the customer's own data, with success criteria agreed in advance.</w:t>
      </w:r>
    </w:p>
    <w:p>
      <w:pPr>
        <w:pStyle w:val="ListParagraph"/>
        <w:numPr>
          <w:ilvl w:val="0"/>
          <w:numId w:val="2"/>
        </w:numPr>
        <w:spacing w:after="70" w:line="268"/>
      </w:pPr>
      <w:r>
        <w:rPr>
          <w:color w:val="16202D"/>
          <w:sz w:val="20"/>
          <w:szCs w:val="20"/>
        </w:rPr>
        <w:t xml:space="preserve">A time-boxed pilot connects a slice of the customer's real (optionally anonymized) data through the Edge Collector.</w:t>
      </w:r>
    </w:p>
    <w:p>
      <w:pPr>
        <w:pStyle w:val="ListParagraph"/>
        <w:numPr>
          <w:ilvl w:val="0"/>
          <w:numId w:val="2"/>
        </w:numPr>
        <w:spacing w:after="70" w:line="268"/>
      </w:pPr>
      <w:r>
        <w:rPr>
          <w:color w:val="16202D"/>
          <w:sz w:val="20"/>
          <w:szCs w:val="20"/>
        </w:rPr>
        <w:t xml:space="preserve">Success criteria are agreed up front — for example: reproduce a known issue, surface at least one credible suspected contributor with a euro range, and match a KPI to the MES within tolerance.</w:t>
      </w:r>
    </w:p>
    <w:p>
      <w:pPr>
        <w:pStyle w:val="ListParagraph"/>
        <w:numPr>
          <w:ilvl w:val="0"/>
          <w:numId w:val="2"/>
        </w:numPr>
        <w:spacing w:after="70" w:line="268"/>
      </w:pPr>
      <w:r>
        <w:rPr>
          <w:color w:val="16202D"/>
          <w:sz w:val="20"/>
          <w:szCs w:val="20"/>
        </w:rPr>
        <w:t xml:space="preserve">The pilot runs the same engines as the demo — no special-casing — and ends with a findings report and a reconciled business case (§19.3).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demo earns the meeting; the pilot earns the contract</w:t>
            </w:r>
          </w:p>
          <w:p>
            <w:pPr>
              <w:spacing w:after="0" w:line="256"/>
            </w:pPr>
            <w:r>
              <w:rPr>
                <w:color w:val="16202D"/>
                <w:sz w:val="18"/>
                <w:szCs w:val="18"/>
              </w:rPr>
              <w:t xml:space="preserve">A success-criteria-driven pilot on the customer's own data, run by the same deterministic engines as the demo, converts "interesting" into "proven" without ever over-claiming what synthetic data can show.</w:t>
            </w:r>
          </w:p>
        </w:tc>
      </w:tr>
    </w:tbl>
    <w:p>
      <w:pPr>
        <w:pStyle w:val="Heading2"/>
      </w:pPr>
      <w:r>
        <w:t xml:space="preserve">14.B · In plain terms — for buyers, not engineers</w:t>
      </w:r>
    </w:p>
    <w:p>
      <w:pPr>
        <w:spacing w:after="120" w:before="0" w:line="274"/>
      </w:pPr>
      <w:r>
        <w:rPr>
          <w:i/>
          <w:iCs/>
          <w:color w:val="8EA7C1"/>
          <w:sz w:val="19"/>
          <w:szCs w:val="19"/>
        </w:rPr>
        <w:t xml:space="preserve">How we move from a demo to proof on your own data, with criteria agreed before we start.</w:t>
      </w:r>
    </w:p>
    <w:p>
      <w:pPr>
        <w:spacing w:after="60" w:before="80" w:line="274"/>
      </w:pPr>
      <w:r>
        <w:rPr>
          <w:b/>
          <w:bCs/>
          <w:color w:val="102A43"/>
          <w:sz w:val="18"/>
          <w:szCs w:val="18"/>
        </w:rPr>
        <w:t xml:space="preserve">▸ Demo → pilot →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Demo on prepared data  -&gt;  scoped Proof-of-Value pilot on YOUR data (via Edge Collector)</w:t>
            </w:r>
          </w:p>
          <w:p>
            <w:pPr>
              <w:spacing w:after="0" w:before="0" w:line="240"/>
            </w:pPr>
            <w:r>
              <w:rPr>
                <w:rFonts w:ascii="JetBrains Mono" w:cs="JetBrains Mono" w:eastAsia="JetBrains Mono" w:hAnsi="JetBrains Mono"/>
                <w:color w:val="EAF6FF"/>
                <w:sz w:val="16"/>
                <w:szCs w:val="16"/>
              </w:rPr>
              <w:t xml:space="preserve">   -&gt;  success criteria agreed up front  -&gt;  findings report + reconciled business case</w:t>
            </w:r>
          </w:p>
          <w:p>
            <w:pPr>
              <w:spacing w:after="0" w:before="0" w:line="240"/>
            </w:pPr>
            <w:r>
              <w:rPr>
                <w:rFonts w:ascii="JetBrains Mono" w:cs="JetBrains Mono" w:eastAsia="JetBrains Mono" w:hAnsi="JetBrains Mono"/>
                <w:color w:val="EAF6FF"/>
                <w:sz w:val="16"/>
                <w:szCs w:val="16"/>
              </w:rPr>
              <w:t xml:space="preserve">(the pilot runs the same engines as the demo — no special-casing)</w:t>
            </w:r>
          </w:p>
        </w:tc>
      </w:tr>
    </w:tbl>
    <w:p>
      <w:pPr>
        <w:spacing w:after="60" w:before="80" w:line="274"/>
      </w:pPr>
      <w:r>
        <w:rPr>
          <w:b/>
          <w:bCs/>
          <w:color w:val="102A43"/>
          <w:sz w:val="18"/>
          <w:szCs w:val="18"/>
        </w:rPr>
        <w:t xml:space="preserve">▸ Example pilot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Criterion</w:t>
            </w:r>
          </w:p>
        </w:tc>
        <w:tc>
          <w:tcPr>
            <w:tcW w:type="dxa" w:w="6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Example</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Reproduce a known issue</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Re-find an edge-crack pattern you already know</w:t>
            </w:r>
          </w:p>
        </w:tc>
      </w:tr>
      <w:tr>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Surface a credible driver</w:t>
            </w:r>
          </w:p>
        </w:tc>
        <w:tc>
          <w:tcPr>
            <w:tcW w:type="dxa" w:w="6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One suspected contributor with a euro range</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Match a KPI to your MES</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First-pass yield within an agreed tolerance</w:t>
            </w:r>
          </w:p>
        </w:tc>
      </w:tr>
      <w:tr>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Run on your data</w:t>
            </w:r>
          </w:p>
        </w:tc>
        <w:tc>
          <w:tcPr>
            <w:tcW w:type="dxa" w:w="6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Through the Edge Collector, optionally anonymized</w:t>
            </w:r>
          </w:p>
        </w:tc>
      </w:tr>
    </w:tbl>
    <w:p>
      <w:pPr>
        <w:pStyle w:val="Heading1"/>
      </w:pPr>
      <w:r>
        <w:t xml:space="preserve">15 · Website, Brand &amp; Commercial Product Architecture</w:t>
      </w:r>
    </w:p>
    <w:p>
      <w:pPr>
        <w:pBdr>
          <w:bottom w:val="single" w:color="00D4FF" w:sz="14" w:space="1"/>
        </w:pBdr>
        <w:spacing w:after="140" w:before="20"/>
      </w:pPr>
      <w:r>
        <w:t xml:space="preserve"/>
      </w:r>
    </w:p>
    <w:p>
      <w:pPr>
        <w:spacing w:after="140" w:before="0" w:line="274"/>
      </w:pPr>
      <w:r>
        <w:rPr>
          <w:color w:val="16202D"/>
          <w:sz w:val="20"/>
          <w:szCs w:val="20"/>
        </w:rPr>
        <w:t xml:space="preserve">The brand carries the same promise as the product: high-tech, precise, transparent. The Dark Industrial Command Center system is the visual signature; full tokens are in Appendix C.</w:t>
      </w:r>
    </w:p>
    <w:p>
      <w:pPr>
        <w:pStyle w:val="Heading2"/>
      </w:pPr>
      <w:r>
        <w:t xml:space="preserve">15.1 Brand &amp; design system</w:t>
      </w:r>
    </w:p>
    <w:p>
      <w:pPr>
        <w:pStyle w:val="ListParagraph"/>
        <w:numPr>
          <w:ilvl w:val="0"/>
          <w:numId w:val="2"/>
        </w:numPr>
        <w:spacing w:after="70" w:line="268"/>
      </w:pPr>
      <w:r>
        <w:rPr>
          <w:b/>
          <w:bCs/>
          <w:color w:val="16202D"/>
          <w:sz w:val="20"/>
          <w:szCs w:val="20"/>
        </w:rPr>
        <w:t xml:space="preserve">Voice: </w:t>
      </w:r>
      <w:r>
        <w:rPr>
          <w:color w:val="16202D"/>
          <w:sz w:val="20"/>
          <w:szCs w:val="20"/>
        </w:rPr>
        <w:t xml:space="preserve">confident and exact, never hype. "Suspected contributor, here is the evidence" — the honesty contract (§2) is also the brand voice.</w:t>
      </w:r>
    </w:p>
    <w:p>
      <w:pPr>
        <w:pStyle w:val="ListParagraph"/>
        <w:numPr>
          <w:ilvl w:val="0"/>
          <w:numId w:val="2"/>
        </w:numPr>
        <w:spacing w:after="70" w:line="268"/>
      </w:pPr>
      <w:r>
        <w:rPr>
          <w:b/>
          <w:bCs/>
          <w:color w:val="16202D"/>
          <w:sz w:val="20"/>
          <w:szCs w:val="20"/>
        </w:rPr>
        <w:t xml:space="preserve">Palette: </w:t>
      </w:r>
      <w:r>
        <w:rPr>
          <w:color w:val="16202D"/>
          <w:sz w:val="20"/>
          <w:szCs w:val="20"/>
        </w:rPr>
        <w:t xml:space="preserve">Deep Navy, Panel Navy and Industrial Blue surfaces; Electric Cyan and Electric Blue accents; Cyan-Green, Amber and Hot-Red for status. Near-White text on dark; Light Grey for reports.</w:t>
      </w:r>
    </w:p>
    <w:p>
      <w:pPr>
        <w:pStyle w:val="ListParagraph"/>
        <w:numPr>
          <w:ilvl w:val="0"/>
          <w:numId w:val="2"/>
        </w:numPr>
        <w:spacing w:after="70" w:line="268"/>
      </w:pPr>
      <w:r>
        <w:rPr>
          <w:b/>
          <w:bCs/>
          <w:color w:val="16202D"/>
          <w:sz w:val="20"/>
          <w:szCs w:val="20"/>
        </w:rPr>
        <w:t xml:space="preserve">Typography: </w:t>
      </w:r>
      <w:r>
        <w:rPr>
          <w:color w:val="16202D"/>
          <w:sz w:val="20"/>
          <w:szCs w:val="20"/>
        </w:rPr>
        <w:t xml:space="preserve">Inter for UI and prose; JetBrains Mono for code, SQL and data. Consistent components, flat surfaces, generous spacing.</w:t>
      </w:r>
    </w:p>
    <w:p>
      <w:pPr>
        <w:pStyle w:val="Heading2"/>
      </w:pPr>
      <w:r>
        <w:t xml:space="preserve">15.2 In-app implementation</w:t>
      </w:r>
    </w:p>
    <w:p>
      <w:pPr>
        <w:pStyle w:val="ListParagraph"/>
        <w:numPr>
          <w:ilvl w:val="0"/>
          <w:numId w:val="2"/>
        </w:numPr>
        <w:spacing w:after="70" w:line="268"/>
      </w:pPr>
      <w:r>
        <w:rPr>
          <w:color w:val="16202D"/>
          <w:sz w:val="20"/>
          <w:szCs w:val="20"/>
        </w:rPr>
        <w:t xml:space="preserve">The application uses the dark theme by default; the light high-contrast theme and all printed reports use the Light Grey surface (§8.6, Appendix C).</w:t>
      </w:r>
    </w:p>
    <w:p>
      <w:pPr>
        <w:pStyle w:val="ListParagraph"/>
        <w:numPr>
          <w:ilvl w:val="0"/>
          <w:numId w:val="2"/>
        </w:numPr>
        <w:spacing w:after="70" w:line="268"/>
      </w:pPr>
      <w:r>
        <w:rPr>
          <w:color w:val="16202D"/>
          <w:sz w:val="20"/>
          <w:szCs w:val="20"/>
        </w:rPr>
        <w:t xml:space="preserve">One design system, shared components, consistent states — the polish that makes the product feel finished.</w:t>
      </w:r>
    </w:p>
    <w:p>
      <w:pPr>
        <w:pStyle w:val="Heading2"/>
      </w:pPr>
      <w:r>
        <w:t xml:space="preserve">15.3 The product ecosystem</w:t>
      </w:r>
    </w:p>
    <w:p>
      <w:pPr>
        <w:spacing w:after="140" w:before="0" w:line="274"/>
      </w:pPr>
      <w:r>
        <w:rPr>
          <w:color w:val="16202D"/>
          <w:sz w:val="20"/>
          <w:szCs w:val="20"/>
        </w:rPr>
        <w:t xml:space="preserve">PlantProcess IQ is the core read-only intelligence platform. The website presents it as a family: the core plus optional domain packs that reuse the same engines and data model, with the assistant available across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Offering</w:t>
            </w:r>
          </w:p>
        </w:tc>
        <w:tc>
          <w:tcPr>
            <w:tcW w:type="dxa" w:w="6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it adds</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PlantProcess IQ (core)</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Connectivity, mapping, dashboards, simple &amp; advanced analysis, suggestions, assistant.</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Quality pack</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Deeper defect analytics, inspection-coverage and label-quality tooling (§5.5).</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Reliability &amp; Downtime pack</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Downtime modelling, production-impact costing and maintenance correlation (§5.2).</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Energy pack</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Energy / utilities KPIs and consumption-to-quality correlation.</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Compliance &amp; Audit pack</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Audit trails, e-signatures and data-integrity controls for regulated plants (§18.5).</w:t>
            </w:r>
          </w:p>
        </w:tc>
      </w:tr>
    </w:tbl>
    <w:p>
      <w:pPr>
        <w:pStyle w:val="Heading2"/>
      </w:pPr>
      <w:r>
        <w:t xml:space="preserve">15.B · In plain terms — for buyers, not engineers</w:t>
      </w:r>
    </w:p>
    <w:p>
      <w:pPr>
        <w:spacing w:after="120" w:before="0" w:line="274"/>
      </w:pPr>
      <w:r>
        <w:rPr>
          <w:i/>
          <w:iCs/>
          <w:color w:val="8EA7C1"/>
          <w:sz w:val="19"/>
          <w:szCs w:val="19"/>
        </w:rPr>
        <w:t xml:space="preserve">The core product and the optional packs you can add as your needs grow.</w:t>
      </w:r>
    </w:p>
    <w:p>
      <w:pPr>
        <w:spacing w:after="60" w:before="80" w:line="274"/>
      </w:pPr>
      <w:r>
        <w:rPr>
          <w:b/>
          <w:bCs/>
          <w:color w:val="102A43"/>
          <w:sz w:val="18"/>
          <w:szCs w:val="18"/>
        </w:rPr>
        <w:t xml:space="preserve">▸ Product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Offering</w:t>
            </w:r>
          </w:p>
        </w:tc>
        <w:tc>
          <w:tcPr>
            <w:tcW w:type="dxa" w:w="6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it adds</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PlantProcess IQ (core)</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Connectivity, mapping, dashboards, simple &amp; advanced analysis, suggestions, assistant</w:t>
            </w:r>
          </w:p>
        </w:tc>
      </w:tr>
      <w:tr>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Quality pack</w:t>
            </w:r>
          </w:p>
        </w:tc>
        <w:tc>
          <w:tcPr>
            <w:tcW w:type="dxa" w:w="6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Deeper defect analytics, inspection-coverage and label-quality tooling</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Reliability &amp; Downtime pack</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Downtime modelling, production-impact costing, maintenance correlation</w:t>
            </w:r>
          </w:p>
        </w:tc>
      </w:tr>
      <w:tr>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Energy pack</w:t>
            </w:r>
          </w:p>
        </w:tc>
        <w:tc>
          <w:tcPr>
            <w:tcW w:type="dxa" w:w="6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Energy / utilities KPIs and consumption-to-quality correlation</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Compliance &amp; Audit pack</w:t>
            </w:r>
          </w:p>
        </w:tc>
        <w:tc>
          <w:tcPr>
            <w:tcW w:type="dxa" w:w="6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Audit trails, e-signatures and data-integrity controls for regulated plants</w:t>
            </w:r>
          </w:p>
        </w:tc>
      </w:tr>
    </w:tbl>
    <w:p>
      <w:pPr>
        <w:pStyle w:val="Heading1"/>
      </w:pPr>
      <w:r>
        <w:t xml:space="preserve">16 · Deployment, Operations, SLA &amp; Support</w:t>
      </w:r>
    </w:p>
    <w:p>
      <w:pPr>
        <w:pBdr>
          <w:bottom w:val="single" w:color="00D4FF" w:sz="14" w:space="1"/>
        </w:pBdr>
        <w:spacing w:after="140" w:before="20"/>
      </w:pPr>
      <w:r>
        <w:t xml:space="preserve"/>
      </w:r>
    </w:p>
    <w:p>
      <w:pPr>
        <w:spacing w:after="140" w:before="0" w:line="274"/>
      </w:pPr>
      <w:r>
        <w:rPr>
          <w:color w:val="16202D"/>
          <w:sz w:val="20"/>
          <w:szCs w:val="20"/>
        </w:rPr>
        <w:t xml:space="preserve">One codebase, container-based, runs in four shapes. The differences are isolation strength and who operates it — never a fork of the product.</w:t>
      </w:r>
    </w:p>
    <w:p>
      <w:pPr>
        <w:pStyle w:val="Heading2"/>
      </w:pPr>
      <w:r>
        <w:t xml:space="preserve">16.1 Deployment topology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1500"/>
        <w:gridCol w:w="2760"/>
      </w:tblGrid>
      <w:tr>
        <w:trPr>
          <w:tblHeader/>
        </w:trPr>
        <w:tc>
          <w:tcPr>
            <w:tcW w:type="dxa" w:w="2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Topology</w:t>
            </w:r>
          </w:p>
        </w:tc>
        <w:tc>
          <w:tcPr>
            <w:tcW w:type="dxa" w:w="28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Isolation</w:t>
            </w:r>
          </w:p>
        </w:tc>
        <w:tc>
          <w:tcPr>
            <w:tcW w:type="dxa" w:w="15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Who hosts</w:t>
            </w:r>
          </w:p>
        </w:tc>
        <w:tc>
          <w:tcPr>
            <w:tcW w:type="dxa" w:w="2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Best for</w:t>
            </w:r>
          </w:p>
        </w:tc>
      </w:tr>
      <w:tr>
        <w:tc>
          <w:tcPr>
            <w:tcW w:type="dxa" w:w="2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SOU-hosted SaaS (EU)</w:t>
            </w:r>
          </w:p>
        </w:tc>
        <w:tc>
          <w:tcPr>
            <w:tcW w:type="dxa" w:w="2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Logical (TenantId + RLS)</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w:t>
            </w:r>
          </w:p>
        </w:tc>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Fastest start, lowest ops burden</w:t>
            </w:r>
          </w:p>
        </w:tc>
      </w:tr>
      <w:tr>
        <w:tc>
          <w:tcPr>
            <w:tcW w:type="dxa" w:w="2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Customer cloud</w:t>
            </w:r>
          </w:p>
        </w:tc>
        <w:tc>
          <w:tcPr>
            <w:tcW w:type="dxa" w:w="28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Single-tenant in customer's Azure / AWS / GCP</w:t>
            </w:r>
          </w:p>
        </w:tc>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Customer</w:t>
            </w:r>
          </w:p>
        </w:tc>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Cloud-mandate buyers</w:t>
            </w:r>
          </w:p>
        </w:tc>
      </w:tr>
      <w:tr>
        <w:tc>
          <w:tcPr>
            <w:tcW w:type="dxa" w:w="2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On-prem</w:t>
            </w:r>
          </w:p>
        </w:tc>
        <w:tc>
          <w:tcPr>
            <w:tcW w:type="dxa" w:w="2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Single-tenant in customer datacentre</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Customer</w:t>
            </w:r>
          </w:p>
        </w:tc>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Data-residency / IT-control needs</w:t>
            </w:r>
          </w:p>
        </w:tc>
      </w:tr>
      <w:tr>
        <w:tc>
          <w:tcPr>
            <w:tcW w:type="dxa" w:w="2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Air-gapped on-prem</w:t>
            </w:r>
          </w:p>
        </w:tc>
        <w:tc>
          <w:tcPr>
            <w:tcW w:type="dxa" w:w="28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Single-tenant, no internet</w:t>
            </w:r>
          </w:p>
        </w:tc>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Customer</w:t>
            </w:r>
          </w:p>
        </w:tc>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High-security plants</w:t>
            </w:r>
          </w:p>
        </w:tc>
      </w:tr>
    </w:tbl>
    <w:p>
      <w:pPr>
        <w:pStyle w:val="Heading2"/>
      </w:pPr>
      <w:r>
        <w:t xml:space="preserve">16.2 Reference architecture &amp; sizing by plant scale</w:t>
      </w:r>
    </w:p>
    <w:p>
      <w:pPr>
        <w:spacing w:after="140" w:before="0" w:line="274"/>
      </w:pPr>
      <w:r>
        <w:rPr>
          <w:color w:val="16202D"/>
          <w:sz w:val="20"/>
          <w:szCs w:val="20"/>
        </w:rPr>
        <w:t xml:space="preserve">Containerized, Kubernetes-ready services: API, workers, PostgreSQL, the time-series store, object storage, the retrieval index, the model gateway and the Edge Collectors. Indicative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2760"/>
      </w:tblGrid>
      <w:tr>
        <w:trPr>
          <w:tblHeader/>
        </w:trPr>
        <w:tc>
          <w:tcPr>
            <w:tcW w:type="dxa" w:w="29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Plant scale</w:t>
            </w:r>
          </w:p>
        </w:tc>
        <w:tc>
          <w:tcPr>
            <w:tcW w:type="dxa" w:w="3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Indicative server footprint</w:t>
            </w:r>
          </w:p>
        </w:tc>
        <w:tc>
          <w:tcPr>
            <w:tcW w:type="dxa" w:w="2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Assistant</w:t>
            </w:r>
          </w:p>
        </w:tc>
      </w:tr>
      <w:tr>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Small — 1 line, modest history</w:t>
            </w:r>
          </w:p>
        </w:tc>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~8 vCPU, 32 GB RAM, 0.5-2 TB</w:t>
            </w:r>
          </w:p>
        </w:tc>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private endpoint, or a small self-hosted GPU</w:t>
            </w:r>
          </w:p>
        </w:tc>
      </w:tr>
      <w:tr>
        <w:tc>
          <w:tcPr>
            <w:tcW w:type="dxa" w:w="29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Medium — multi-line</w:t>
            </w:r>
          </w:p>
        </w:tc>
        <w:tc>
          <w:tcPr>
            <w:tcW w:type="dxa" w:w="3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~16-32 vCPU, 64-128 GB RAM, 2-10 TB</w:t>
            </w:r>
          </w:p>
        </w:tc>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one GPU (~24 GB) for a self-hosted model</w:t>
            </w:r>
          </w:p>
        </w:tc>
      </w:tr>
      <w:tr>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Large — high-frequency historian</w:t>
            </w:r>
          </w:p>
        </w:tc>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32+ vCPU, 128+ GB RAM, 10 TB+ time-series</w:t>
            </w:r>
          </w:p>
        </w:tc>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1-2 GPUs; a separate ML worker pool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It does not run on a laptop</w:t>
            </w:r>
          </w:p>
          <w:p>
            <w:pPr>
              <w:spacing w:after="0" w:line="256"/>
            </w:pPr>
            <w:r>
              <w:rPr>
                <w:color w:val="16202D"/>
                <w:sz w:val="18"/>
                <w:szCs w:val="18"/>
              </w:rPr>
              <w:t xml:space="preserve">Only the browser HMI is on the user's machine. The server footprint scales with data volume; a self-hosted assistant needs a GPU, while SaaS / private-endpoint mode needs none. Concrete per-scale sizing is in Appendix G.</w:t>
            </w:r>
          </w:p>
        </w:tc>
      </w:tr>
    </w:tbl>
    <w:p>
      <w:pPr>
        <w:pStyle w:val="Heading2"/>
      </w:pPr>
      <w:r>
        <w:t xml:space="preserve">16.3 Scale &amp; data-volume engineering</w:t>
      </w:r>
    </w:p>
    <w:p>
      <w:pPr>
        <w:pStyle w:val="ListParagraph"/>
        <w:numPr>
          <w:ilvl w:val="0"/>
          <w:numId w:val="2"/>
        </w:numPr>
        <w:spacing w:after="70" w:line="268"/>
      </w:pPr>
      <w:r>
        <w:rPr>
          <w:color w:val="16202D"/>
          <w:sz w:val="20"/>
          <w:szCs w:val="20"/>
        </w:rPr>
        <w:t xml:space="preserve">High-frequency parameters land in a time-series store (hypertables / columnar partitioning) with compression and downsampling.</w:t>
      </w:r>
    </w:p>
    <w:p>
      <w:pPr>
        <w:pStyle w:val="ListParagraph"/>
        <w:numPr>
          <w:ilvl w:val="0"/>
          <w:numId w:val="2"/>
        </w:numPr>
        <w:spacing w:after="70" w:line="268"/>
      </w:pPr>
      <w:r>
        <w:rPr>
          <w:color w:val="16202D"/>
          <w:sz w:val="20"/>
          <w:szCs w:val="20"/>
        </w:rPr>
        <w:t xml:space="preserve">Configurable retention (raw vs. downsampled) and tiering; ingestion-rate ceilings documented per deployment.</w:t>
      </w:r>
    </w:p>
    <w:p>
      <w:pPr>
        <w:pStyle w:val="ListParagraph"/>
        <w:numPr>
          <w:ilvl w:val="0"/>
          <w:numId w:val="2"/>
        </w:numPr>
        <w:spacing w:after="70" w:line="268"/>
      </w:pPr>
      <w:r>
        <w:rPr>
          <w:color w:val="16202D"/>
          <w:sz w:val="20"/>
          <w:szCs w:val="20"/>
        </w:rPr>
        <w:t xml:space="preserve">Heavy analytics run on a separate worker pool, off-peak, isolated from interactive queries (§8.5).</w:t>
      </w:r>
    </w:p>
    <w:p>
      <w:pPr>
        <w:pStyle w:val="Heading2"/>
      </w:pPr>
      <w:r>
        <w:t xml:space="preserve">16.4 Availability, SLA tiers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Tier</w:t>
            </w:r>
          </w:p>
        </w:tc>
        <w:tc>
          <w:tcPr>
            <w:tcW w:type="dxa" w:w="28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Uptime target</w:t>
            </w:r>
          </w:p>
        </w:tc>
        <w:tc>
          <w:tcPr>
            <w:tcW w:type="dxa" w:w="3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Support response</w:t>
            </w:r>
          </w:p>
        </w:tc>
      </w:tr>
      <w:tr>
        <w:tc>
          <w:tcPr>
            <w:tcW w:type="dxa" w:w="2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Standard</w:t>
            </w:r>
          </w:p>
        </w:tc>
        <w:tc>
          <w:tcPr>
            <w:tcW w:type="dxa" w:w="2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99.5%</w:t>
            </w:r>
          </w:p>
        </w:tc>
        <w:tc>
          <w:tcPr>
            <w:tcW w:type="dxa" w:w="3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next business day</w:t>
            </w:r>
          </w:p>
        </w:tc>
      </w:tr>
      <w:tr>
        <w:tc>
          <w:tcPr>
            <w:tcW w:type="dxa" w:w="28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Priority</w:t>
            </w:r>
          </w:p>
        </w:tc>
        <w:tc>
          <w:tcPr>
            <w:tcW w:type="dxa" w:w="28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99.9%</w:t>
            </w:r>
          </w:p>
        </w:tc>
        <w:tc>
          <w:tcPr>
            <w:tcW w:type="dxa" w:w="3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same business day; sev-1 in hours</w:t>
            </w:r>
          </w:p>
        </w:tc>
      </w:tr>
      <w:tr>
        <w:tc>
          <w:tcPr>
            <w:tcW w:type="dxa" w:w="2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SLA-backed (Enterprise)</w:t>
            </w:r>
          </w:p>
        </w:tc>
        <w:tc>
          <w:tcPr>
            <w:tcW w:type="dxa" w:w="2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99.9%+ / custom</w:t>
            </w:r>
          </w:p>
        </w:tc>
        <w:tc>
          <w:tcPr>
            <w:tcW w:type="dxa" w:w="3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24x7 sev-1; named contact; status page</w:t>
            </w:r>
          </w:p>
        </w:tc>
      </w:tr>
    </w:tbl>
    <w:p>
      <w:pPr>
        <w:pStyle w:val="Heading2"/>
      </w:pPr>
      <w:r>
        <w:t xml:space="preserve">16.5 Backup, disaster recovery &amp; high availability</w:t>
      </w:r>
    </w:p>
    <w:p>
      <w:pPr>
        <w:pStyle w:val="ListParagraph"/>
        <w:numPr>
          <w:ilvl w:val="0"/>
          <w:numId w:val="2"/>
        </w:numPr>
        <w:spacing w:after="70" w:line="268"/>
      </w:pPr>
      <w:r>
        <w:rPr>
          <w:color w:val="16202D"/>
          <w:sz w:val="20"/>
          <w:szCs w:val="20"/>
        </w:rPr>
        <w:t xml:space="preserve">Automated encrypted backups with tested restores.</w:t>
      </w:r>
    </w:p>
    <w:p>
      <w:pPr>
        <w:pStyle w:val="ListParagraph"/>
        <w:numPr>
          <w:ilvl w:val="0"/>
          <w:numId w:val="2"/>
        </w:numPr>
        <w:spacing w:after="70" w:line="268"/>
      </w:pPr>
      <w:r>
        <w:rPr>
          <w:color w:val="16202D"/>
          <w:sz w:val="20"/>
          <w:szCs w:val="20"/>
        </w:rPr>
        <w:t xml:space="preserve">RPO / RTO targets per tier (for Enterprise, RPO ≤ 1 h and RTO ≤ 4 h, tunable).</w:t>
      </w:r>
    </w:p>
    <w:p>
      <w:pPr>
        <w:pStyle w:val="ListParagraph"/>
        <w:numPr>
          <w:ilvl w:val="0"/>
          <w:numId w:val="2"/>
        </w:numPr>
        <w:spacing w:after="70" w:line="268"/>
      </w:pPr>
      <w:r>
        <w:rPr>
          <w:color w:val="16202D"/>
          <w:sz w:val="20"/>
          <w:szCs w:val="20"/>
        </w:rPr>
        <w:t xml:space="preserve">Optional HA: redundant app and workers, a replicated database, multi-AZ in SaaS.</w:t>
      </w:r>
    </w:p>
    <w:p>
      <w:pPr>
        <w:pStyle w:val="ListParagraph"/>
        <w:numPr>
          <w:ilvl w:val="0"/>
          <w:numId w:val="2"/>
        </w:numPr>
        <w:spacing w:after="70" w:line="268"/>
      </w:pPr>
      <w:r>
        <w:rPr>
          <w:color w:val="16202D"/>
          <w:sz w:val="20"/>
          <w:szCs w:val="20"/>
        </w:rPr>
        <w:t xml:space="preserve">Because PPIQ holds copies and not the system of record, source data is re-syncable — limiting true data-loss exposure.</w:t>
      </w:r>
    </w:p>
    <w:p>
      <w:pPr>
        <w:pStyle w:val="Heading2"/>
      </w:pPr>
      <w:r>
        <w:t xml:space="preserve">16.6 Upgrades, migrations &amp; backward compatibility</w:t>
      </w:r>
    </w:p>
    <w:p>
      <w:pPr>
        <w:pStyle w:val="ListParagraph"/>
        <w:numPr>
          <w:ilvl w:val="0"/>
          <w:numId w:val="2"/>
        </w:numPr>
        <w:spacing w:after="70" w:line="268"/>
      </w:pPr>
      <w:r>
        <w:rPr>
          <w:color w:val="16202D"/>
          <w:sz w:val="20"/>
          <w:szCs w:val="20"/>
        </w:rPr>
        <w:t xml:space="preserve">SaaS: rolling / blue-green upgrades with minimal downtime and versioned schema migrations.</w:t>
      </w:r>
    </w:p>
    <w:p>
      <w:pPr>
        <w:pStyle w:val="ListParagraph"/>
        <w:numPr>
          <w:ilvl w:val="0"/>
          <w:numId w:val="2"/>
        </w:numPr>
        <w:spacing w:after="70" w:line="268"/>
      </w:pPr>
      <w:r>
        <w:rPr>
          <w:color w:val="16202D"/>
          <w:sz w:val="20"/>
          <w:szCs w:val="20"/>
        </w:rPr>
        <w:t xml:space="preserve">On-prem / air-gapped: a documented upgrade runbook and offline upgrade bundles; APIs backward-compatible within a major version.</w:t>
      </w:r>
    </w:p>
    <w:p>
      <w:pPr>
        <w:pStyle w:val="ListParagraph"/>
        <w:numPr>
          <w:ilvl w:val="0"/>
          <w:numId w:val="2"/>
        </w:numPr>
        <w:spacing w:after="70" w:line="268"/>
      </w:pPr>
      <w:r>
        <w:rPr>
          <w:color w:val="16202D"/>
          <w:sz w:val="20"/>
          <w:szCs w:val="20"/>
        </w:rPr>
        <w:t xml:space="preserve">Definition immutability (§12.3) means upgrades never break historical findings.</w:t>
      </w:r>
    </w:p>
    <w:p>
      <w:pPr>
        <w:pStyle w:val="Heading2"/>
      </w:pPr>
      <w:r>
        <w:t xml:space="preserve">16.7 Business continuity — escrow &amp; data portability</w:t>
      </w:r>
    </w:p>
    <w:p>
      <w:pPr>
        <w:pStyle w:val="ListParagraph"/>
        <w:numPr>
          <w:ilvl w:val="0"/>
          <w:numId w:val="2"/>
        </w:numPr>
        <w:spacing w:after="70" w:line="268"/>
      </w:pPr>
      <w:r>
        <w:rPr>
          <w:color w:val="16202D"/>
          <w:sz w:val="20"/>
          <w:szCs w:val="20"/>
        </w:rPr>
        <w:t xml:space="preserve">Source-code escrow available for Enterprise / on-prem (vendor-viability protection).</w:t>
      </w:r>
    </w:p>
    <w:p>
      <w:pPr>
        <w:pStyle w:val="ListParagraph"/>
        <w:numPr>
          <w:ilvl w:val="0"/>
          <w:numId w:val="2"/>
        </w:numPr>
        <w:spacing w:after="70" w:line="268"/>
      </w:pPr>
      <w:r>
        <w:rPr>
          <w:color w:val="16202D"/>
          <w:sz w:val="20"/>
          <w:szCs w:val="20"/>
        </w:rPr>
        <w:t xml:space="preserve">Data portability: open-format export of staging, canonical, findings, reports and definitions — the customer can leave with their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Vendor-viability answered with mechanisms, not promises</w:t>
            </w:r>
          </w:p>
          <w:p>
            <w:pPr>
              <w:spacing w:after="0" w:line="256"/>
            </w:pPr>
            <w:r>
              <w:rPr>
                <w:color w:val="16202D"/>
                <w:sz w:val="18"/>
                <w:szCs w:val="18"/>
              </w:rPr>
              <w:t xml:space="preserve">If SOU disappeared tomorrow, an Enterprise customer keeps running: escrowed source, exportable data in open formats, and an on-prem deployment that needs no SOU servers.</w:t>
            </w:r>
          </w:p>
        </w:tc>
      </w:tr>
    </w:tbl>
    <w:p>
      <w:pPr>
        <w:pStyle w:val="Heading2"/>
      </w:pPr>
      <w:r>
        <w:t xml:space="preserve">16.B · In plain terms — for buyers, not engineers</w:t>
      </w:r>
    </w:p>
    <w:p>
      <w:pPr>
        <w:spacing w:after="120" w:before="0" w:line="274"/>
      </w:pPr>
      <w:r>
        <w:rPr>
          <w:i/>
          <w:iCs/>
          <w:color w:val="8EA7C1"/>
          <w:sz w:val="19"/>
          <w:szCs w:val="19"/>
        </w:rPr>
        <w:t xml:space="preserve">Where it runs, how big a server you need, what uptime and recovery you get, and how air-gapped updates work.</w:t>
      </w:r>
    </w:p>
    <w:p>
      <w:pPr>
        <w:spacing w:after="60" w:before="80" w:line="274"/>
      </w:pPr>
      <w:r>
        <w:rPr>
          <w:b/>
          <w:bCs/>
          <w:color w:val="102A43"/>
          <w:sz w:val="18"/>
          <w:szCs w:val="18"/>
        </w:rPr>
        <w:t xml:space="preserve">▸ Deployment topologies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640"/>
        <w:gridCol w:w="1740"/>
        <w:gridCol w:w="2640"/>
      </w:tblGrid>
      <w:tr>
        <w:trPr>
          <w:tblHeader/>
        </w:trPr>
        <w:tc>
          <w:tcPr>
            <w:tcW w:type="dxa" w:w="234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Topology</w:t>
            </w:r>
          </w:p>
        </w:tc>
        <w:tc>
          <w:tcPr>
            <w:tcW w:type="dxa" w:w="264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Isolation</w:t>
            </w:r>
          </w:p>
        </w:tc>
        <w:tc>
          <w:tcPr>
            <w:tcW w:type="dxa" w:w="174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Who hosts</w:t>
            </w:r>
          </w:p>
        </w:tc>
        <w:tc>
          <w:tcPr>
            <w:tcW w:type="dxa" w:w="264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Best for</w:t>
            </w:r>
          </w:p>
        </w:tc>
      </w:tr>
      <w:tr>
        <w:tc>
          <w:tcPr>
            <w:tcW w:type="dxa" w:w="23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SOU-hosted SaaS (EU)</w:t>
            </w:r>
          </w:p>
        </w:tc>
        <w:tc>
          <w:tcPr>
            <w:tcW w:type="dxa" w:w="26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Logical (TenantId + RLS)</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w:t>
            </w:r>
          </w:p>
        </w:tc>
        <w:tc>
          <w:tcPr>
            <w:tcW w:type="dxa" w:w="26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Fastest start, lowest ops burden</w:t>
            </w:r>
          </w:p>
        </w:tc>
      </w:tr>
      <w:tr>
        <w:tc>
          <w:tcPr>
            <w:tcW w:type="dxa" w:w="23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Customer cloud</w:t>
            </w:r>
          </w:p>
        </w:tc>
        <w:tc>
          <w:tcPr>
            <w:tcW w:type="dxa" w:w="26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Single-tenant in your Azure / AWS / GCP</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Customer</w:t>
            </w:r>
          </w:p>
        </w:tc>
        <w:tc>
          <w:tcPr>
            <w:tcW w:type="dxa" w:w="26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Cloud-mandate buyers</w:t>
            </w:r>
          </w:p>
        </w:tc>
      </w:tr>
      <w:tr>
        <w:tc>
          <w:tcPr>
            <w:tcW w:type="dxa" w:w="23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On-prem</w:t>
            </w:r>
          </w:p>
        </w:tc>
        <w:tc>
          <w:tcPr>
            <w:tcW w:type="dxa" w:w="26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Single-tenant in your datacentre</w:t>
            </w:r>
          </w:p>
        </w:tc>
        <w:tc>
          <w:tcPr>
            <w:tcW w:type="dxa" w:w="17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Customer</w:t>
            </w:r>
          </w:p>
        </w:tc>
        <w:tc>
          <w:tcPr>
            <w:tcW w:type="dxa" w:w="264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Data-residency / IT-control needs</w:t>
            </w:r>
          </w:p>
        </w:tc>
      </w:tr>
      <w:tr>
        <w:tc>
          <w:tcPr>
            <w:tcW w:type="dxa" w:w="23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Air-gapped on-prem</w:t>
            </w:r>
          </w:p>
        </w:tc>
        <w:tc>
          <w:tcPr>
            <w:tcW w:type="dxa" w:w="26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Single-tenant, no internet</w:t>
            </w:r>
          </w:p>
        </w:tc>
        <w:tc>
          <w:tcPr>
            <w:tcW w:type="dxa" w:w="17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Customer</w:t>
            </w:r>
          </w:p>
        </w:tc>
        <w:tc>
          <w:tcPr>
            <w:tcW w:type="dxa" w:w="264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High-security plants</w:t>
            </w:r>
          </w:p>
        </w:tc>
      </w:tr>
    </w:tbl>
    <w:p>
      <w:pPr>
        <w:spacing w:after="60" w:before="80" w:line="274"/>
      </w:pPr>
      <w:r>
        <w:rPr>
          <w:b/>
          <w:bCs/>
          <w:color w:val="102A43"/>
          <w:sz w:val="18"/>
          <w:szCs w:val="18"/>
        </w:rPr>
        <w:t xml:space="preserve">▸ Server sizing by plant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Component</w:t>
            </w:r>
          </w:p>
        </w:tc>
        <w:tc>
          <w:tcPr>
            <w:tcW w:type="dxa" w:w="2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Small</w:t>
            </w:r>
          </w:p>
        </w:tc>
        <w:tc>
          <w:tcPr>
            <w:tcW w:type="dxa" w:w="2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Medium</w:t>
            </w:r>
          </w:p>
        </w:tc>
        <w:tc>
          <w:tcPr>
            <w:tcW w:type="dxa" w:w="2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Large</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App + API</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2 vCPU / 4 GB</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4 vCPU / 8 GB</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8+ vCPU / 16+ GB</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ML workers</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2 vCPU / 8 GB</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8 vCPU / 32 GB</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16+ vCPU / 64+ GB</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PostgreSQL</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2 vCPU / 8 GB / 0.5 TB</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4 vCPU / 16 GB / 2 TB</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8+ vCPU / 32+ GB / 4+ TB</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Time-series store</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shared</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4 vCPU / 16 GB / 2–8 TB</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8+ vCPU / 32+ GB / 10 TB+</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Assistant (self-hosted)</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optional small GPU</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 GPU ~24 GB</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1–2 GPUs</w:t>
            </w:r>
          </w:p>
        </w:tc>
      </w:tr>
    </w:tbl>
    <w:p>
      <w:pPr>
        <w:spacing w:after="120" w:before="20" w:line="274"/>
      </w:pPr>
      <w:r>
        <w:rPr>
          <w:i/>
          <w:iCs/>
          <w:color w:val="8EA7C1"/>
          <w:sz w:val="16"/>
          <w:szCs w:val="16"/>
        </w:rPr>
        <w:t xml:space="preserve">Only the browser runs on your laptop. Sizing scales with data volume, source count, parameter frequency and number of users; SaaS / private-endpoint mode needs no local GPU.</w:t>
      </w:r>
    </w:p>
    <w:p>
      <w:pPr>
        <w:spacing w:after="60" w:before="80" w:line="274"/>
      </w:pPr>
      <w:r>
        <w:rPr>
          <w:b/>
          <w:bCs/>
          <w:color w:val="102A43"/>
          <w:sz w:val="18"/>
          <w:szCs w:val="18"/>
        </w:rPr>
        <w:t xml:space="preserve">▸ Uptime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600"/>
        <w:gridCol w:w="4000"/>
      </w:tblGrid>
      <w:tr>
        <w:trPr>
          <w:tblHeader/>
        </w:trPr>
        <w:tc>
          <w:tcPr>
            <w:tcW w:type="dxa" w:w="2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Tier</w:t>
            </w:r>
          </w:p>
        </w:tc>
        <w:tc>
          <w:tcPr>
            <w:tcW w:type="dxa" w:w="26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Uptime target</w:t>
            </w:r>
          </w:p>
        </w:tc>
        <w:tc>
          <w:tcPr>
            <w:tcW w:type="dxa" w:w="4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Support response</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Standard</w:t>
            </w:r>
          </w:p>
        </w:tc>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99.5%</w:t>
            </w:r>
          </w:p>
        </w:tc>
        <w:tc>
          <w:tcPr>
            <w:tcW w:type="dxa" w:w="4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Next business day</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Priority</w:t>
            </w:r>
          </w:p>
        </w:tc>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99.9%</w:t>
            </w:r>
          </w:p>
        </w:tc>
        <w:tc>
          <w:tcPr>
            <w:tcW w:type="dxa" w:w="4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Same business day; sev-1 in hours</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SLA-backed (Enterprise)</w:t>
            </w:r>
          </w:p>
        </w:tc>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99.9%+ / custom</w:t>
            </w:r>
          </w:p>
        </w:tc>
        <w:tc>
          <w:tcPr>
            <w:tcW w:type="dxa" w:w="4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24×7 sev-1; named contact; status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Tier</w:t>
            </w:r>
          </w:p>
        </w:tc>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RPO (max data loss)</w:t>
            </w:r>
          </w:p>
        </w:tc>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RTO (recovery time)</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Standard (SaaS)</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 24 h</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 8 h</w:t>
            </w:r>
          </w:p>
        </w:tc>
      </w:tr>
      <w:tr>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Priority</w:t>
            </w:r>
          </w:p>
        </w:tc>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 1 h</w:t>
            </w:r>
          </w:p>
        </w:tc>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 4 h</w:t>
            </w:r>
          </w:p>
        </w:tc>
      </w:tr>
      <w:tr>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SLA-backed (Enterprise)</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 15 min / custom</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 2 h / custom</w:t>
            </w:r>
          </w:p>
        </w:tc>
      </w:tr>
    </w:tbl>
    <w:p>
      <w:pPr>
        <w:spacing w:after="120" w:before="20" w:line="274"/>
      </w:pPr>
      <w:r>
        <w:rPr>
          <w:i/>
          <w:iCs/>
          <w:color w:val="8EA7C1"/>
          <w:sz w:val="16"/>
          <w:szCs w:val="16"/>
        </w:rPr>
        <w:t xml:space="preserve">RPO / RTO indicative; exact figures are set in the order. Backups (including time-series chunks) are encrypted and restore drills are run on a defined cadence.</w:t>
      </w:r>
    </w:p>
    <w:p>
      <w:pPr>
        <w:spacing w:after="60" w:before="80" w:line="274"/>
      </w:pPr>
      <w:r>
        <w:rPr>
          <w:b/>
          <w:bCs/>
          <w:color w:val="102A43"/>
          <w:sz w:val="18"/>
          <w:szCs w:val="18"/>
        </w:rPr>
        <w:t xml:space="preserve">▸ Air-gapped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Signed update bundle built offline  -&gt;  transferred in  -&gt;  signature verified</w:t>
            </w:r>
          </w:p>
          <w:p>
            <w:pPr>
              <w:spacing w:after="0" w:before="0" w:line="240"/>
            </w:pPr>
            <w:r>
              <w:rPr>
                <w:rFonts w:ascii="JetBrains Mono" w:cs="JetBrains Mono" w:eastAsia="JetBrains Mono" w:hAnsi="JetBrains Mono"/>
                <w:color w:val="EAF6FF"/>
                <w:sz w:val="16"/>
                <w:szCs w:val="16"/>
              </w:rPr>
              <w:t xml:space="preserve">   -&gt;  staged  -&gt;  applied  -&gt;  post-update validation  (no internet required)</w:t>
            </w:r>
          </w:p>
        </w:tc>
      </w:tr>
    </w:tbl>
    <w:p>
      <w:pPr>
        <w:pStyle w:val="Heading1"/>
      </w:pPr>
      <w:r>
        <w:t xml:space="preserve">17 · The Operating Principles</w:t>
      </w:r>
    </w:p>
    <w:p>
      <w:pPr>
        <w:pBdr>
          <w:bottom w:val="single" w:color="00D4FF" w:sz="14" w:space="1"/>
        </w:pBdr>
        <w:spacing w:after="140" w:before="20"/>
      </w:pPr>
      <w:r>
        <w:t xml:space="preserve"/>
      </w:r>
    </w:p>
    <w:p>
      <w:pPr>
        <w:spacing w:after="140" w:before="0" w:line="274"/>
      </w:pPr>
      <w:r>
        <w:rPr>
          <w:color w:val="16202D"/>
          <w:sz w:val="20"/>
          <w:szCs w:val="20"/>
        </w:rPr>
        <w:t xml:space="preserve">The constitution every contributor and every feature is measured against. v4 held eight; v5 makes it ten, adding security and demonstrated value as first-class principles.</w:t>
      </w:r>
    </w:p>
    <w:p>
      <w:pPr>
        <w:pStyle w:val="ListParagraph"/>
        <w:numPr>
          <w:ilvl w:val="0"/>
          <w:numId w:val="2"/>
        </w:numPr>
        <w:spacing w:after="70" w:line="268"/>
      </w:pPr>
      <w:r>
        <w:rPr>
          <w:b/>
          <w:bCs/>
          <w:color w:val="16202D"/>
          <w:sz w:val="20"/>
          <w:szCs w:val="20"/>
        </w:rPr>
        <w:t xml:space="preserve">1 — </w:t>
      </w:r>
      <w:r>
        <w:rPr>
          <w:color w:val="16202D"/>
          <w:sz w:val="20"/>
          <w:szCs w:val="20"/>
        </w:rPr>
        <w:t xml:space="preserve">If it cannot be built and configured from the HMI, it is not done.</w:t>
      </w:r>
    </w:p>
    <w:p>
      <w:pPr>
        <w:pStyle w:val="ListParagraph"/>
        <w:numPr>
          <w:ilvl w:val="0"/>
          <w:numId w:val="2"/>
        </w:numPr>
        <w:spacing w:after="70" w:line="268"/>
      </w:pPr>
      <w:r>
        <w:rPr>
          <w:b/>
          <w:bCs/>
          <w:color w:val="16202D"/>
          <w:sz w:val="20"/>
          <w:szCs w:val="20"/>
        </w:rPr>
        <w:t xml:space="preserve">2 — </w:t>
      </w:r>
      <w:r>
        <w:rPr>
          <w:color w:val="16202D"/>
          <w:sz w:val="20"/>
          <w:szCs w:val="20"/>
        </w:rPr>
        <w:t xml:space="preserve">Deterministic engines compute; the assistant explains — it never invents the math.</w:t>
      </w:r>
    </w:p>
    <w:p>
      <w:pPr>
        <w:pStyle w:val="ListParagraph"/>
        <w:numPr>
          <w:ilvl w:val="0"/>
          <w:numId w:val="2"/>
        </w:numPr>
        <w:spacing w:after="70" w:line="268"/>
      </w:pPr>
      <w:r>
        <w:rPr>
          <w:b/>
          <w:bCs/>
          <w:color w:val="16202D"/>
          <w:sz w:val="20"/>
          <w:szCs w:val="20"/>
        </w:rPr>
        <w:t xml:space="preserve">3 — </w:t>
      </w:r>
      <w:r>
        <w:rPr>
          <w:color w:val="16202D"/>
          <w:sz w:val="20"/>
          <w:szCs w:val="20"/>
        </w:rPr>
        <w:t xml:space="preserve">Show the evidence; "suspected contributor," never "guaranteed root cause."</w:t>
      </w:r>
    </w:p>
    <w:p>
      <w:pPr>
        <w:pStyle w:val="ListParagraph"/>
        <w:numPr>
          <w:ilvl w:val="0"/>
          <w:numId w:val="2"/>
        </w:numPr>
        <w:spacing w:after="70" w:line="268"/>
      </w:pPr>
      <w:r>
        <w:rPr>
          <w:b/>
          <w:bCs/>
          <w:color w:val="16202D"/>
          <w:sz w:val="20"/>
          <w:szCs w:val="20"/>
        </w:rPr>
        <w:t xml:space="preserve">4 — </w:t>
      </w:r>
      <w:r>
        <w:rPr>
          <w:color w:val="16202D"/>
          <w:sz w:val="20"/>
          <w:szCs w:val="20"/>
        </w:rPr>
        <w:t xml:space="preserve">Read-only is absolute; we connect around systems, we never command them.</w:t>
      </w:r>
    </w:p>
    <w:p>
      <w:pPr>
        <w:pStyle w:val="ListParagraph"/>
        <w:numPr>
          <w:ilvl w:val="0"/>
          <w:numId w:val="2"/>
        </w:numPr>
        <w:spacing w:after="70" w:line="268"/>
      </w:pPr>
      <w:r>
        <w:rPr>
          <w:b/>
          <w:bCs/>
          <w:color w:val="16202D"/>
          <w:sz w:val="20"/>
          <w:szCs w:val="20"/>
        </w:rPr>
        <w:t xml:space="preserve">5 — </w:t>
      </w:r>
      <w:r>
        <w:rPr>
          <w:color w:val="16202D"/>
          <w:sz w:val="20"/>
          <w:szCs w:val="20"/>
        </w:rPr>
        <w:t xml:space="preserve">Generic by design; the demo is steel, the architecture is industry-agnostic.</w:t>
      </w:r>
    </w:p>
    <w:p>
      <w:pPr>
        <w:pStyle w:val="ListParagraph"/>
        <w:numPr>
          <w:ilvl w:val="0"/>
          <w:numId w:val="2"/>
        </w:numPr>
        <w:spacing w:after="70" w:line="268"/>
      </w:pPr>
      <w:r>
        <w:rPr>
          <w:b/>
          <w:bCs/>
          <w:color w:val="16202D"/>
          <w:sz w:val="20"/>
          <w:szCs w:val="20"/>
        </w:rPr>
        <w:t xml:space="preserve">6 — </w:t>
      </w:r>
      <w:r>
        <w:rPr>
          <w:color w:val="16202D"/>
          <w:sz w:val="20"/>
          <w:szCs w:val="20"/>
        </w:rPr>
        <w:t xml:space="preserve">Honest state always; no dead buttons, no "could not load," no silent failure.</w:t>
      </w:r>
    </w:p>
    <w:p>
      <w:pPr>
        <w:pStyle w:val="ListParagraph"/>
        <w:numPr>
          <w:ilvl w:val="0"/>
          <w:numId w:val="2"/>
        </w:numPr>
        <w:spacing w:after="70" w:line="268"/>
      </w:pPr>
      <w:r>
        <w:rPr>
          <w:b/>
          <w:bCs/>
          <w:color w:val="16202D"/>
          <w:sz w:val="20"/>
          <w:szCs w:val="20"/>
        </w:rPr>
        <w:t xml:space="preserve">7 — </w:t>
      </w:r>
      <w:r>
        <w:rPr>
          <w:color w:val="16202D"/>
          <w:sz w:val="20"/>
          <w:szCs w:val="20"/>
        </w:rPr>
        <w:t xml:space="preserve">Nothing fakes another layer; every claim carries a resolvable evidence handle.</w:t>
      </w:r>
    </w:p>
    <w:p>
      <w:pPr>
        <w:pStyle w:val="ListParagraph"/>
        <w:numPr>
          <w:ilvl w:val="0"/>
          <w:numId w:val="2"/>
        </w:numPr>
        <w:spacing w:after="70" w:line="268"/>
      </w:pPr>
      <w:r>
        <w:rPr>
          <w:b/>
          <w:bCs/>
          <w:color w:val="16202D"/>
          <w:sz w:val="20"/>
          <w:szCs w:val="20"/>
        </w:rPr>
        <w:t xml:space="preserve">8 — </w:t>
      </w:r>
      <w:r>
        <w:rPr>
          <w:color w:val="16202D"/>
          <w:sz w:val="20"/>
          <w:szCs w:val="20"/>
        </w:rPr>
        <w:t xml:space="preserve">Done means the workflow, the boundary and the proof test are all green — no 85%.</w:t>
      </w:r>
    </w:p>
    <w:p>
      <w:pPr>
        <w:pStyle w:val="ListParagraph"/>
        <w:numPr>
          <w:ilvl w:val="0"/>
          <w:numId w:val="2"/>
        </w:numPr>
        <w:spacing w:after="70" w:line="268"/>
      </w:pPr>
      <w:r>
        <w:rPr>
          <w:b/>
          <w:bCs/>
          <w:color w:val="16202D"/>
          <w:sz w:val="20"/>
          <w:szCs w:val="20"/>
        </w:rPr>
        <w:t xml:space="preserve">9 — </w:t>
      </w:r>
      <w:r>
        <w:rPr>
          <w:color w:val="16202D"/>
          <w:sz w:val="20"/>
          <w:szCs w:val="20"/>
        </w:rPr>
        <w:t xml:space="preserve">Secure and private by default; the plant's data sovereignty is non-negotiable.</w:t>
      </w:r>
    </w:p>
    <w:p>
      <w:pPr>
        <w:pStyle w:val="ListParagraph"/>
        <w:numPr>
          <w:ilvl w:val="0"/>
          <w:numId w:val="2"/>
        </w:numPr>
        <w:spacing w:after="70" w:line="268"/>
      </w:pPr>
      <w:r>
        <w:rPr>
          <w:b/>
          <w:bCs/>
          <w:color w:val="16202D"/>
          <w:sz w:val="20"/>
          <w:szCs w:val="20"/>
        </w:rPr>
        <w:t xml:space="preserve">10 — </w:t>
      </w:r>
      <w:r>
        <w:rPr>
          <w:color w:val="16202D"/>
          <w:sz w:val="20"/>
          <w:szCs w:val="20"/>
        </w:rPr>
        <w:t xml:space="preserve">Value, demonstrated in euros; if we cannot show the money, we have not finished.</w:t>
      </w:r>
    </w:p>
    <w:p>
      <w:pPr>
        <w:pStyle w:val="Heading2"/>
      </w:pPr>
      <w:r>
        <w:t xml:space="preserve">17.B · In plain terms — for buyers, not engineers</w:t>
      </w:r>
    </w:p>
    <w:p>
      <w:pPr>
        <w:spacing w:after="120" w:before="0" w:line="274"/>
      </w:pPr>
      <w:r>
        <w:rPr>
          <w:i/>
          <w:iCs/>
          <w:color w:val="8EA7C1"/>
          <w:sz w:val="19"/>
          <w:szCs w:val="19"/>
        </w:rPr>
        <w:t xml:space="preserve">The ten rules, in one line each, from your point of view.</w:t>
      </w:r>
    </w:p>
    <w:p>
      <w:pPr>
        <w:spacing w:after="60" w:before="80" w:line="274"/>
      </w:pPr>
      <w:r>
        <w:rPr>
          <w:b/>
          <w:bCs/>
          <w:color w:val="102A43"/>
          <w:sz w:val="18"/>
          <w:szCs w:val="18"/>
        </w:rPr>
        <w:t xml:space="preserve">▸ What each principle means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Principle</w:t>
            </w:r>
          </w:p>
        </w:tc>
        <w:tc>
          <w:tcPr>
            <w:tcW w:type="dxa" w:w="5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it means for the buyer</w:t>
            </w:r>
          </w:p>
        </w:tc>
      </w:tr>
      <w:tr>
        <w:tc>
          <w:tcPr>
            <w:tcW w:type="dxa" w:w="3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Configured from the HMI</w:t>
            </w:r>
          </w:p>
        </w:tc>
        <w:tc>
          <w:tcPr>
            <w:tcW w:type="dxa" w:w="5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You can change it yourself; you are not locked behind our developers</w:t>
            </w:r>
          </w:p>
        </w:tc>
      </w:tr>
      <w:tr>
        <w:tc>
          <w:tcPr>
            <w:tcW w:type="dxa" w:w="3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Engines compute, assistant explains</w:t>
            </w:r>
          </w:p>
        </w:tc>
        <w:tc>
          <w:tcPr>
            <w:tcW w:type="dxa" w:w="5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numbers are calculated, not guessed by a chatbot</w:t>
            </w:r>
          </w:p>
        </w:tc>
      </w:tr>
      <w:tr>
        <w:tc>
          <w:tcPr>
            <w:tcW w:type="dxa" w:w="3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Show the evidence</w:t>
            </w:r>
          </w:p>
        </w:tc>
        <w:tc>
          <w:tcPr>
            <w:tcW w:type="dxa" w:w="5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"Suspected contributor" with proof — never "guaranteed root cause"</w:t>
            </w:r>
          </w:p>
        </w:tc>
      </w:tr>
      <w:tr>
        <w:tc>
          <w:tcPr>
            <w:tcW w:type="dxa" w:w="3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Read-only is absolute</w:t>
            </w:r>
          </w:p>
        </w:tc>
        <w:tc>
          <w:tcPr>
            <w:tcW w:type="dxa" w:w="5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 never touch your control systems</w:t>
            </w:r>
          </w:p>
        </w:tc>
      </w:tr>
      <w:tr>
        <w:tc>
          <w:tcPr>
            <w:tcW w:type="dxa" w:w="3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Generic by design</w:t>
            </w:r>
          </w:p>
        </w:tc>
        <w:tc>
          <w:tcPr>
            <w:tcW w:type="dxa" w:w="5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It speaks your plant; the demo is steel but the engine is industry-agnostic</w:t>
            </w:r>
          </w:p>
        </w:tc>
      </w:tr>
      <w:tr>
        <w:tc>
          <w:tcPr>
            <w:tcW w:type="dxa" w:w="3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Honest state always</w:t>
            </w:r>
          </w:p>
        </w:tc>
        <w:tc>
          <w:tcPr>
            <w:tcW w:type="dxa" w:w="5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 dead buttons, no silent failures</w:t>
            </w:r>
          </w:p>
        </w:tc>
      </w:tr>
      <w:tr>
        <w:tc>
          <w:tcPr>
            <w:tcW w:type="dxa" w:w="3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Nothing fakes another layer</w:t>
            </w:r>
          </w:p>
        </w:tc>
        <w:tc>
          <w:tcPr>
            <w:tcW w:type="dxa" w:w="5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Every claim carries a resolvable evidence handle</w:t>
            </w:r>
          </w:p>
        </w:tc>
      </w:tr>
      <w:tr>
        <w:tc>
          <w:tcPr>
            <w:tcW w:type="dxa" w:w="3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Done means done</w:t>
            </w:r>
          </w:p>
        </w:tc>
        <w:tc>
          <w:tcPr>
            <w:tcW w:type="dxa" w:w="5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 85% — the workflow, the boundary and the proof test are all green</w:t>
            </w:r>
          </w:p>
        </w:tc>
      </w:tr>
      <w:tr>
        <w:tc>
          <w:tcPr>
            <w:tcW w:type="dxa" w:w="3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Secure &amp; private by default</w:t>
            </w:r>
          </w:p>
        </w:tc>
        <w:tc>
          <w:tcPr>
            <w:tcW w:type="dxa" w:w="5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Your data sovereignty is non-negotiable</w:t>
            </w:r>
          </w:p>
        </w:tc>
      </w:tr>
      <w:tr>
        <w:tc>
          <w:tcPr>
            <w:tcW w:type="dxa" w:w="3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Value in euros</w:t>
            </w:r>
          </w:p>
        </w:tc>
        <w:tc>
          <w:tcPr>
            <w:tcW w:type="dxa" w:w="5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If we cannot show the money, we have not finished</w:t>
            </w:r>
          </w:p>
        </w:tc>
      </w:tr>
    </w:tbl>
    <w:p>
      <w:pPr>
        <w:pStyle w:val="Heading1"/>
      </w:pPr>
      <w:r>
        <w:t xml:space="preserve">18 · Security, Privacy &amp; Compliance</w:t>
      </w:r>
    </w:p>
    <w:p>
      <w:pPr>
        <w:pBdr>
          <w:bottom w:val="single" w:color="00D4FF" w:sz="14" w:space="1"/>
        </w:pBdr>
        <w:spacing w:after="140" w:before="20"/>
      </w:pPr>
      <w:r>
        <w:t xml:space="preserve"/>
      </w:r>
    </w:p>
    <w:p>
      <w:pPr>
        <w:spacing w:after="140" w:before="0" w:line="274"/>
      </w:pPr>
      <w:r>
        <w:rPr>
          <w:color w:val="16202D"/>
          <w:sz w:val="20"/>
          <w:szCs w:val="20"/>
        </w:rPr>
        <w:t xml:space="preserve">A serious industrial or pharma buyer runs a security and compliance review before a pilot. v5 answers it with a program and an honestly-stated roadmap — not a checkbox the product cannot back up.</w:t>
      </w:r>
    </w:p>
    <w:p>
      <w:pPr>
        <w:pStyle w:val="Heading2"/>
      </w:pPr>
      <w:r>
        <w:t xml:space="preserve">18.1 Security program &amp; secure SDLC</w:t>
      </w:r>
    </w:p>
    <w:p>
      <w:pPr>
        <w:pStyle w:val="ListParagraph"/>
        <w:numPr>
          <w:ilvl w:val="0"/>
          <w:numId w:val="2"/>
        </w:numPr>
        <w:spacing w:after="70" w:line="268"/>
      </w:pPr>
      <w:r>
        <w:rPr>
          <w:color w:val="16202D"/>
          <w:sz w:val="20"/>
          <w:szCs w:val="20"/>
        </w:rPr>
        <w:t xml:space="preserve">Secure SDLC: code review, static analysis (SAST) and dependency scanning in CI, dynamic testing (DAST) against staging, periodic third-party penetration tests, and a vulnerability-disclosure process.</w:t>
      </w:r>
    </w:p>
    <w:p>
      <w:pPr>
        <w:pStyle w:val="ListParagraph"/>
        <w:numPr>
          <w:ilvl w:val="0"/>
          <w:numId w:val="2"/>
        </w:numPr>
        <w:spacing w:after="70" w:line="268"/>
      </w:pPr>
      <w:r>
        <w:rPr>
          <w:color w:val="16202D"/>
          <w:sz w:val="20"/>
          <w:szCs w:val="20"/>
        </w:rPr>
        <w:t xml:space="preserve">The SafeSqlValidator (§4.3) and the read-only design remove whole classes of injection and abuse by construction.</w:t>
      </w:r>
    </w:p>
    <w:p>
      <w:pPr>
        <w:pStyle w:val="ListParagraph"/>
        <w:numPr>
          <w:ilvl w:val="0"/>
          <w:numId w:val="2"/>
        </w:numPr>
        <w:spacing w:after="70" w:line="268"/>
      </w:pPr>
      <w:r>
        <w:rPr>
          <w:color w:val="16202D"/>
          <w:sz w:val="20"/>
          <w:szCs w:val="20"/>
        </w:rPr>
        <w:t xml:space="preserve">Least-privilege service accounts, signed releases, and secrets in an encrypted vault.</w:t>
      </w:r>
    </w:p>
    <w:p>
      <w:pPr>
        <w:pStyle w:val="Heading2"/>
      </w:pPr>
      <w:r>
        <w:t xml:space="preserve">18.2 Data protection — encryption, secrets, isolation</w:t>
      </w:r>
    </w:p>
    <w:p>
      <w:pPr>
        <w:pStyle w:val="ListParagraph"/>
        <w:numPr>
          <w:ilvl w:val="0"/>
          <w:numId w:val="2"/>
        </w:numPr>
        <w:spacing w:after="70" w:line="268"/>
      </w:pPr>
      <w:r>
        <w:rPr>
          <w:color w:val="16202D"/>
          <w:sz w:val="20"/>
          <w:szCs w:val="20"/>
        </w:rPr>
        <w:t xml:space="preserve">Encryption in transit (TLS 1.2+ / 1.3) and at rest (database and backups).</w:t>
      </w:r>
    </w:p>
    <w:p>
      <w:pPr>
        <w:pStyle w:val="ListParagraph"/>
        <w:numPr>
          <w:ilvl w:val="0"/>
          <w:numId w:val="2"/>
        </w:numPr>
        <w:spacing w:after="70" w:line="268"/>
      </w:pPr>
      <w:r>
        <w:rPr>
          <w:color w:val="16202D"/>
          <w:sz w:val="20"/>
          <w:szCs w:val="20"/>
        </w:rPr>
        <w:t xml:space="preserve">Secrets — source credentials and signing keys — live in an encrypted vault, masked on read-back, never in the browser.</w:t>
      </w:r>
    </w:p>
    <w:p>
      <w:pPr>
        <w:pStyle w:val="ListParagraph"/>
        <w:numPr>
          <w:ilvl w:val="0"/>
          <w:numId w:val="2"/>
        </w:numPr>
        <w:spacing w:after="70" w:line="268"/>
      </w:pPr>
      <w:r>
        <w:rPr>
          <w:color w:val="16202D"/>
          <w:sz w:val="20"/>
          <w:szCs w:val="20"/>
        </w:rPr>
        <w:t xml:space="preserve">Tenant isolation by TenantId + row-level security in shared SaaS, physical isolation when dedicated, and explicit cross-tenant-leakage testing (§10.1).</w:t>
      </w:r>
    </w:p>
    <w:p>
      <w:pPr>
        <w:pStyle w:val="Heading2"/>
      </w:pPr>
      <w:r>
        <w:t xml:space="preserve">18.3 Certifications &amp; assurance</w:t>
      </w:r>
    </w:p>
    <w:p>
      <w:pPr>
        <w:pStyle w:val="ListParagraph"/>
        <w:numPr>
          <w:ilvl w:val="0"/>
          <w:numId w:val="2"/>
        </w:numPr>
        <w:spacing w:after="70" w:line="268"/>
      </w:pPr>
      <w:r>
        <w:rPr>
          <w:color w:val="16202D"/>
          <w:sz w:val="20"/>
          <w:szCs w:val="20"/>
        </w:rPr>
        <w:t xml:space="preserve">SOC 2 Type II and ISO 27001 are the assurance targets for the SaaS offering; current status is always stated honestly rather than implied.</w:t>
      </w:r>
    </w:p>
    <w:p>
      <w:pPr>
        <w:pStyle w:val="ListParagraph"/>
        <w:numPr>
          <w:ilvl w:val="0"/>
          <w:numId w:val="2"/>
        </w:numPr>
        <w:spacing w:after="70" w:line="268"/>
      </w:pPr>
      <w:r>
        <w:rPr>
          <w:color w:val="16202D"/>
          <w:sz w:val="20"/>
          <w:szCs w:val="20"/>
        </w:rPr>
        <w:t xml:space="preserve">Independent penetration-test summaries available under NDA.</w:t>
      </w:r>
    </w:p>
    <w:p>
      <w:pPr>
        <w:pStyle w:val="ListParagraph"/>
        <w:numPr>
          <w:ilvl w:val="0"/>
          <w:numId w:val="2"/>
        </w:numPr>
        <w:spacing w:after="70" w:line="268"/>
      </w:pPr>
      <w:r>
        <w:rPr>
          <w:color w:val="16202D"/>
          <w:sz w:val="20"/>
          <w:szCs w:val="20"/>
        </w:rPr>
        <w:t xml:space="preserve">A trust page documents controls, sub-processors and security posture.</w:t>
      </w:r>
    </w:p>
    <w:p>
      <w:pPr>
        <w:pStyle w:val="Heading2"/>
      </w:pPr>
      <w:r>
        <w:t xml:space="preserve">18.4 Privacy &amp; GDPR</w:t>
      </w:r>
    </w:p>
    <w:p>
      <w:pPr>
        <w:pStyle w:val="ListParagraph"/>
        <w:numPr>
          <w:ilvl w:val="0"/>
          <w:numId w:val="2"/>
        </w:numPr>
        <w:spacing w:after="70" w:line="268"/>
      </w:pPr>
      <w:r>
        <w:rPr>
          <w:color w:val="16202D"/>
          <w:sz w:val="20"/>
          <w:szCs w:val="20"/>
        </w:rPr>
        <w:t xml:space="preserve">EU hosting and data-residency options, a Data Processing Agreement, and a documented sub-processor list.</w:t>
      </w:r>
    </w:p>
    <w:p>
      <w:pPr>
        <w:pStyle w:val="ListParagraph"/>
        <w:numPr>
          <w:ilvl w:val="0"/>
          <w:numId w:val="2"/>
        </w:numPr>
        <w:spacing w:after="70" w:line="268"/>
      </w:pPr>
      <w:r>
        <w:rPr>
          <w:color w:val="16202D"/>
          <w:sz w:val="20"/>
          <w:szCs w:val="20"/>
        </w:rPr>
        <w:t xml:space="preserve">Data minimization (the assistant boundary, §7.8) and the read-only nature limit personal-data exposure in the first place.</w:t>
      </w:r>
    </w:p>
    <w:p>
      <w:pPr>
        <w:pStyle w:val="ListParagraph"/>
        <w:numPr>
          <w:ilvl w:val="0"/>
          <w:numId w:val="2"/>
        </w:numPr>
        <w:spacing w:after="70" w:line="268"/>
      </w:pPr>
      <w:r>
        <w:rPr>
          <w:color w:val="16202D"/>
          <w:sz w:val="20"/>
          <w:szCs w:val="20"/>
        </w:rPr>
        <w:t xml:space="preserve">Support for data-subject requests where applicable, with retention controls.</w:t>
      </w:r>
    </w:p>
    <w:p>
      <w:pPr>
        <w:pStyle w:val="Heading2"/>
      </w:pPr>
      <w:r>
        <w:t xml:space="preserve">18.5 Regulated industries — GxP, 21 CFR Part 11, ALCOA+ (optional pack)</w:t>
      </w:r>
    </w:p>
    <w:p>
      <w:pPr>
        <w:pStyle w:val="ListParagraph"/>
        <w:numPr>
          <w:ilvl w:val="0"/>
          <w:numId w:val="2"/>
        </w:numPr>
        <w:spacing w:after="70" w:line="268"/>
      </w:pPr>
      <w:r>
        <w:rPr>
          <w:color w:val="16202D"/>
          <w:sz w:val="20"/>
          <w:szCs w:val="20"/>
        </w:rPr>
        <w:t xml:space="preserve">For pharma and other regulated plants, the optional Compliance &amp; Audit pack adds full audit trails, electronic signatures (21 CFR Part 11) and data-integrity controls aligned to ALCOA+ (Attributable, Legible, Contemporaneous, Original, Accurate — plus Complete, Consistent, Enduring, Available).</w:t>
      </w:r>
    </w:p>
    <w:p>
      <w:pPr>
        <w:pStyle w:val="ListParagraph"/>
        <w:numPr>
          <w:ilvl w:val="0"/>
          <w:numId w:val="2"/>
        </w:numPr>
        <w:spacing w:after="70" w:line="268"/>
      </w:pPr>
      <w:r>
        <w:rPr>
          <w:color w:val="16202D"/>
          <w:sz w:val="20"/>
          <w:szCs w:val="20"/>
        </w:rPr>
        <w:t xml:space="preserve">Validation support (IQ / OQ / PQ documentation) for qualified environments.</w:t>
      </w:r>
    </w:p>
    <w:p>
      <w:pPr>
        <w:pStyle w:val="ListParagraph"/>
        <w:numPr>
          <w:ilvl w:val="0"/>
          <w:numId w:val="2"/>
        </w:numPr>
        <w:spacing w:after="70" w:line="268"/>
      </w:pPr>
      <w:r>
        <w:rPr>
          <w:color w:val="16202D"/>
          <w:sz w:val="20"/>
          <w:szCs w:val="20"/>
        </w:rPr>
        <w:t xml:space="preserve">PPIQ stays read-only and investigative; the pack provides the controls a validated environment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A program and a roadmap, stated honestly</w:t>
            </w:r>
          </w:p>
          <w:p>
            <w:pPr>
              <w:spacing w:after="0" w:line="256"/>
            </w:pPr>
            <w:r>
              <w:rPr>
                <w:color w:val="16202D"/>
                <w:sz w:val="18"/>
                <w:szCs w:val="18"/>
              </w:rPr>
              <w:t xml:space="preserve">Encryption, isolation, secure SDLC, SOC 2 / ISO 27001 targets, GDPR, and an optional GxP / 21 CFR Part 11 pack — the security story is built the same way the product is: verifiable, scoped, and never over-claimed.</w:t>
            </w:r>
          </w:p>
        </w:tc>
      </w:tr>
    </w:tbl>
    <w:p>
      <w:pPr>
        <w:pStyle w:val="Heading2"/>
      </w:pPr>
      <w:r>
        <w:t xml:space="preserve">18.B · In plain terms — for buyers, not engineers</w:t>
      </w:r>
    </w:p>
    <w:p>
      <w:pPr>
        <w:spacing w:after="120" w:before="0" w:line="274"/>
      </w:pPr>
      <w:r>
        <w:rPr>
          <w:i/>
          <w:iCs/>
          <w:color w:val="8EA7C1"/>
          <w:sz w:val="19"/>
          <w:szCs w:val="19"/>
        </w:rPr>
        <w:t xml:space="preserve">How your data and credentials are protected, and what your security and procurement teams will receive.</w:t>
      </w:r>
    </w:p>
    <w:p>
      <w:pPr>
        <w:spacing w:after="60" w:before="80" w:line="274"/>
      </w:pPr>
      <w:r>
        <w:rPr>
          <w:b/>
          <w:bCs/>
          <w:color w:val="102A43"/>
          <w:sz w:val="18"/>
          <w:szCs w:val="18"/>
        </w:rPr>
        <w:t xml:space="preserve">▸ Data protection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In transit:  TLS 1.2+/1.3</w:t>
            </w:r>
          </w:p>
          <w:p>
            <w:pPr>
              <w:spacing w:after="0" w:before="0" w:line="240"/>
            </w:pPr>
            <w:r>
              <w:rPr>
                <w:rFonts w:ascii="JetBrains Mono" w:cs="JetBrains Mono" w:eastAsia="JetBrains Mono" w:hAnsi="JetBrains Mono"/>
                <w:color w:val="EAF6FF"/>
                <w:sz w:val="16"/>
                <w:szCs w:val="16"/>
              </w:rPr>
              <w:t xml:space="preserve">At rest:     database + backups encrypted</w:t>
            </w:r>
          </w:p>
          <w:p>
            <w:pPr>
              <w:spacing w:after="0" w:before="0" w:line="240"/>
            </w:pPr>
            <w:r>
              <w:rPr>
                <w:rFonts w:ascii="JetBrains Mono" w:cs="JetBrains Mono" w:eastAsia="JetBrains Mono" w:hAnsi="JetBrains Mono"/>
                <w:color w:val="EAF6FF"/>
                <w:sz w:val="16"/>
                <w:szCs w:val="16"/>
              </w:rPr>
              <w:t xml:space="preserve">Secrets:     source credentials + signing keys in an encrypted vault (never in the browser)</w:t>
            </w:r>
          </w:p>
          <w:p>
            <w:pPr>
              <w:spacing w:after="0" w:before="0" w:line="240"/>
            </w:pPr>
            <w:r>
              <w:rPr>
                <w:rFonts w:ascii="JetBrains Mono" w:cs="JetBrains Mono" w:eastAsia="JetBrains Mono" w:hAnsi="JetBrains Mono"/>
                <w:color w:val="EAF6FF"/>
                <w:sz w:val="16"/>
                <w:szCs w:val="16"/>
              </w:rPr>
              <w:t xml:space="preserve">Isolation:   TenantId + row-level security; explicit cross-tenant leakage tests</w:t>
            </w:r>
          </w:p>
        </w:tc>
      </w:tr>
    </w:tbl>
    <w:p>
      <w:pPr>
        <w:spacing w:after="60" w:before="80" w:line="274"/>
      </w:pPr>
      <w:r>
        <w:rPr>
          <w:b/>
          <w:bCs/>
          <w:color w:val="102A43"/>
          <w:sz w:val="18"/>
          <w:szCs w:val="18"/>
        </w:rPr>
        <w:t xml:space="preserve">▸ Assurance package your security team receives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Item</w:t>
            </w:r>
          </w:p>
        </w:tc>
        <w:tc>
          <w:tcPr>
            <w:tcW w:type="dxa" w:w="6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you get</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Encryption &amp; key management</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TLS + at-rest; vault-held secrets; KEK / DEK with documented rotation</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Tenant isolation proof</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Row-level security + a cross-tenant leakage test in the test suite</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SOC 2 / ISO 27001</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Stated as targets with current status given honestly; pen-test summaries under NDA</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DPA &amp; sub-processors</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Data Processing Agreement, EU hosting option, documented sub-processor list, trust page</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GDPR</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Data-subject requests and retention controls; read-only design limits personal-data exposure</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GxP / 21 CFR Part 11 (optional)</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Audit trails, e-signatures, ALCOA+, and IQ / OQ / PQ validation support</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Audit &amp; retention</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Sensitive actions audited (who / what / when / old→new); configurable retention</w:t>
            </w:r>
          </w:p>
        </w:tc>
      </w:tr>
    </w:tbl>
    <w:p>
      <w:pPr>
        <w:pStyle w:val="Heading1"/>
      </w:pPr>
      <w:r>
        <w:t xml:space="preserve">19 · Value, ROI &amp; Competitive Positioning</w:t>
      </w:r>
    </w:p>
    <w:p>
      <w:pPr>
        <w:pBdr>
          <w:bottom w:val="single" w:color="00D4FF" w:sz="14" w:space="1"/>
        </w:pBdr>
        <w:spacing w:after="140" w:before="20"/>
      </w:pPr>
      <w:r>
        <w:t xml:space="preserve"/>
      </w:r>
    </w:p>
    <w:p>
      <w:pPr>
        <w:spacing w:after="140" w:before="0" w:line="274"/>
      </w:pPr>
      <w:r>
        <w:rPr>
          <w:color w:val="16202D"/>
          <w:sz w:val="20"/>
          <w:szCs w:val="20"/>
        </w:rPr>
        <w:t xml:space="preserve">The non-technical buyer asks "why you, why now, and what is the payback?" v5 answers concretely, in euros, and against the real alternatives.</w:t>
      </w:r>
    </w:p>
    <w:p>
      <w:pPr>
        <w:pStyle w:val="Heading2"/>
      </w:pPr>
      <w:r>
        <w:t xml:space="preserve">19.1 The cost the plant already pays</w:t>
      </w:r>
    </w:p>
    <w:p>
      <w:pPr>
        <w:spacing w:after="140" w:before="0" w:line="274"/>
      </w:pPr>
      <w:r>
        <w:rPr>
          <w:color w:val="16202D"/>
          <w:sz w:val="20"/>
          <w:szCs w:val="20"/>
        </w:rPr>
        <w:t xml:space="preserve">Every plant already loses money to poor quality, downtime and yield gaps. The losses are large, recurring, and mostly invisible because they are spread across systems that never talk to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Loss type</w:t>
            </w:r>
          </w:p>
        </w:tc>
        <w:tc>
          <w:tcPr>
            <w:tcW w:type="dxa" w:w="6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Where it hides today</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Quality losses</w:t>
            </w:r>
          </w:p>
        </w:tc>
        <w:tc>
          <w:tcPr>
            <w:tcW w:type="dxa" w:w="6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scrap, downgrades, customer claims and rework — spread across MES, inspection, lab and Excel</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Downtime losses</w:t>
            </w:r>
          </w:p>
        </w:tc>
        <w:tc>
          <w:tcPr>
            <w:tcW w:type="dxa" w:w="6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production-impact minutes — buried in shift logs and the CMMS</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Yield losses</w:t>
            </w:r>
          </w:p>
        </w:tc>
        <w:tc>
          <w:tcPr>
            <w:tcW w:type="dxa" w:w="6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first-pass yield gaps — never reconciled across the chain</w:t>
            </w:r>
          </w:p>
        </w:tc>
      </w:tr>
    </w:tbl>
    <w:p>
      <w:pPr>
        <w:pStyle w:val="Heading2"/>
      </w:pPr>
      <w:r>
        <w:t xml:space="preserve">19.2 How PPIQ returns money — the levers</w:t>
      </w:r>
    </w:p>
    <w:p>
      <w:pPr>
        <w:pStyle w:val="ListParagraph"/>
        <w:numPr>
          <w:ilvl w:val="0"/>
          <w:numId w:val="2"/>
        </w:numPr>
        <w:spacing w:after="70" w:line="268"/>
      </w:pPr>
      <w:r>
        <w:rPr>
          <w:b/>
          <w:bCs/>
          <w:color w:val="16202D"/>
          <w:sz w:val="20"/>
          <w:szCs w:val="20"/>
        </w:rPr>
        <w:t xml:space="preserve">Less downtime: </w:t>
      </w:r>
      <w:r>
        <w:rPr>
          <w:color w:val="16202D"/>
          <w:sz w:val="20"/>
          <w:szCs w:val="20"/>
        </w:rPr>
        <w:t xml:space="preserve">surface and cost the contributors to production-impact downtime, so the plant fixes the expensive ones first (§5.2).</w:t>
      </w:r>
    </w:p>
    <w:p>
      <w:pPr>
        <w:pStyle w:val="ListParagraph"/>
        <w:numPr>
          <w:ilvl w:val="0"/>
          <w:numId w:val="2"/>
        </w:numPr>
        <w:spacing w:after="70" w:line="268"/>
      </w:pPr>
      <w:r>
        <w:rPr>
          <w:b/>
          <w:bCs/>
          <w:color w:val="16202D"/>
          <w:sz w:val="20"/>
          <w:szCs w:val="20"/>
        </w:rPr>
        <w:t xml:space="preserve">Better quality: </w:t>
      </w:r>
      <w:r>
        <w:rPr>
          <w:color w:val="16202D"/>
          <w:sz w:val="20"/>
          <w:szCs w:val="20"/>
        </w:rPr>
        <w:t xml:space="preserve">find suspected contributors to defects faster, reducing scrap and downgrades (§7.4).</w:t>
      </w:r>
    </w:p>
    <w:p>
      <w:pPr>
        <w:pStyle w:val="ListParagraph"/>
        <w:numPr>
          <w:ilvl w:val="0"/>
          <w:numId w:val="2"/>
        </w:numPr>
        <w:spacing w:after="70" w:line="268"/>
      </w:pPr>
      <w:r>
        <w:rPr>
          <w:b/>
          <w:bCs/>
          <w:color w:val="16202D"/>
          <w:sz w:val="20"/>
          <w:szCs w:val="20"/>
        </w:rPr>
        <w:t xml:space="preserve">Fewer losses: </w:t>
      </w:r>
      <w:r>
        <w:rPr>
          <w:color w:val="16202D"/>
          <w:sz w:val="20"/>
          <w:szCs w:val="20"/>
        </w:rPr>
        <w:t xml:space="preserve">reconcile yield across the chain and catch the silent coverage gaps that hide problems (§5.4).</w:t>
      </w:r>
    </w:p>
    <w:p>
      <w:pPr>
        <w:pStyle w:val="ListParagraph"/>
        <w:numPr>
          <w:ilvl w:val="0"/>
          <w:numId w:val="2"/>
        </w:numPr>
        <w:spacing w:after="70" w:line="268"/>
      </w:pPr>
      <w:r>
        <w:rPr>
          <w:b/>
          <w:bCs/>
          <w:color w:val="16202D"/>
          <w:sz w:val="20"/>
          <w:szCs w:val="20"/>
        </w:rPr>
        <w:t xml:space="preserve">Faster engineers: </w:t>
      </w:r>
      <w:r>
        <w:rPr>
          <w:color w:val="16202D"/>
          <w:sz w:val="20"/>
          <w:szCs w:val="20"/>
        </w:rPr>
        <w:t xml:space="preserve">minutes to a genealogy answer instead of days of manual joins (§5.1).</w:t>
      </w:r>
    </w:p>
    <w:p>
      <w:pPr>
        <w:pStyle w:val="Heading2"/>
      </w:pPr>
      <w:r>
        <w:t xml:space="preserve">19.3 Worked business case &amp; payback</w:t>
      </w:r>
    </w:p>
    <w:p>
      <w:pPr>
        <w:spacing w:after="140" w:before="0" w:line="274"/>
      </w:pPr>
      <w:r>
        <w:rPr>
          <w:color w:val="16202D"/>
          <w:sz w:val="20"/>
          <w:szCs w:val="20"/>
        </w:rPr>
        <w:t xml:space="preserve">Using the value engine's own numbers (§7.5): a single sustained finding like the edge-crack / superheat case represents roughly €28k-€56k per month of addressable loss. Even a conservative capture rate clears a plant-platform subscription in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Line</w:t>
            </w:r>
          </w:p>
        </w:tc>
        <w:tc>
          <w:tcPr>
            <w:tcW w:type="dxa" w:w="4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Illustrative figure</w:t>
            </w:r>
          </w:p>
        </w:tc>
      </w:tr>
      <w:tr>
        <w:tc>
          <w:tcPr>
            <w:tcW w:type="dxa" w:w="4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Addressable monthly impact (one finding)</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€28k-€56k (point ≈ €42k)</w:t>
            </w:r>
          </w:p>
        </w:tc>
      </w:tr>
      <w:tr>
        <w:tc>
          <w:tcPr>
            <w:tcW w:type="dxa" w:w="4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Annualized</w:t>
            </w:r>
          </w:p>
        </w:tc>
        <w:tc>
          <w:tcPr>
            <w:tcW w:type="dxa" w:w="4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 €340k-€670k</w:t>
            </w:r>
          </w:p>
        </w:tc>
      </w:tr>
      <w:tr>
        <w:tc>
          <w:tcPr>
            <w:tcW w:type="dxa" w:w="4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Captured, conservative (e.g. 25%)</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 €85k-€170k / year</w:t>
            </w:r>
          </w:p>
        </w:tc>
      </w:tr>
      <w:tr>
        <w:tc>
          <w:tcPr>
            <w:tcW w:type="dxa" w:w="4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Payback vs. an annual subscription</w:t>
            </w:r>
          </w:p>
        </w:tc>
        <w:tc>
          <w:tcPr>
            <w:tcW w:type="dxa" w:w="4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typically a few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Payback is shown, not asserted</w:t>
            </w:r>
          </w:p>
          <w:p>
            <w:pPr>
              <w:spacing w:after="0" w:line="256"/>
            </w:pPr>
            <w:r>
              <w:rPr>
                <w:color w:val="16202D"/>
                <w:sz w:val="18"/>
                <w:szCs w:val="18"/>
              </w:rPr>
              <w:t xml:space="preserve">The value engine computes a bounded euro range from the customer's own cost inputs, the Proof-of-Value pilot (§14.5) reconciles it on real data, and even a conservative capture rate clears a plant-platform subscription in months. The arithmetic is on screen and drill-throughable — the buyer checks it, they do not take it on faith.</w:t>
            </w:r>
          </w:p>
        </w:tc>
      </w:tr>
    </w:tbl>
    <w:p>
      <w:pPr>
        <w:pStyle w:val="Heading2"/>
      </w:pPr>
      <w:r>
        <w:t xml:space="preserve">19.4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Versus</w:t>
            </w:r>
          </w:p>
        </w:tc>
        <w:tc>
          <w:tcPr>
            <w:tcW w:type="dxa" w:w="6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Why PPIQ wins</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Generic BI (Power BI, Tableau, Qlik)</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BI draws charts but carries no manufacturing semantics — no genealogy, no readiness gates, no value model, no honest suggestions. PPIQ is the intelligence layer above the data BI cannot model.</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Doing nothing / status quo</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cost of poor quality and downtime continues, unattributed. PPIQ makes the invisible loss visible and costed.</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Hiring a data scientist / DIY</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bespoke project is slow, person-dependent and unrepeatable. PPIQ is the productized, governed, repeatable version, with statistical discipline built in.</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Platform / black-box industrial AI</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Opaque "the AI says" tools fail the skeptic test. PPIQ shows the math, cites every number and refuses to over-claim — faster to value and lower TCO.</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MES / L2 / historian-vendor analytics</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Those are single-system and vendor-locked. PPIQ is cross-system, read-only and vendor-neutral — it connects the silos each of them only half-sees.</w:t>
            </w:r>
          </w:p>
        </w:tc>
      </w:tr>
    </w:tbl>
    <w:p>
      <w:pPr>
        <w:pStyle w:val="Heading2"/>
      </w:pPr>
      <w:r>
        <w:t xml:space="preserve">19.5 The durable differentiators</w:t>
      </w:r>
    </w:p>
    <w:p>
      <w:pPr>
        <w:pStyle w:val="ListParagraph"/>
        <w:numPr>
          <w:ilvl w:val="0"/>
          <w:numId w:val="2"/>
        </w:numPr>
        <w:spacing w:after="70" w:line="268"/>
      </w:pPr>
      <w:r>
        <w:rPr>
          <w:color w:val="16202D"/>
          <w:sz w:val="20"/>
          <w:szCs w:val="20"/>
        </w:rPr>
        <w:t xml:space="preserve">Transparency and honesty as a moat — a skeptic trusts "suspected contributor + evidence" over "the AI says."</w:t>
      </w:r>
    </w:p>
    <w:p>
      <w:pPr>
        <w:pStyle w:val="ListParagraph"/>
        <w:numPr>
          <w:ilvl w:val="0"/>
          <w:numId w:val="2"/>
        </w:numPr>
        <w:spacing w:after="70" w:line="268"/>
      </w:pPr>
      <w:r>
        <w:rPr>
          <w:color w:val="16202D"/>
          <w:sz w:val="20"/>
          <w:szCs w:val="20"/>
        </w:rPr>
        <w:t xml:space="preserve">Read-only and cross-system — approvable by plant IT, and able to see what no single system sees.</w:t>
      </w:r>
    </w:p>
    <w:p>
      <w:pPr>
        <w:pStyle w:val="ListParagraph"/>
        <w:numPr>
          <w:ilvl w:val="0"/>
          <w:numId w:val="2"/>
        </w:numPr>
        <w:spacing w:after="70" w:line="268"/>
      </w:pPr>
      <w:r>
        <w:rPr>
          <w:color w:val="16202D"/>
          <w:sz w:val="20"/>
          <w:szCs w:val="20"/>
        </w:rPr>
        <w:t xml:space="preserve">Manufacturing-native semantics — genealogy, blended provenance, production-impact downtime, coverage honesty.</w:t>
      </w:r>
    </w:p>
    <w:p>
      <w:pPr>
        <w:pStyle w:val="ListParagraph"/>
        <w:numPr>
          <w:ilvl w:val="0"/>
          <w:numId w:val="2"/>
        </w:numPr>
        <w:spacing w:after="70" w:line="268"/>
      </w:pPr>
      <w:r>
        <w:rPr>
          <w:color w:val="16202D"/>
          <w:sz w:val="20"/>
          <w:szCs w:val="20"/>
        </w:rPr>
        <w:t xml:space="preserve">Faster time-to-value and lower TCO — no-code mapping, templates and a pilot, versus a multi-month data-science build.</w:t>
      </w:r>
    </w:p>
    <w:p>
      <w:pPr>
        <w:pStyle w:val="ListParagraph"/>
        <w:numPr>
          <w:ilvl w:val="0"/>
          <w:numId w:val="2"/>
        </w:numPr>
        <w:spacing w:after="70" w:line="268"/>
      </w:pPr>
      <w:r>
        <w:rPr>
          <w:color w:val="16202D"/>
          <w:sz w:val="20"/>
          <w:szCs w:val="20"/>
        </w:rPr>
        <w:t xml:space="preserve">Value in euros — every finding carries a bounded, traceable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Verifiable honesty is the differentiator</w:t>
            </w:r>
          </w:p>
          <w:p>
            <w:pPr>
              <w:spacing w:after="0" w:line="256"/>
            </w:pPr>
            <w:r>
              <w:rPr>
                <w:color w:val="16202D"/>
                <w:sz w:val="18"/>
                <w:szCs w:val="18"/>
              </w:rPr>
              <w:t xml:space="preserve">PPIQ wins not by claiming more than competitors, but by claiming exactly what it can prove — and proving it on the customer's data, in euros. In a market full of black-box AI, that is what closes a skeptical industrial buyer.</w:t>
            </w:r>
          </w:p>
        </w:tc>
      </w:tr>
    </w:tbl>
    <w:p>
      <w:pPr>
        <w:pStyle w:val="Heading2"/>
      </w:pPr>
      <w:r>
        <w:t xml:space="preserve">19.B · In plain terms — for buyers, not engineers</w:t>
      </w:r>
    </w:p>
    <w:p>
      <w:pPr>
        <w:spacing w:after="120" w:before="0" w:line="274"/>
      </w:pPr>
      <w:r>
        <w:rPr>
          <w:i/>
          <w:iCs/>
          <w:color w:val="8EA7C1"/>
          <w:sz w:val="19"/>
          <w:szCs w:val="19"/>
        </w:rPr>
        <w:t xml:space="preserve">How the money shows up for each buyer, and how payback is demonstrated rather than asserted.</w:t>
      </w:r>
    </w:p>
    <w:p>
      <w:pPr>
        <w:spacing w:after="60" w:before="80" w:line="274"/>
      </w:pPr>
      <w:r>
        <w:rPr>
          <w:b/>
          <w:bCs/>
          <w:color w:val="102A43"/>
          <w:sz w:val="18"/>
          <w:szCs w:val="18"/>
        </w:rPr>
        <w:t xml:space="preserve">▸ Value by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300"/>
        <w:gridCol w:w="3300"/>
      </w:tblGrid>
      <w:tr>
        <w:trPr>
          <w:tblHeader/>
        </w:trPr>
        <w:tc>
          <w:tcPr>
            <w:tcW w:type="dxa" w:w="2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Buyer</w:t>
            </w:r>
          </w:p>
        </w:tc>
        <w:tc>
          <w:tcPr>
            <w:tcW w:type="dxa" w:w="3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Lever</w:t>
            </w:r>
          </w:p>
        </w:tc>
        <w:tc>
          <w:tcPr>
            <w:tcW w:type="dxa" w:w="3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Proof</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Plant Manager</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Less downtime, higher yield</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Euro impact + priority actions</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Quality Manager</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Fewer defects and claims</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Defect-driver investigation</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Process Engineer</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Faster investigation</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One-click genealogy + analysis</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CFO</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Clear, bounded ROI</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Payback model on your own data</w:t>
            </w:r>
          </w:p>
        </w:tc>
      </w:tr>
    </w:tbl>
    <w:p>
      <w:pPr>
        <w:spacing w:after="60" w:before="80" w:line="274"/>
      </w:pPr>
      <w:r>
        <w:rPr>
          <w:b/>
          <w:bCs/>
          <w:color w:val="102A43"/>
          <w:sz w:val="18"/>
          <w:szCs w:val="18"/>
        </w:rPr>
        <w:t xml:space="preserve">▸ How payback is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Hidden losses today  -&gt;  PPIQ surfaces a driver (with evidence)</w:t>
            </w:r>
          </w:p>
          <w:p>
            <w:pPr>
              <w:spacing w:after="0" w:before="0" w:line="240"/>
            </w:pPr>
            <w:r>
              <w:rPr>
                <w:rFonts w:ascii="JetBrains Mono" w:cs="JetBrains Mono" w:eastAsia="JetBrains Mono" w:hAnsi="JetBrains Mono"/>
                <w:color w:val="EAF6FF"/>
                <w:sz w:val="16"/>
                <w:szCs w:val="16"/>
              </w:rPr>
              <w:t xml:space="preserve">   -&gt;  you act  -&gt;  euro saved (measured against the KPI it targeted)</w:t>
            </w:r>
          </w:p>
          <w:p>
            <w:pPr>
              <w:spacing w:after="0" w:before="0" w:line="240"/>
            </w:pPr>
            <w:r>
              <w:rPr>
                <w:rFonts w:ascii="JetBrains Mono" w:cs="JetBrains Mono" w:eastAsia="JetBrains Mono" w:hAnsi="JetBrains Mono"/>
                <w:color w:val="EAF6FF"/>
                <w:sz w:val="16"/>
                <w:szCs w:val="16"/>
              </w:rPr>
              <w:t xml:space="preserve">   -&gt;  payback period shown — a bounded low–high range from your own cost inputs</w:t>
            </w:r>
          </w:p>
        </w:tc>
      </w:tr>
    </w:tbl>
    <w:p>
      <w:pPr>
        <w:pStyle w:val="Heading1"/>
      </w:pPr>
      <w:r>
        <w:t xml:space="preserve">20 · Traceability — 4-Track Vision to v5.0</w:t>
      </w:r>
    </w:p>
    <w:p>
      <w:pPr>
        <w:pBdr>
          <w:bottom w:val="single" w:color="00D4FF" w:sz="14" w:space="1"/>
        </w:pBdr>
        <w:spacing w:after="140" w:before="20"/>
      </w:pPr>
      <w:r>
        <w:t xml:space="preserve"/>
      </w:r>
    </w:p>
    <w:p>
      <w:pPr>
        <w:spacing w:after="140" w:before="0" w:line="274"/>
      </w:pPr>
      <w:r>
        <w:rPr>
          <w:color w:val="16202D"/>
          <w:sz w:val="20"/>
          <w:szCs w:val="20"/>
        </w:rPr>
        <w:t xml:space="preserve">The 4-Track Vision remains the backbone. Every track maps into v5, and every gap a buyer exposed is closed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Compass track</w:t>
            </w:r>
          </w:p>
        </w:tc>
        <w:tc>
          <w:tcPr>
            <w:tcW w:type="dxa" w:w="31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Where it lives in v5</w:t>
            </w:r>
          </w:p>
        </w:tc>
        <w:tc>
          <w:tcPr>
            <w:tcW w:type="dxa" w:w="2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Status</w:t>
            </w:r>
          </w:p>
        </w:tc>
      </w:tr>
      <w:tr>
        <w:tc>
          <w:tcPr>
            <w:tcW w:type="dxa" w:w="4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Track 1 — Workflow (connect, map, build, analyze, suggest, assist)</w:t>
            </w:r>
          </w:p>
        </w:tc>
        <w:tc>
          <w:tcPr>
            <w:tcW w:type="dxa" w:w="31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§3-§8, §11-§12</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fully expressed; gaps closed</w:t>
            </w:r>
          </w:p>
        </w:tc>
      </w:tr>
      <w:tr>
        <w:tc>
          <w:tcPr>
            <w:tcW w:type="dxa" w:w="4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Track 2 — Hardening (security, quality, enterprise-readiness)</w:t>
            </w:r>
          </w:p>
        </w:tc>
        <w:tc>
          <w:tcPr>
            <w:tcW w:type="dxa" w:w="31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§9-§10, §13, §16, §18</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deepened: identity, licensing, security &amp; compliance</w:t>
            </w:r>
          </w:p>
        </w:tc>
      </w:tr>
      <w:tr>
        <w:tc>
          <w:tcPr>
            <w:tcW w:type="dxa" w:w="4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Track 3 — Demo (the flat-steel proof, built through the HMI)</w:t>
            </w:r>
          </w:p>
        </w:tc>
        <w:tc>
          <w:tcPr>
            <w:tcW w:type="dxa" w:w="31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§14, Appendices A-B</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preserved; pilot path added (§14.5)</w:t>
            </w:r>
          </w:p>
        </w:tc>
      </w:tr>
      <w:tr>
        <w:tc>
          <w:tcPr>
            <w:tcW w:type="dxa" w:w="4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Track 4 — Website (brand, ecosystem, commercial)</w:t>
            </w:r>
          </w:p>
        </w:tc>
        <w:tc>
          <w:tcPr>
            <w:tcW w:type="dxa" w:w="31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§15, §19</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preserved; value &amp; competitive story added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Nothing in the compass was dropped</w:t>
            </w:r>
          </w:p>
          <w:p>
            <w:pPr>
              <w:spacing w:after="0" w:line="256"/>
            </w:pPr>
            <w:r>
              <w:rPr>
                <w:color w:val="16202D"/>
                <w:sz w:val="18"/>
                <w:szCs w:val="18"/>
              </w:rPr>
              <w:t xml:space="preserve">v5 is the compass, deepened until every track survives a hard buyer review. The value story (Track 4) and the hardening (Track 2) are now strong enough to close a deal, not just describe one.</w:t>
            </w:r>
          </w:p>
        </w:tc>
      </w:tr>
    </w:tbl>
    <w:p>
      <w:pPr>
        <w:pStyle w:val="Heading1"/>
      </w:pPr>
      <w:r>
        <w:t xml:space="preserve">21 · Acceptance Gates &amp; Definition of Done</w:t>
      </w:r>
    </w:p>
    <w:p>
      <w:pPr>
        <w:pBdr>
          <w:bottom w:val="single" w:color="00D4FF" w:sz="14" w:space="1"/>
        </w:pBdr>
        <w:spacing w:after="140" w:before="20"/>
      </w:pPr>
      <w:r>
        <w:t xml:space="preserve"/>
      </w:r>
    </w:p>
    <w:p>
      <w:pPr>
        <w:spacing w:after="140" w:before="0" w:line="274"/>
      </w:pPr>
      <w:r>
        <w:rPr>
          <w:color w:val="16202D"/>
          <w:sz w:val="20"/>
          <w:szCs w:val="20"/>
        </w:rPr>
        <w:t xml:space="preserve">The next backlog is generated from these gates. Each gate is a binary proof, not a feeling.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Gate</w:t>
            </w:r>
          </w:p>
        </w:tc>
        <w:tc>
          <w:tcPr>
            <w:tcW w:type="dxa" w:w="66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must be true</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G1 · Connectivity</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Sources connect via the Edge Collector; credentials vaulted; connectivity tested per source.</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G2 · Mapping</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Business keys and safe-SQL views publish, dry-run and roll back; coverage shown.</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G3 · Canonical &amp; genealogy</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heat → coil thread is navigable; blended provenance is modelled (§5.3).</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G4 · Pipeline</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Simple analysis works day 1; advanced is gated, with method and evidence on the surface.</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G5 · Value</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Findings carry bounded euro ranges from per-tenant cost inputs.</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G6 · Suggestions</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Deterministic, evidence- and impact-ranked, with statuses tracked.</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G7 · Assistant</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Grounded runtime; no-fabrication guard; every number cited.</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G8 · UI quality</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Edge states honest; performance budgets met; no dead buttons.</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G9 · Jobs</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Visible, idempotent, retried, isolated from interactive traffic.</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G10 · Demo</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Built through the HMI; seeded rows tagged; learning recomputes.</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G11 · Data boundary &amp; model governance (new)</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Egress contract enforced; eval harness green; model version pinned (§7.8-7.9).</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G12 · Identity &amp; auth (new)</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Argon2id, MFA, in-memory tokens, sessions, SSO/SCIM verified; localStorage token gone (§10.2).</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G13 · Licensing &amp; deployment (new)</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Signed-licence verify, expiration and anti-tamper tested; four topologies deployable (§9.4, §16.1).</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G14 · Security &amp; compliance (new)</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SAST/DAST clean; encryption and tenant isolation tested; certification roadmap stated (§18).</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G15 · Accessibility &amp; i18n (new)</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WCAG 2.1 AA; EN/DE/AR including RTL; correct units and timezones (§8.6-8.7).</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G16 · Reproducibility &amp; coverage (new)</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Findings reproduce from pinned definitions; every analysis states its population; drift surfaced (§12.3, §5.4, §4.9).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task-list-generation rule</w:t>
            </w:r>
          </w:p>
          <w:p>
            <w:pPr>
              <w:spacing w:after="0" w:line="256"/>
            </w:pPr>
            <w:r>
              <w:rPr>
                <w:color w:val="16202D"/>
                <w:sz w:val="18"/>
                <w:szCs w:val="18"/>
              </w:rPr>
              <w:t xml:space="preserve">Every backlog task maps to exactly one gate, one validation method and one evidence artifact. A task is closed only when its gate's proof is green. The next task list is generated from this section — which is why the doctrine, not the code, defines "done."</w:t>
            </w:r>
          </w:p>
        </w:tc>
      </w:tr>
    </w:tbl>
    <w:p>
      <w:r>
        <w:br w:type="page"/>
      </w:r>
    </w:p>
    <w:p>
      <w:pPr>
        <w:spacing w:after="160"/>
      </w:pPr>
      <w:r>
        <w:rPr>
          <w:b/>
          <w:bCs/>
          <w:color w:val="102A43"/>
          <w:sz w:val="34"/>
          <w:szCs w:val="34"/>
        </w:rPr>
        <w:t xml:space="preserve">Appendices</w:t>
      </w:r>
    </w:p>
    <w:p>
      <w:pPr>
        <w:pStyle w:val="Heading1"/>
      </w:pPr>
      <w:r>
        <w:t xml:space="preserve">Appendix A · Source-System Blueprint</w:t>
      </w:r>
    </w:p>
    <w:p>
      <w:pPr>
        <w:pBdr>
          <w:bottom w:val="single" w:color="00D4FF" w:sz="14" w:space="1"/>
        </w:pBdr>
        <w:spacing w:after="140" w:before="20"/>
      </w:pPr>
      <w:r>
        <w:t xml:space="preserve"/>
      </w:r>
    </w:p>
    <w:p>
      <w:pPr>
        <w:spacing w:after="140" w:before="0" w:line="274"/>
      </w:pPr>
      <w:r>
        <w:rPr>
          <w:color w:val="16202D"/>
          <w:sz w:val="20"/>
          <w:szCs w:val="20"/>
        </w:rPr>
        <w:t xml:space="preserve">How each demo source feeds the canonical model — the concrete shape of "it speaks my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Source (system)</w:t>
            </w:r>
          </w:p>
        </w:tc>
        <w:tc>
          <w:tcPr>
            <w:tcW w:type="dxa" w:w="4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Canonical entities it feeds</w:t>
            </w:r>
          </w:p>
        </w:tc>
        <w:tc>
          <w:tcPr>
            <w:tcW w:type="dxa" w:w="25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Key columns</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Continuous caster (Oracle)</w:t>
            </w:r>
          </w:p>
        </w:tc>
        <w:tc>
          <w:tcPr>
            <w:tcW w:type="dxa" w:w="4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Heat, Ladle, Tundish, Mould, Strand, Slab; parameters (superheat, casting speed, mould level)</w:t>
            </w:r>
          </w:p>
        </w:tc>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HeatId, SlabId, SequenceId</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Hot strip mill (Oracle / MSSQL)</w:t>
            </w:r>
          </w:p>
        </w:tc>
        <w:tc>
          <w:tcPr>
            <w:tcW w:type="dxa" w:w="4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Coil; rolling parameters</w:t>
            </w:r>
          </w:p>
        </w:tc>
        <w:tc>
          <w:tcPr>
            <w:tcW w:type="dxa" w:w="2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piece_no (CoilId), SlabId</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Surface inspection (MySQL / Parsytec)</w:t>
            </w:r>
          </w:p>
        </w:tc>
        <w:tc>
          <w:tcPr>
            <w:tcW w:type="dxa" w:w="4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Quality events (defects)</w:t>
            </w:r>
          </w:p>
        </w:tc>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material_id (CoilId), defect_code</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Lab / LIMS (MSSQL)</w:t>
            </w:r>
          </w:p>
        </w:tc>
        <w:tc>
          <w:tcPr>
            <w:tcW w:type="dxa" w:w="4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Chemistry and lab results</w:t>
            </w:r>
          </w:p>
        </w:tc>
        <w:tc>
          <w:tcPr>
            <w:tcW w:type="dxa" w:w="2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SampleId, HeatId</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Downtime (Excel)</w:t>
            </w:r>
          </w:p>
        </w:tc>
        <w:tc>
          <w:tcPr>
            <w:tcW w:type="dxa" w:w="4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Downtime events</w:t>
            </w:r>
          </w:p>
        </w:tc>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equipment, start, end, reason</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Maintenance (CSV)</w:t>
            </w:r>
          </w:p>
        </w:tc>
        <w:tc>
          <w:tcPr>
            <w:tcW w:type="dxa" w:w="4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Maintenance events</w:t>
            </w:r>
          </w:p>
        </w:tc>
        <w:tc>
          <w:tcPr>
            <w:tcW w:type="dxa" w:w="2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equipment, work order</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Energy (historian / OPC-UA)</w:t>
            </w:r>
          </w:p>
        </w:tc>
        <w:tc>
          <w:tcPr>
            <w:tcW w:type="dxa" w:w="4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Parameter observations (energy)</w:t>
            </w:r>
          </w:p>
        </w:tc>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tag, timestamp</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Yard (CSV)</w:t>
            </w:r>
          </w:p>
        </w:tc>
        <w:tc>
          <w:tcPr>
            <w:tcW w:type="dxa" w:w="4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Material location / logistics</w:t>
            </w:r>
          </w:p>
        </w:tc>
        <w:tc>
          <w:tcPr>
            <w:tcW w:type="dxa" w:w="2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CoilId, location</w:t>
            </w:r>
          </w:p>
        </w:tc>
      </w:tr>
    </w:tbl>
    <w:p>
      <w:pPr>
        <w:pStyle w:val="Heading1"/>
      </w:pPr>
      <w:r>
        <w:t xml:space="preserve">Appendix B · Worked Mapping, Genealogy &amp; Blended Provenance</w:t>
      </w:r>
    </w:p>
    <w:p>
      <w:pPr>
        <w:pBdr>
          <w:bottom w:val="single" w:color="00D4FF" w:sz="14" w:space="1"/>
        </w:pBdr>
        <w:spacing w:after="140" w:before="20"/>
      </w:pPr>
      <w:r>
        <w:t xml:space="preserve"/>
      </w:r>
    </w:p>
    <w:p>
      <w:pPr>
        <w:spacing w:after="140" w:before="0" w:line="274"/>
      </w:pPr>
      <w:r>
        <w:rPr>
          <w:color w:val="16202D"/>
          <w:sz w:val="20"/>
          <w:szCs w:val="20"/>
        </w:rPr>
        <w:t xml:space="preserve">The canonical join and the heat → coil thread are worked in §4.3 and §5.1. The case a metallurgist will press is the transition coil — handled here without fabrication.</w:t>
      </w:r>
    </w:p>
    <w:p>
      <w:pPr>
        <w:spacing w:after="140" w:before="0" w:line="274"/>
      </w:pPr>
      <w:r>
        <w:rPr>
          <w:b/>
          <w:bCs/>
          <w:color w:val="16202D"/>
          <w:sz w:val="20"/>
          <w:szCs w:val="20"/>
        </w:rPr>
        <w:t xml:space="preserve">Mixed-heat example — </w:t>
      </w:r>
      <w:r>
        <w:rPr>
          <w:color w:val="16202D"/>
          <w:sz w:val="20"/>
          <w:szCs w:val="20"/>
        </w:rPr>
        <w:t xml:space="preserve">coil C-0044180 sits at the SEQ-44 → SEQ-45 join and carries steel from two heats: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coil C-0044180   is_transition = true</w:t>
            </w:r>
          </w:p>
          <w:p>
            <w:pPr>
              <w:spacing w:after="0" w:before="0" w:line="240"/>
            </w:pPr>
            <w:r>
              <w:rPr>
                <w:rFonts w:ascii="JetBrains Mono" w:cs="JetBrains Mono" w:eastAsia="JetBrains Mono" w:hAnsi="JetBrains Mono"/>
                <w:color w:val="EAF6FF"/>
                <w:sz w:val="16"/>
                <w:szCs w:val="16"/>
              </w:rPr>
              <w:t xml:space="preserve">  parent heat H-3361   weight 0.62   modeled</w:t>
            </w:r>
          </w:p>
          <w:p>
            <w:pPr>
              <w:spacing w:after="0" w:before="0" w:line="240"/>
            </w:pPr>
            <w:r>
              <w:rPr>
                <w:rFonts w:ascii="JetBrains Mono" w:cs="JetBrains Mono" w:eastAsia="JetBrains Mono" w:hAnsi="JetBrains Mono"/>
                <w:color w:val="EAF6FF"/>
                <w:sz w:val="16"/>
                <w:szCs w:val="16"/>
              </w:rPr>
              <w:t xml:space="preserve">  parent heat H-3362   weight 0.38   modeled</w:t>
            </w:r>
          </w:p>
          <w:p>
            <w:pPr>
              <w:spacing w:after="0" w:before="0" w:line="240"/>
            </w:pPr>
            <w:r>
              <w:rPr>
                <w:rFonts w:ascii="JetBrains Mono" w:cs="JetBrains Mono" w:eastAsia="JetBrains Mono" w:hAnsi="JetBrains Mono"/>
                <w:color w:val="EAF6FF"/>
                <w:sz w:val="16"/>
                <w:szCs w:val="16"/>
              </w:rPr>
              <w:t xml:space="preserve">attribution: shared -&gt; single-heat analyses exclude or weight</w:t>
            </w:r>
          </w:p>
        </w:tc>
      </w:tr>
    </w:tbl>
    <w:p>
      <w:pPr>
        <w:spacing w:after="140" w:before="0" w:line="274"/>
      </w:pPr>
      <w:r>
        <w:rPr>
          <w:color w:val="16202D"/>
          <w:sz w:val="20"/>
          <w:szCs w:val="20"/>
        </w:rPr>
        <w:t xml:space="preserve">A defect-driver analysis on single-heat chemistry either excludes C-0044180 or attributes it 62/38 across the two heats — and the surface and the assistant both say which. That restraint is the credibility.</w:t>
      </w:r>
    </w:p>
    <w:p>
      <w:pPr>
        <w:pStyle w:val="Heading1"/>
      </w:pPr>
      <w:r>
        <w:t xml:space="preserve">Appendix C · Brand Token Reference</w:t>
      </w:r>
    </w:p>
    <w:p>
      <w:pPr>
        <w:pBdr>
          <w:bottom w:val="single" w:color="00D4FF" w:sz="14" w:space="1"/>
        </w:pBdr>
        <w:spacing w:after="140" w:before="20"/>
      </w:pPr>
      <w:r>
        <w:t xml:space="preserve"/>
      </w:r>
    </w:p>
    <w:p>
      <w:pPr>
        <w:spacing w:after="140" w:before="0" w:line="274"/>
      </w:pPr>
      <w:r>
        <w:rPr>
          <w:color w:val="16202D"/>
          <w:sz w:val="20"/>
          <w:szCs w:val="20"/>
        </w:rPr>
        <w:t xml:space="preserve">The Dark Industrial Command Center palette. The app uses the dark surfaces; reports and the high-contrast theme use Light Grey.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Token</w:t>
            </w:r>
          </w:p>
        </w:tc>
        <w:tc>
          <w:tcPr>
            <w:tcW w:type="dxa" w:w="2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Hex</w:t>
            </w:r>
          </w:p>
        </w:tc>
        <w:tc>
          <w:tcPr>
            <w:tcW w:type="dxa" w:w="45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Use</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Deep Navy</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#050B18</w:t>
            </w:r>
          </w:p>
        </w:tc>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app background / cover</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Panel Navy</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#0B1730</w:t>
            </w:r>
          </w:p>
        </w:tc>
        <w:tc>
          <w:tcPr>
            <w:tcW w:type="dxa" w:w="4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panels / code blocks</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Industrial Blue</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#102A43</w:t>
            </w:r>
          </w:p>
        </w:tc>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section &amp; table headers</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Electric Blue</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#0A84FF</w:t>
            </w:r>
          </w:p>
        </w:tc>
        <w:tc>
          <w:tcPr>
            <w:tcW w:type="dxa" w:w="4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primary accent / links</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Electric Cyan</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#00D4FF</w:t>
            </w:r>
          </w:p>
        </w:tc>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highlight / the "IQ" accent</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Corporate Blue</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#2F80ED</w:t>
            </w:r>
          </w:p>
        </w:tc>
        <w:tc>
          <w:tcPr>
            <w:tcW w:type="dxa" w:w="4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secondary accent</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Cyan Green</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#2CE6A2</w:t>
            </w:r>
          </w:p>
        </w:tc>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success / validated</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Amber</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#FFB020</w:t>
            </w:r>
          </w:p>
        </w:tc>
        <w:tc>
          <w:tcPr>
            <w:tcW w:type="dxa" w:w="4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warning / caution</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Hot Red</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#FF4D6D</w:t>
            </w:r>
          </w:p>
        </w:tc>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error / danger</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Near White</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#EAF6FF</w:t>
            </w:r>
          </w:p>
        </w:tc>
        <w:tc>
          <w:tcPr>
            <w:tcW w:type="dxa" w:w="4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text on dark</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Muted Steel</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#8EA7C1</w:t>
            </w:r>
          </w:p>
        </w:tc>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secondary text</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Light Grey</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#F4F6F8</w:t>
            </w:r>
          </w:p>
        </w:tc>
        <w:tc>
          <w:tcPr>
            <w:tcW w:type="dxa" w:w="4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report / light surface</w:t>
            </w:r>
          </w:p>
        </w:tc>
      </w:tr>
    </w:tbl>
    <w:p>
      <w:pPr>
        <w:pStyle w:val="Heading1"/>
      </w:pPr>
      <w:r>
        <w:t xml:space="preserve">Appendix D · Glossary</w:t>
      </w:r>
    </w:p>
    <w:p>
      <w:pPr>
        <w:pBdr>
          <w:bottom w:val="single" w:color="00D4FF" w:sz="14" w:space="1"/>
        </w:pBdr>
        <w:spacing w:after="14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Term</w:t>
            </w:r>
          </w:p>
        </w:tc>
        <w:tc>
          <w:tcPr>
            <w:tcW w:type="dxa" w:w="69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Meaning</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Edge Collector</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customer-run agent in the DMZ that reads sources and pushes data one-way into staging (§4.6).</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CDC</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Change-data-capture — reading a database's change log instead of polling it.</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Source-shaped staging</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Copies of source data kept in their original shape, before canonical mapping.</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Canonical model</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generic, industry-agnostic plant model all sources map into.</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Business-key dictionary</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Declared equivalences between columns that mean the same concept across systems.</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Genealogy spine</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parent-child material chain — heat → ... → coil.</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Blended provenance</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Multi-heat attribution for transition material, with weights (§5.3).</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Readiness gate</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Data-sufficiency thresholds that decide whether an advanced analysis can run (§7.3).</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FDR</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False-discovery-rate control (Benjamini-Hochberg) for multiple testing.</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Stability</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How often a contributor survives bootstrap resampling.</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Coverage</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fraction of the population an analysis actually used (§5.4).</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Provenance handle</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resolvable link from a claim to its evidence; required for every number.</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Model gateway</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component that routes the assistant to a self-hosted, private-endpoint or BYO model (§7.8).</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RLS</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Row-level security — database-enforced tenant isolation.</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SCIM</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standard for automatic user provisioning / deprovisioning.</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Argon2id</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memory-hard password-hashing algorithm.</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ALCOA+</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Data-integrity principles for regulated industries (§18.5).</w:t>
            </w:r>
          </w:p>
        </w:tc>
      </w:tr>
    </w:tbl>
    <w:p>
      <w:pPr>
        <w:pStyle w:val="Heading1"/>
      </w:pPr>
      <w:r>
        <w:t xml:space="preserve">Appendix E · Approved &amp; Forbidden Commercial Claims</w:t>
      </w:r>
    </w:p>
    <w:p>
      <w:pPr>
        <w:pBdr>
          <w:bottom w:val="single" w:color="00D4FF" w:sz="14" w:space="1"/>
        </w:pBdr>
        <w:spacing w:after="14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Forbidden</w:t>
            </w:r>
          </w:p>
        </w:tc>
        <w:tc>
          <w:tcPr>
            <w:tcW w:type="dxa" w:w="46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Approved</w:t>
            </w:r>
          </w:p>
        </w:tc>
      </w:tr>
      <w:tr>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Guaranteed root cause</w:t>
            </w:r>
          </w:p>
        </w:tc>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Suspected / likely contributor; evidence-ranked factor</w:t>
            </w:r>
          </w:p>
        </w:tc>
      </w:tr>
      <w:tr>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Autonomous optimization</w:t>
            </w:r>
          </w:p>
        </w:tc>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Decision support and guided investigation with human approval</w:t>
            </w:r>
          </w:p>
        </w:tc>
      </w:tr>
      <w:tr>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We replace MES / L2 / SCADA / BI</w:t>
            </w:r>
          </w:p>
        </w:tc>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We connect around existing systems and turn fragmented data into intelligence</w:t>
            </w:r>
          </w:p>
        </w:tc>
      </w:tr>
      <w:tr>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Live Oracle / historian ready today (unless certified)</w:t>
            </w:r>
          </w:p>
        </w:tc>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Per-source connector capability and availability stated explicitly</w:t>
            </w:r>
          </w:p>
        </w:tc>
      </w:tr>
      <w:tr>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We are SOC 2 / ISO 27001 certified (unless true)</w:t>
            </w:r>
          </w:p>
        </w:tc>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SOC 2 / ISO 27001 are our assurance targets; current status on request</w:t>
            </w:r>
          </w:p>
        </w:tc>
      </w:tr>
      <w:tr>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Your data never touches an LLM</w:t>
            </w:r>
          </w:p>
        </w:tc>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Engines run in-tenant; the assistant is self-hosted or uses a zero-retention endpoint, configurable</w:t>
            </w:r>
          </w:p>
        </w:tc>
      </w:tr>
      <w:tr>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Fix this and save exactly €X</w:t>
            </w:r>
          </w:p>
        </w:tc>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bounded, traceable euro range you can verify on your own data</w:t>
            </w:r>
          </w:p>
        </w:tc>
      </w:tr>
      <w:tr>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Our KPI is the correct one</w:t>
            </w:r>
          </w:p>
        </w:tc>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transparent, versioned KPI we reconcile to your official definition</w:t>
            </w:r>
          </w:p>
        </w:tc>
      </w:tr>
    </w:tbl>
    <w:p>
      <w:pPr>
        <w:pStyle w:val="Heading1"/>
      </w:pPr>
      <w:r>
        <w:t xml:space="preserve">Appendix F · Buyer Objection &amp; Tricky-Question Playbook</w:t>
      </w:r>
    </w:p>
    <w:p>
      <w:pPr>
        <w:pBdr>
          <w:bottom w:val="single" w:color="00D4FF" w:sz="14" w:space="1"/>
        </w:pBdr>
        <w:spacing w:after="140" w:before="20"/>
      </w:pPr>
      <w:r>
        <w:t xml:space="preserve"/>
      </w:r>
    </w:p>
    <w:p>
      <w:pPr>
        <w:spacing w:after="140" w:before="0" w:line="274"/>
      </w:pPr>
      <w:r>
        <w:rPr>
          <w:color w:val="16202D"/>
          <w:sz w:val="20"/>
          <w:szCs w:val="20"/>
        </w:rPr>
        <w:t xml:space="preserve">The point of this appendix is that no buyer question is ever a surprise. Each row is a sharp question, the honest one-line answer to give in the room, and where the full design lives. If a customer goes deeper than the demo, the answer is already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860"/>
        <w:gridCol w:w="1200"/>
      </w:tblGrid>
      <w:tr>
        <w:trPr>
          <w:tblHeader/>
        </w:trPr>
        <w:tc>
          <w:tcPr>
            <w:tcW w:type="dxa" w:w="3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The tricky question</w:t>
            </w:r>
          </w:p>
        </w:tc>
        <w:tc>
          <w:tcPr>
            <w:tcW w:type="dxa" w:w="48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The honest answer</w:t>
            </w:r>
          </w:p>
        </w:tc>
        <w:tc>
          <w:tcPr>
            <w:tcW w:type="dxa" w:w="1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Ref</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 you pipe my data to GPT / Claude and get results back?</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 The analytical engines run inside the tenant and compute every number; only the assistant uses an LLM — self-hosted, a zero-retention private endpoint, or your own model — and only the question plus minimal evidence ever leaves.</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§7.8</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What if my Parsytec defect labels are wrong or noisy?</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 track inspection coverage, harmonize device codes into one taxonomy, and let you weight or filter by detection confidence; an uninspected coil is never treated as defect-free.</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§5.5</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transition slab blends two heats — which one do you blame?</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Neither alone. Transition material is flagged and weighted across both heats, or excluded; we never fabricate a single-heat answer.</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§5.3</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What about a confounder I don't even measure?</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 stratify by everything we can see and say plainly when an unmeasured factor could drive an association; we surface candidates to test, not proven causes.</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§7.11</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Your KPI won't match my MES's official number.</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Our KPI is a transparent, versioned view; we reconcile to your official definition and show exactly where and why they differ.</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§7.11</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What percentage of my coils can't you link?</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Every analysis states its population and lists what was excluded and why — no silent survivorship.</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§5.4</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 I correct bad source data?</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 through an audited overlay inside PPIQ; we never write back to your source of record.</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§12.4</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Can I reproduce a finding from three months ago after the data changed?</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 — findings pin the exact definitions they used, so they reproduce even after the underlying views change.</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§12.3</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What's your security certification?</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SOC 2 and ISO 27001 are our assurance targets; pen-test summaries are available under NDA; current status is stated honestly.</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§18.3</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How do you protect my data technically?</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TLS in transit, encryption at rest, secrets in a vault, and tenant isolation by row-level security, tested for cross-tenant leakage.</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§18.2</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Where does my data live — GDPR?</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EU hosting and residency options, a DPA, and a sub-processor list; read-only and data-minimization limit personal data in the first place.</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§18.4</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We're pharma — GxP / 21 CFR Part 11 / data integrity?</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 optional Compliance pack adds audit trails, electronic signatures, ALCOA+ controls and validation support.</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§18.5</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 you support Arabic and German?</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Full localization, with right-to-left layout for Arabic and locale-aware units, dates and timezones.</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§8.7</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Do you meet accessibility requirements?</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 target WCAG 2.1 AA, with a contrast-audited dark theme and a light high-contrast theme.</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§8.6</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 my operators use it on the shop floor?</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 — responsive plus a tablet mode for reading dashboards, acknowledging alerts and working cases.</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§8.8</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Two users edit the same page — what happens?</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Optimistic locking with live presence and a conflict dialog; published dashboards are immutable, edited as drafts — no silent overwrite.</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§8.9</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Where does it run? Not every laptop can handle this.</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It's a server application — SaaS, your cloud, on-prem or air-gapped — sized to your data volume; a self-hosted assistant needs a GPU, the browser is the only thing on the laptop.</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§16.1-16.2</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How do you reach my OT network without risk?</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 Edge Collector in your DMZ pushes data one-way; we prefer change-data-capture or a replica over polling, under a DBA-approved load budget, and never enter the OT network.</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§4.6</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 you have historian and OPC connectors?</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 — PI, InfoPlus.21, OPC-UA, MQTT/Kafka, plus SAP, REST and LIMS — each with an honest per-source availability state.</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§4.7</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How long is the initial multi-year data load?</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throttled, resumable backfill from a dump, a replica or a maintenance window — and it makes the analytics mature on day one rather than after months.</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§4.8</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What happens when my source schema changes?</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We detect the drift, flag the affected mappings, and pause dependent imports rather than produce wrong or empty results.</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§4.9</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What if SOU disappears?</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Source-code escrow for Enterprise/on-prem, open-format data export, and an on-prem deployment that needs no SOU servers.</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§16.7</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SLA, disaster recovery, uptime?</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Tiered SLAs to 99.9%+, RPO/RTO targets, tested restores and an HA option; your source data is always re-syncable.</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§16.4-16.5</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Subscription or perpetual — and what happens at expiry?</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Subscription by default, perpetual for air-gapped; clear warnings, then a grace period, then read-only — data is never destroyed.</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§9.3</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 a customer flip their own tier in an on-prem database?</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 — entitlements live in a signed token the app verifies, not in an editable database row.</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§9.4</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Does my configurator have to be a programmer?</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Not for the common case — a no-code visual mapper and templates cover most of it; SQL is there for the long tail.</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§4.5</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How smart must the AI be for me to trust it?</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It never does the math and can't render an uncited number, so model quality affects how well it explains, never whether the numbers are right.</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§7.7-7.9</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Prove it on MY data, not your demo.</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scoped Proof-of-Value pilot on your own data, with success criteria agreed up front, run by the same engines as the demo.</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§14.5</w:t>
            </w:r>
          </w:p>
        </w:tc>
      </w:tr>
    </w:tbl>
    <w:p>
      <w:pPr>
        <w:pStyle w:val="Heading1"/>
      </w:pPr>
      <w:r>
        <w:t xml:space="preserve">Appendix G · Deployment &amp; Sizing Reference</w:t>
      </w:r>
    </w:p>
    <w:p>
      <w:pPr>
        <w:pBdr>
          <w:bottom w:val="single" w:color="00D4FF" w:sz="14" w:space="1"/>
        </w:pBdr>
        <w:spacing w:after="140" w:before="20"/>
      </w:pPr>
      <w:r>
        <w:t xml:space="preserve"/>
      </w:r>
    </w:p>
    <w:p>
      <w:pPr>
        <w:spacing w:after="140" w:before="0" w:line="274"/>
      </w:pPr>
      <w:r>
        <w:rPr>
          <w:color w:val="16202D"/>
          <w:sz w:val="20"/>
          <w:szCs w:val="20"/>
        </w:rPr>
        <w:t xml:space="preserve">Indicative per-component footprint by plant scale. Final sizing is set during onboarding against real data volumes and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rPr>
          <w:tblHeader/>
        </w:trPr>
        <w:tc>
          <w:tcPr>
            <w:tcW w:type="dxa" w:w="2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Component</w:t>
            </w:r>
          </w:p>
        </w:tc>
        <w:tc>
          <w:tcPr>
            <w:tcW w:type="dxa" w:w="2386"/>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Small</w:t>
            </w:r>
          </w:p>
        </w:tc>
        <w:tc>
          <w:tcPr>
            <w:tcW w:type="dxa" w:w="2386"/>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Medium</w:t>
            </w:r>
          </w:p>
        </w:tc>
        <w:tc>
          <w:tcPr>
            <w:tcW w:type="dxa" w:w="2388"/>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Large</w:t>
            </w:r>
          </w:p>
        </w:tc>
      </w:tr>
      <w:tr>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App + API</w:t>
            </w:r>
          </w:p>
        </w:tc>
        <w:tc>
          <w:tcPr>
            <w:tcW w:type="dxa" w:w="2386"/>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2 vCPU / 4 GB</w:t>
            </w:r>
          </w:p>
        </w:tc>
        <w:tc>
          <w:tcPr>
            <w:tcW w:type="dxa" w:w="2386"/>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4 vCPU / 8 GB</w:t>
            </w:r>
          </w:p>
        </w:tc>
        <w:tc>
          <w:tcPr>
            <w:tcW w:type="dxa" w:w="2388"/>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8+ vCPU / 16+ GB</w:t>
            </w:r>
          </w:p>
        </w:tc>
      </w:tr>
      <w:tr>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ML workers</w:t>
            </w:r>
          </w:p>
        </w:tc>
        <w:tc>
          <w:tcPr>
            <w:tcW w:type="dxa" w:w="2386"/>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2 vCPU / 8 GB</w:t>
            </w:r>
          </w:p>
        </w:tc>
        <w:tc>
          <w:tcPr>
            <w:tcW w:type="dxa" w:w="2386"/>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8 vCPU / 32 GB</w:t>
            </w:r>
          </w:p>
        </w:tc>
        <w:tc>
          <w:tcPr>
            <w:tcW w:type="dxa" w:w="2388"/>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16+ vCPU / 64+ GB</w:t>
            </w:r>
          </w:p>
        </w:tc>
      </w:tr>
      <w:tr>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PostgreSQL</w:t>
            </w:r>
          </w:p>
        </w:tc>
        <w:tc>
          <w:tcPr>
            <w:tcW w:type="dxa" w:w="2386"/>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2 vCPU / 8 GB / 0.5 TB</w:t>
            </w:r>
          </w:p>
        </w:tc>
        <w:tc>
          <w:tcPr>
            <w:tcW w:type="dxa" w:w="2386"/>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4 vCPU / 16 GB / 2 TB</w:t>
            </w:r>
          </w:p>
        </w:tc>
        <w:tc>
          <w:tcPr>
            <w:tcW w:type="dxa" w:w="2388"/>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8+ vCPU / 32+ GB / 4+ TB</w:t>
            </w:r>
          </w:p>
        </w:tc>
      </w:tr>
      <w:tr>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Time-series store</w:t>
            </w:r>
          </w:p>
        </w:tc>
        <w:tc>
          <w:tcPr>
            <w:tcW w:type="dxa" w:w="2386"/>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shared</w:t>
            </w:r>
          </w:p>
        </w:tc>
        <w:tc>
          <w:tcPr>
            <w:tcW w:type="dxa" w:w="2386"/>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4 vCPU / 16 GB / 2-8 TB</w:t>
            </w:r>
          </w:p>
        </w:tc>
        <w:tc>
          <w:tcPr>
            <w:tcW w:type="dxa" w:w="2388"/>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8+ vCPU / 32+ GB / 10 TB+</w:t>
            </w:r>
          </w:p>
        </w:tc>
      </w:tr>
      <w:tr>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Object storage</w:t>
            </w:r>
          </w:p>
        </w:tc>
        <w:tc>
          <w:tcPr>
            <w:tcW w:type="dxa" w:w="2386"/>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100 GB</w:t>
            </w:r>
          </w:p>
        </w:tc>
        <w:tc>
          <w:tcPr>
            <w:tcW w:type="dxa" w:w="2386"/>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0.5-1 TB</w:t>
            </w:r>
          </w:p>
        </w:tc>
        <w:tc>
          <w:tcPr>
            <w:tcW w:type="dxa" w:w="2388"/>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several TB</w:t>
            </w:r>
          </w:p>
        </w:tc>
      </w:tr>
      <w:tr>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Assistant (self-hosted)</w:t>
            </w:r>
          </w:p>
        </w:tc>
        <w:tc>
          <w:tcPr>
            <w:tcW w:type="dxa" w:w="2386"/>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optional small GPU</w:t>
            </w:r>
          </w:p>
        </w:tc>
        <w:tc>
          <w:tcPr>
            <w:tcW w:type="dxa" w:w="2386"/>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1 GPU ~24 GB</w:t>
            </w:r>
          </w:p>
        </w:tc>
        <w:tc>
          <w:tcPr>
            <w:tcW w:type="dxa" w:w="2388"/>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1-2 GPUs</w:t>
            </w:r>
          </w:p>
        </w:tc>
      </w:tr>
    </w:tbl>
    <w:p>
      <w:pPr>
        <w:pStyle w:val="Heading1"/>
      </w:pPr>
      <w:r>
        <w:t xml:space="preserve">Appendix H · Competitive Comparison Matrix</w:t>
      </w:r>
    </w:p>
    <w:p>
      <w:pPr>
        <w:pBdr>
          <w:bottom w:val="single" w:color="00D4FF" w:sz="14" w:space="1"/>
        </w:pBdr>
        <w:spacing w:after="140" w:before="20"/>
      </w:pPr>
      <w:r>
        <w:t xml:space="preserve"/>
      </w:r>
    </w:p>
    <w:p>
      <w:pPr>
        <w:spacing w:after="140" w:before="0" w:line="274"/>
      </w:pPr>
      <w:r>
        <w:rPr>
          <w:color w:val="16202D"/>
          <w:sz w:val="20"/>
          <w:szCs w:val="20"/>
        </w:rPr>
        <w:t xml:space="preserve">Where PPIQ stands against the alternatives a buyer is also weighing. The honest pattern: PPIQ does the manufacturing-native, transparent, cross-system work the others were never built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Capability</w:t>
            </w:r>
          </w:p>
        </w:tc>
        <w:tc>
          <w:tcPr>
            <w:tcW w:type="dxa" w:w="16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PPIQ</w:t>
            </w:r>
          </w:p>
        </w:tc>
        <w:tc>
          <w:tcPr>
            <w:tcW w:type="dxa" w:w="16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Generic BI</w:t>
            </w:r>
          </w:p>
        </w:tc>
        <w:tc>
          <w:tcPr>
            <w:tcW w:type="dxa" w:w="16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Platform AI</w:t>
            </w:r>
          </w:p>
        </w:tc>
        <w:tc>
          <w:tcPr>
            <w:tcW w:type="dxa" w:w="16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MES / historian</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Manufacturing genealogy</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yes</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no</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partial</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single-system</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Cross-system, vendor-neutral</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yes</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data only</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varies</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no</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Transparent math / cited numbers</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yes</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manual</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often opaque</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varies</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Statistical discipline (FDR, stability)</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yes</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no</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varies</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no</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Value in euros</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yes</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manual</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rare</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no</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Read-only / control-safe</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yes</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yes</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varies</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no</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Self-hosted / data-sovereign assistant</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yes</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n/a</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rare</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n/a</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Time-to-value (no-code + pilot)</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fast</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charts only</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slow</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slow</w:t>
            </w:r>
          </w:p>
        </w:tc>
      </w:tr>
    </w:tbl>
    <w:p>
      <w:pPr>
        <w:spacing w:after="120"/>
      </w:pPr>
      <w:r>
        <w:t xml:space="preserve"/>
      </w:r>
    </w:p>
    <w:p>
      <w:pPr>
        <w:spacing w:after="140" w:before="0" w:line="274"/>
      </w:pPr>
      <w:r>
        <w:rPr>
          <w:b/>
          <w:bCs/>
          <w:color w:val="102A43"/>
          <w:sz w:val="20"/>
          <w:szCs w:val="20"/>
        </w:rPr>
        <w:t xml:space="preserve">End of doctrine. </w:t>
      </w:r>
      <w:r>
        <w:rPr>
          <w:i/>
          <w:iCs/>
          <w:color w:val="8EA7C1"/>
          <w:sz w:val="20"/>
          <w:szCs w:val="20"/>
        </w:rPr>
        <w:t xml:space="preserve">v5.0 keeps the 4-Track Vision as its backbone, preserves every honest boundary and worked artifact of v4, and closes every gap a hard technical and commercial review exposes — so the function description is ready before the question is asked.</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EE8" w:sz="4" w:space="3"/>
      </w:pBdr>
      <w:tabs>
        <w:tab w:val="right" w:pos="9360"/>
      </w:tabs>
    </w:pPr>
    <w:r>
      <w:rPr>
        <w:color w:val="8EA7C1"/>
        <w:sz w:val="15"/>
        <w:szCs w:val="15"/>
      </w:rPr>
      <w:t xml:space="preserve">Confidential — for evaluation and implementation planning</w:t>
    </w:r>
    <w:r>
      <w:rPr>
        <w:color w:val="8EA7C1"/>
        <w:sz w:val="15"/>
        <w:szCs w:val="15"/>
      </w:rPr>
      <w:t xml:space="preserve">	Page </w:t>
    </w:r>
    <w:r>
      <w:rPr>
        <w:color w:val="8EA7C1"/>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8" w:sz="4" w:space="3"/>
      </w:pBdr>
      <w:tabs>
        <w:tab w:val="right" w:pos="9360"/>
      </w:tabs>
    </w:pPr>
    <w:r>
      <w:rPr>
        <w:b/>
        <w:bCs/>
        <w:color w:val="102A43"/>
        <w:sz w:val="16"/>
        <w:szCs w:val="16"/>
      </w:rPr>
      <w:t xml:space="preserve">PlantProcess IQ</w:t>
    </w:r>
    <w:r>
      <w:rPr>
        <w:color w:val="8EA7C1"/>
        <w:sz w:val="16"/>
        <w:szCs w:val="16"/>
      </w:rPr>
      <w:t xml:space="preserve">  ·  Vision, Design &amp; Architecture Doctrine v5.1</w:t>
    </w:r>
    <w:r>
      <w:rPr>
        <w:color w:val="8EA7C1"/>
        <w:sz w:val="16"/>
        <w:szCs w:val="16"/>
      </w:rPr>
      <w:t xml:space="preserve">	SOU Industrial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620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340"/>
      <w:outlineLvl w:val="0"/>
    </w:pPr>
    <w:rPr>
      <w:rFonts w:ascii="Inter" w:cs="Inter" w:eastAsia="Inter" w:hAnsi="Inter"/>
      <w:b/>
      <w:bCs/>
      <w:color w:val="102A43"/>
      <w:sz w:val="30"/>
      <w:szCs w:val="30"/>
    </w:rPr>
  </w:style>
  <w:style w:type="paragraph" w:styleId="Heading2">
    <w:name w:val="Heading 2"/>
    <w:basedOn w:val="Normal"/>
    <w:next w:val="Normal"/>
    <w:qFormat/>
    <w:pPr>
      <w:keepNext/>
      <w:spacing w:after="60" w:before="240"/>
      <w:outlineLvl w:val="1"/>
    </w:pPr>
    <w:rPr>
      <w:rFonts w:ascii="Inter" w:cs="Inter" w:eastAsia="Inter" w:hAnsi="Inter"/>
      <w:b/>
      <w:bCs/>
      <w:color w:val="15314D"/>
      <w:sz w:val="25"/>
      <w:szCs w:val="25"/>
    </w:rPr>
  </w:style>
  <w:style w:type="paragraph" w:styleId="Heading3">
    <w:name w:val="Heading 3"/>
    <w:basedOn w:val="Normal"/>
    <w:next w:val="Normal"/>
    <w:qFormat/>
    <w:pPr>
      <w:keepNext/>
      <w:spacing w:after="40" w:before="160"/>
      <w:outlineLvl w:val="2"/>
    </w:pPr>
    <w:rPr>
      <w:rFonts w:ascii="Inter" w:cs="Inter" w:eastAsia="Inter" w:hAnsi="Inter"/>
      <w:b/>
      <w:bCs/>
      <w:color w:val="1B3A5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2026-06-03T10:48:37.879Z</dcterms:created>
  <dcterms:modified xsi:type="dcterms:W3CDTF">2026-06-03T10:48:37.893Z</dcterms:modified>
</cp:coreProperties>
</file>

<file path=docProps/custom.xml><?xml version="1.0" encoding="utf-8"?>
<Properties xmlns="http://schemas.openxmlformats.org/officeDocument/2006/custom-properties" xmlns:vt="http://schemas.openxmlformats.org/officeDocument/2006/docPropsVTypes"/>
</file>