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
      </w:pPr>
      <w:r>
        <w:t xml:space="preserve"/>
      </w:r>
    </w:p>
    <w:p>
      <w:pPr>
        <w:spacing w:after="0" w:before="80"/>
      </w:pPr>
      <w:r>
        <w:t xml:space="preserve"/>
      </w:r>
    </w:p>
    <w:p>
      <w:pPr>
        <w:spacing w:after="0" w:before="80"/>
      </w:pPr>
      <w:r>
        <w:t xml:space="preserve"/>
      </w:r>
    </w:p>
    <w:p>
      <w:pPr>
        <w:spacing w:after="0" w:before="80"/>
      </w:pPr>
      <w:r>
        <w:t xml:space="preserve"/>
      </w:r>
    </w:p>
    <w:p>
      <w:pPr>
        <w:spacing w:after="80" w:before="0"/>
        <w:jc w:val="center"/>
      </w:pPr>
      <w:r>
        <w:rPr>
          <w:rFonts w:ascii="Arial" w:cs="Arial" w:eastAsia="Arial" w:hAnsi="Arial"/>
          <w:b/>
          <w:bCs/>
          <w:color w:val="1F3864"/>
          <w:sz w:val="56"/>
          <w:szCs w:val="56"/>
        </w:rPr>
        <w:t xml:space="preserve">PlantProcess IQ</w:t>
      </w:r>
    </w:p>
    <w:p>
      <w:pPr>
        <w:spacing w:after="200" w:before="0"/>
        <w:jc w:val="center"/>
      </w:pPr>
      <w:r>
        <w:rPr>
          <w:rFonts w:ascii="Arial" w:cs="Arial" w:eastAsia="Arial" w:hAnsi="Arial"/>
          <w:color w:val="2E75B6"/>
          <w:sz w:val="32"/>
          <w:szCs w:val="32"/>
        </w:rPr>
        <w:t xml:space="preserve">Product Analysis, Updated Roadmap &amp; Development Plan</w:t>
      </w:r>
    </w:p>
    <w:p>
      <w:pPr>
        <w:pBdr>
          <w:bottom w:val="single" w:color="CCCCCC" w:sz="6" w:space="4"/>
        </w:pBdr>
        <w:spacing w:after="80" w:before="80"/>
      </w:pPr>
      <w:r>
        <w:t xml:space="preserve"/>
      </w:r>
    </w:p>
    <w:p>
      <w:pPr>
        <w:spacing w:after="0" w:before="80"/>
      </w:pPr>
      <w:r>
        <w:t xml:space="preserve"/>
      </w:r>
    </w:p>
    <w:p>
      <w:pPr>
        <w:spacing w:after="40" w:before="0"/>
        <w:jc w:val="center"/>
      </w:pPr>
      <w:r>
        <w:rPr>
          <w:rFonts w:ascii="Arial" w:cs="Arial" w:eastAsia="Arial" w:hAnsi="Arial"/>
          <w:color w:val="505050"/>
          <w:sz w:val="24"/>
          <w:szCs w:val="24"/>
        </w:rPr>
        <w:t xml:space="preserve">Prepared: 13 May 2026</w:t>
      </w:r>
    </w:p>
    <w:p>
      <w:pPr>
        <w:spacing w:after="40" w:before="0"/>
        <w:jc w:val="center"/>
      </w:pPr>
      <w:r>
        <w:rPr>
          <w:rFonts w:ascii="Arial" w:cs="Arial" w:eastAsia="Arial" w:hAnsi="Arial"/>
          <w:color w:val="666666"/>
          <w:sz w:val="22"/>
          <w:szCs w:val="22"/>
        </w:rPr>
        <w:t xml:space="preserve">Based on codebase snapshot: 12 May 2026 16:29</w:t>
      </w:r>
    </w:p>
    <w:p>
      <w:pPr>
        <w:spacing w:after="160" w:before="0"/>
        <w:jc w:val="center"/>
      </w:pPr>
      <w:r>
        <w:rPr>
          <w:rFonts w:ascii="Arial" w:cs="Arial" w:eastAsia="Arial" w:hAnsi="Arial"/>
          <w:color w:val="444444"/>
          <w:sz w:val="22"/>
          <w:szCs w:val="22"/>
        </w:rPr>
        <w:t xml:space="preserve">Total tasks: 94 original + 29 new = 123 tasks across 13 phases</w:t>
      </w:r>
    </w:p>
    <w:p>
      <w:pPr>
        <w:spacing w:after="0" w:before="80"/>
      </w:pPr>
      <w:r>
        <w:t xml:space="preserve"/>
      </w:r>
    </w:p>
    <w:p>
      <w:pPr>
        <w:spacing w:after="0" w:before="80"/>
      </w:pPr>
      <w:r>
        <w:t xml:space="preserve"/>
      </w:r>
    </w:p>
    <w:p>
      <w:pPr>
        <w:jc w:val="center"/>
      </w:pPr>
      <w:r>
        <w:rPr>
          <w:rFonts w:ascii="Arial" w:cs="Arial" w:eastAsia="Arial" w:hAnsi="Arial"/>
          <w:color w:val="888888"/>
          <w:sz w:val="20"/>
          <w:szCs w:val="20"/>
        </w:rPr>
        <w:t xml:space="preserve">CONFIDENTIAL — Internal Product Document</w:t>
      </w:r>
    </w:p>
    <w:p>
      <w:r>
        <w:br w:type="page"/>
      </w:r>
    </w:p>
    <w:p>
      <w:pPr>
        <w:pStyle w:val="Heading1"/>
        <w:pBdr>
          <w:bottom w:val="single" w:color="2E75B6" w:sz="16" w:space="8"/>
        </w:pBdr>
        <w:spacing w:after="240" w:before="480"/>
      </w:pPr>
      <w:r>
        <w:rPr>
          <w:rFonts w:ascii="Arial" w:cs="Arial" w:eastAsia="Arial" w:hAnsi="Arial"/>
          <w:b/>
          <w:bCs/>
          <w:color w:val="1F3864"/>
          <w:sz w:val="38"/>
          <w:szCs w:val="38"/>
        </w:rPr>
        <w:t xml:space="preserve">Section 1: Executive Overview &amp; Implementation Status</w:t>
      </w:r>
    </w:p>
    <w:p>
      <w:pPr>
        <w:spacing w:after="60" w:before="60"/>
        <w:jc w:val="both"/>
      </w:pPr>
      <w:r>
        <w:rPr>
          <w:rFonts w:ascii="Arial" w:cs="Arial" w:eastAsia="Arial" w:hAnsi="Arial"/>
          <w:b w:val="false"/>
          <w:bCs w:val="false"/>
          <w:color w:val="000000"/>
          <w:sz w:val="22"/>
          <w:szCs w:val="22"/>
        </w:rPr>
        <w:t xml:space="preserve">This document presents a comprehensive analysis of the PlantProcess IQ product, comparing the latest vision (Latest_Vision.txt) against the existing development plan (Plan_11May2026.txt), the commercial roadmap (roadmap.txt), and the full codebase snapshot as of 12 May 2026 (PlantProcessIQ_FullStack_12May2026_1629.txt). The analysis identifies what has been built, what is in the existing plan, what is missing entirely from the plan relative to the vision, and provides an updated roadmap and development plan.</w:t>
      </w:r>
    </w:p>
    <w:p>
      <w:pPr>
        <w:spacing w:after="0" w:before="80"/>
      </w:pPr>
      <w:r>
        <w:t xml:space="preserve"/>
      </w:r>
    </w:p>
    <w:p>
      <w:pPr>
        <w:pStyle w:val="Heading2"/>
        <w:spacing w:after="160" w:before="360"/>
      </w:pPr>
      <w:r>
        <w:rPr>
          <w:rFonts w:ascii="Arial" w:cs="Arial" w:eastAsia="Arial" w:hAnsi="Arial"/>
          <w:b/>
          <w:bCs/>
          <w:color w:val="2E75B6"/>
          <w:sz w:val="30"/>
          <w:szCs w:val="30"/>
        </w:rPr>
        <w:t xml:space="preserve">1.1  Codebase Status as of 12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22"/>
                <w:szCs w:val="22"/>
              </w:rPr>
              <w:t xml:space="preserve">Total Files</w:t>
            </w:r>
          </w:p>
        </w:tc>
        <w:tc>
          <w:tcPr>
            <w:tcW w:type="dxa" w:w="234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22"/>
                <w:szCs w:val="22"/>
              </w:rPr>
              <w:t xml:space="preserve">Total Lines of Code</w:t>
            </w:r>
          </w:p>
        </w:tc>
        <w:tc>
          <w:tcPr>
            <w:tcW w:type="dxa" w:w="234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22"/>
                <w:szCs w:val="22"/>
              </w:rPr>
              <w:t xml:space="preserve">Backend Lines</w:t>
            </w:r>
          </w:p>
        </w:tc>
        <w:tc>
          <w:tcPr>
            <w:tcW w:type="dxa" w:w="234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22"/>
                <w:szCs w:val="22"/>
              </w:rPr>
              <w:t xml:space="preserve">Frontend Lines</w:t>
            </w:r>
          </w:p>
        </w:tc>
      </w:tr>
      <w:tr>
        <w:tc>
          <w:tcPr>
            <w:tcW w:type="dxa" w:w="2340"/>
            <w:tcBorders>
              <w:top w:val="single" w:color="AAAAAA" w:sz="4"/>
              <w:left w:val="single" w:color="AAAAAA" w:sz="4"/>
              <w:bottom w:val="single" w:color="AAAAAA" w:sz="4"/>
              <w:right w:val="single" w:color="AAAAAA" w:sz="4"/>
            </w:tcBorders>
            <w:shd w:fill="DEEAF1" w:val="clear"/>
            <w:tcMar>
              <w:top w:type="dxa" w:w="60"/>
              <w:left w:type="dxa" w:w="110"/>
              <w:bottom w:type="dxa" w:w="60"/>
              <w:right w:type="dxa" w:w="110"/>
            </w:tcMar>
            <w:vAlign w:val="top"/>
          </w:tcPr>
          <w:p>
            <w:pPr>
              <w:spacing w:after="0" w:before="0"/>
              <w:jc w:val="center"/>
            </w:pPr>
            <w:r>
              <w:rPr>
                <w:rFonts w:ascii="Arial" w:cs="Arial" w:eastAsia="Arial" w:hAnsi="Arial"/>
                <w:b/>
                <w:bCs/>
                <w:color w:val="1F3864"/>
                <w:sz w:val="28"/>
                <w:szCs w:val="28"/>
              </w:rPr>
              <w:t xml:space="preserve">259</w:t>
            </w:r>
          </w:p>
        </w:tc>
        <w:tc>
          <w:tcPr>
            <w:tcW w:type="dxa" w:w="2340"/>
            <w:tcBorders>
              <w:top w:val="single" w:color="AAAAAA" w:sz="4"/>
              <w:left w:val="single" w:color="AAAAAA" w:sz="4"/>
              <w:bottom w:val="single" w:color="AAAAAA" w:sz="4"/>
              <w:right w:val="single" w:color="AAAAAA" w:sz="4"/>
            </w:tcBorders>
            <w:shd w:fill="DEEAF1" w:val="clear"/>
            <w:tcMar>
              <w:top w:type="dxa" w:w="60"/>
              <w:left w:type="dxa" w:w="110"/>
              <w:bottom w:type="dxa" w:w="60"/>
              <w:right w:type="dxa" w:w="110"/>
            </w:tcMar>
            <w:vAlign w:val="top"/>
          </w:tcPr>
          <w:p>
            <w:pPr>
              <w:spacing w:after="0" w:before="0"/>
              <w:jc w:val="center"/>
            </w:pPr>
            <w:r>
              <w:rPr>
                <w:rFonts w:ascii="Arial" w:cs="Arial" w:eastAsia="Arial" w:hAnsi="Arial"/>
                <w:b/>
                <w:bCs/>
                <w:color w:val="1F3864"/>
                <w:sz w:val="28"/>
                <w:szCs w:val="28"/>
              </w:rPr>
              <w:t xml:space="preserve">60,877</w:t>
            </w:r>
          </w:p>
        </w:tc>
        <w:tc>
          <w:tcPr>
            <w:tcW w:type="dxa" w:w="2340"/>
            <w:tcBorders>
              <w:top w:val="single" w:color="AAAAAA" w:sz="4"/>
              <w:left w:val="single" w:color="AAAAAA" w:sz="4"/>
              <w:bottom w:val="single" w:color="AAAAAA" w:sz="4"/>
              <w:right w:val="single" w:color="AAAAAA" w:sz="4"/>
            </w:tcBorders>
            <w:shd w:fill="DEEAF1" w:val="clear"/>
            <w:tcMar>
              <w:top w:type="dxa" w:w="60"/>
              <w:left w:type="dxa" w:w="110"/>
              <w:bottom w:type="dxa" w:w="60"/>
              <w:right w:type="dxa" w:w="110"/>
            </w:tcMar>
            <w:vAlign w:val="top"/>
          </w:tcPr>
          <w:p>
            <w:pPr>
              <w:spacing w:after="0" w:before="0"/>
              <w:jc w:val="center"/>
            </w:pPr>
            <w:r>
              <w:rPr>
                <w:rFonts w:ascii="Arial" w:cs="Arial" w:eastAsia="Arial" w:hAnsi="Arial"/>
                <w:b/>
                <w:bCs/>
                <w:color w:val="1F3864"/>
                <w:sz w:val="28"/>
                <w:szCs w:val="28"/>
              </w:rPr>
              <w:t xml:space="preserve">52,163</w:t>
            </w:r>
          </w:p>
        </w:tc>
        <w:tc>
          <w:tcPr>
            <w:tcW w:type="dxa" w:w="2340"/>
            <w:tcBorders>
              <w:top w:val="single" w:color="AAAAAA" w:sz="4"/>
              <w:left w:val="single" w:color="AAAAAA" w:sz="4"/>
              <w:bottom w:val="single" w:color="AAAAAA" w:sz="4"/>
              <w:right w:val="single" w:color="AAAAAA" w:sz="4"/>
            </w:tcBorders>
            <w:shd w:fill="DEEAF1" w:val="clear"/>
            <w:tcMar>
              <w:top w:type="dxa" w:w="60"/>
              <w:left w:type="dxa" w:w="110"/>
              <w:bottom w:type="dxa" w:w="60"/>
              <w:right w:type="dxa" w:w="110"/>
            </w:tcMar>
            <w:vAlign w:val="top"/>
          </w:tcPr>
          <w:p>
            <w:pPr>
              <w:spacing w:after="0" w:before="0"/>
              <w:jc w:val="center"/>
            </w:pPr>
            <w:r>
              <w:rPr>
                <w:rFonts w:ascii="Arial" w:cs="Arial" w:eastAsia="Arial" w:hAnsi="Arial"/>
                <w:b/>
                <w:bCs/>
                <w:color w:val="1F3864"/>
                <w:sz w:val="28"/>
                <w:szCs w:val="28"/>
              </w:rPr>
              <w:t xml:space="preserve">8,714</w:t>
            </w:r>
          </w:p>
        </w:tc>
      </w:tr>
      <w:tr>
        <w:tc>
          <w:tcPr>
            <w:tcW w:type="dxa" w:w="9360"/>
            <w:tcBorders>
              <w:top w:val="single" w:color="AAAAAA" w:sz="4"/>
              <w:left w:val="single" w:color="AAAAAA" w:sz="4"/>
              <w:bottom w:val="single" w:color="AAAAAA" w:sz="4"/>
              <w:right w:val="single" w:color="AAAAAA" w:sz="4"/>
            </w:tcBorders>
            <w:shd w:fill="F2F2F2" w:val="clear"/>
            <w:tcMar>
              <w:top w:type="dxa" w:w="60"/>
              <w:left w:type="dxa" w:w="110"/>
              <w:bottom w:type="dxa" w:w="60"/>
              <w:right w:type="dxa" w:w="110"/>
            </w:tcMar>
            <w:vAlign w:val="top"/>
          </w:tcPr>
          <w:p>
            <w:pPr>
              <w:spacing w:after="0" w:before="0"/>
              <w:jc w:val="center"/>
            </w:pPr>
            <w:r>
              <w:rPr>
                <w:rFonts w:ascii="Arial" w:cs="Arial" w:eastAsia="Arial" w:hAnsi="Arial"/>
                <w:b w:val="false"/>
                <w:bCs w:val="false"/>
                <w:color w:val="444444"/>
                <w:sz w:val="20"/>
                <w:szCs w:val="20"/>
              </w:rPr>
              <w:t xml:space="preserve">223 backend + 36 frontend files across 5 projects</w:t>
            </w:r>
          </w:p>
        </w:tc>
      </w:tr>
    </w:tbl>
    <w:p>
      <w:pPr>
        <w:spacing w:after="0" w:before="80"/>
      </w:pPr>
      <w:r>
        <w:t xml:space="preserve"/>
      </w:r>
    </w:p>
    <w:p>
      <w:pPr>
        <w:pStyle w:val="Heading2"/>
        <w:spacing w:after="160" w:before="360"/>
      </w:pPr>
      <w:r>
        <w:rPr>
          <w:rFonts w:ascii="Arial" w:cs="Arial" w:eastAsia="Arial" w:hAnsi="Arial"/>
          <w:b/>
          <w:bCs/>
          <w:color w:val="2E75B6"/>
          <w:sz w:val="30"/>
          <w:szCs w:val="30"/>
        </w:rPr>
        <w:t xml:space="preserve">1.2  What Is Already Built</w:t>
      </w:r>
    </w:p>
    <w:p>
      <w:pPr>
        <w:spacing w:after="60" w:before="60"/>
        <w:jc w:val="both"/>
      </w:pPr>
      <w:r>
        <w:rPr>
          <w:rFonts w:ascii="Arial" w:cs="Arial" w:eastAsia="Arial" w:hAnsi="Arial"/>
          <w:b w:val="false"/>
          <w:bCs w:val="false"/>
          <w:color w:val="000000"/>
          <w:sz w:val="22"/>
          <w:szCs w:val="22"/>
        </w:rPr>
        <w:t xml:space="preserve">The following capabilities are confirmed present in the 12 May 2026 codebase snapshot. These represent the foundation upon which all remaining work builds and should be treated as stable, tested assets before any new feature development begins.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20"/>
                <w:szCs w:val="20"/>
              </w:rPr>
              <w:t xml:space="preserve">Capability</w:t>
            </w:r>
          </w:p>
        </w:tc>
        <w:tc>
          <w:tcPr>
            <w:tcW w:type="dxa" w:w="716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20"/>
                <w:szCs w:val="20"/>
              </w:rPr>
              <w:t xml:space="preserve">Description</w:t>
            </w:r>
          </w:p>
        </w:tc>
      </w:tr>
      <w:tr>
        <w:tc>
          <w:tcPr>
            <w:tcW w:type="dxa" w:w="2200"/>
            <w:tcBorders>
              <w:top w:val="single" w:color="AAAAAA" w:sz="4"/>
              <w:left w:val="single" w:color="AAAAAA" w:sz="4"/>
              <w:bottom w:val="single" w:color="AAAAAA" w:sz="4"/>
              <w:right w:val="single" w:color="AAAAAA" w:sz="4"/>
            </w:tcBorders>
            <w:shd w:fill="DEEAF1"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9"/>
                <w:szCs w:val="19"/>
              </w:rPr>
              <w:t xml:space="preserve">Complete Canonical Domain Model</w:t>
            </w:r>
          </w:p>
        </w:tc>
        <w:tc>
          <w:tcPr>
            <w:tcW w:type="dxa" w:w="71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9"/>
                <w:szCs w:val="19"/>
              </w:rPr>
              <w:t xml:space="preserve">28 domain entities covering Material, Process, Quality, Genealogy, Plant Layout, Analytics, and Integration. All 19 EF Core migrations are applied. The model is deliberately domain-neutral, with no hardcoded steel or industry-specific terms in core logic.</w:t>
            </w:r>
          </w:p>
        </w:tc>
      </w:tr>
      <w:tr>
        <w:tc>
          <w:tcPr>
            <w:tcW w:type="dxa" w:w="2200"/>
            <w:tcBorders>
              <w:top w:val="single" w:color="AAAAAA" w:sz="4"/>
              <w:left w:val="single" w:color="AAAAAA" w:sz="4"/>
              <w:bottom w:val="single" w:color="AAAAAA" w:sz="4"/>
              <w:right w:val="single" w:color="AAAAAA" w:sz="4"/>
            </w:tcBorders>
            <w:shd w:fill="DEEAF1"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9"/>
                <w:szCs w:val="19"/>
              </w:rPr>
              <w:t xml:space="preserve">Analytics Engine (Backend)</w:t>
            </w:r>
          </w:p>
        </w:tc>
        <w:tc>
          <w:tcPr>
            <w:tcW w:type="dxa" w:w="71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9"/>
                <w:szCs w:val="19"/>
              </w:rPr>
              <w:t xml:space="preserve">Correlation service, risk scoring service, feature engineering service, data quality service, and investigation report service are all implemented as application services in PlantProcess.Application. Model registry entity tracks model versions.</w:t>
            </w:r>
          </w:p>
        </w:tc>
      </w:tr>
      <w:tr>
        <w:tc>
          <w:tcPr>
            <w:tcW w:type="dxa" w:w="2200"/>
            <w:tcBorders>
              <w:top w:val="single" w:color="AAAAAA" w:sz="4"/>
              <w:left w:val="single" w:color="AAAAAA" w:sz="4"/>
              <w:bottom w:val="single" w:color="AAAAAA" w:sz="4"/>
              <w:right w:val="single" w:color="AAAAAA" w:sz="4"/>
            </w:tcBorders>
            <w:shd w:fill="DEEAF1"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9"/>
                <w:szCs w:val="19"/>
              </w:rPr>
              <w:t xml:space="preserve">Integration Pipeline (Backend)</w:t>
            </w:r>
          </w:p>
        </w:tc>
        <w:tc>
          <w:tcPr>
            <w:tcW w:type="dxa" w:w="71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9"/>
                <w:szCs w:val="19"/>
              </w:rPr>
              <w:t xml:space="preserve">SourceSystemDefinition, ImportBatch, MappingDefinition, StagingRecord entities are persisted. ImportWorkflowService, MappingDefinitionService, MappingExecutionService, and StagingRecordService are implemented. Bulk telemetry ingestion via TelemetryBulkRepository.</w:t>
            </w:r>
          </w:p>
        </w:tc>
      </w:tr>
      <w:tr>
        <w:tc>
          <w:tcPr>
            <w:tcW w:type="dxa" w:w="2200"/>
            <w:tcBorders>
              <w:top w:val="single" w:color="AAAAAA" w:sz="4"/>
              <w:left w:val="single" w:color="AAAAAA" w:sz="4"/>
              <w:bottom w:val="single" w:color="AAAAAA" w:sz="4"/>
              <w:right w:val="single" w:color="AAAAAA" w:sz="4"/>
            </w:tcBorders>
            <w:shd w:fill="DEEAF1"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9"/>
                <w:szCs w:val="19"/>
              </w:rPr>
              <w:t xml:space="preserve">Dashboard Engine (Backend)</w:t>
            </w:r>
          </w:p>
        </w:tc>
        <w:tc>
          <w:tcPr>
            <w:tcW w:type="dxa" w:w="71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9"/>
                <w:szCs w:val="19"/>
              </w:rPr>
              <w:t xml:space="preserve">DashboardDefinition and DashboardWidgetDefinition entities exist with full EF configuration. DashboardDefinitionService, DashboardQueryService, DashboardWidgetQueryService, DashboardWidgetValidationService, and DashboardWidgetQuerySafetyRegistry are implemented.</w:t>
            </w:r>
          </w:p>
        </w:tc>
      </w:tr>
      <w:tr>
        <w:tc>
          <w:tcPr>
            <w:tcW w:type="dxa" w:w="2200"/>
            <w:tcBorders>
              <w:top w:val="single" w:color="AAAAAA" w:sz="4"/>
              <w:left w:val="single" w:color="AAAAAA" w:sz="4"/>
              <w:bottom w:val="single" w:color="AAAAAA" w:sz="4"/>
              <w:right w:val="single" w:color="AAAAAA" w:sz="4"/>
            </w:tcBorders>
            <w:shd w:fill="DEEAF1"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9"/>
                <w:szCs w:val="19"/>
              </w:rPr>
              <w:t xml:space="preserve">Frontend Pages and Components</w:t>
            </w:r>
          </w:p>
        </w:tc>
        <w:tc>
          <w:tcPr>
            <w:tcW w:type="dxa" w:w="71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9"/>
                <w:szCs w:val="19"/>
              </w:rPr>
              <w:t xml:space="preserve">5 React pages: DashboardPage, CorrelationPage, DataQualityPage, MaterialInvestigationPage, RiskDashboardPage. Components: WidgetBuilderWizard, DashboardGridLayout, DashboardWidgetCard, DrilldownDrawer, InteractiveCharts, DashboardFilterBar, SortableDataTable, MetricCard. Theme and filter context providers.</w:t>
            </w:r>
          </w:p>
        </w:tc>
      </w:tr>
      <w:tr>
        <w:tc>
          <w:tcPr>
            <w:tcW w:type="dxa" w:w="2200"/>
            <w:tcBorders>
              <w:top w:val="single" w:color="AAAAAA" w:sz="4"/>
              <w:left w:val="single" w:color="AAAAAA" w:sz="4"/>
              <w:bottom w:val="single" w:color="AAAAAA" w:sz="4"/>
              <w:right w:val="single" w:color="AAAAAA" w:sz="4"/>
            </w:tcBorders>
            <w:shd w:fill="DEEAF1"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9"/>
                <w:szCs w:val="19"/>
              </w:rPr>
              <w:t xml:space="preserve">Background Workers</w:t>
            </w:r>
          </w:p>
        </w:tc>
        <w:tc>
          <w:tcPr>
            <w:tcW w:type="dxa" w:w="71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9"/>
                <w:szCs w:val="19"/>
              </w:rPr>
              <w:t xml:space="preserve">TelemetryIngestionWorker and a scheduled Worker project exist. ImportBatchQueueProcessorService handles async import queue processing.</w:t>
            </w:r>
          </w:p>
        </w:tc>
      </w:tr>
      <w:tr>
        <w:tc>
          <w:tcPr>
            <w:tcW w:type="dxa" w:w="2200"/>
            <w:tcBorders>
              <w:top w:val="single" w:color="AAAAAA" w:sz="4"/>
              <w:left w:val="single" w:color="AAAAAA" w:sz="4"/>
              <w:bottom w:val="single" w:color="AAAAAA" w:sz="4"/>
              <w:right w:val="single" w:color="AAAAAA" w:sz="4"/>
            </w:tcBorders>
            <w:shd w:fill="DEEAF1"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9"/>
                <w:szCs w:val="19"/>
              </w:rPr>
              <w:t xml:space="preserve">API Endpoints (19 endpoint files)</w:t>
            </w:r>
          </w:p>
        </w:tc>
        <w:tc>
          <w:tcPr>
            <w:tcW w:type="dxa" w:w="71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9"/>
                <w:szCs w:val="19"/>
              </w:rPr>
              <w:t xml:space="preserve">Endpoints for Analytics (Correlation, Dashboard, FeatureEngineering, RiskScore), Configuration, DataQuality, Development/Seeding, Health, Integration (ImportWorkflow, Integration), Materials (Material, MaterialInvestigation), PlantLayout, Process, Quality, Reporting, Validation, and Workflow.</w:t>
            </w:r>
          </w:p>
        </w:tc>
      </w:tr>
    </w:tbl>
    <w:p>
      <w:pPr>
        <w:spacing w:after="0" w:before="80"/>
      </w:pPr>
      <w:r>
        <w:t xml:space="preserve"/>
      </w:r>
    </w:p>
    <w:p>
      <w:pPr>
        <w:pStyle w:val="Heading2"/>
        <w:spacing w:after="160" w:before="360"/>
      </w:pPr>
      <w:r>
        <w:rPr>
          <w:rFonts w:ascii="Arial" w:cs="Arial" w:eastAsia="Arial" w:hAnsi="Arial"/>
          <w:b/>
          <w:bCs/>
          <w:color w:val="2E75B6"/>
          <w:sz w:val="30"/>
          <w:szCs w:val="30"/>
        </w:rPr>
        <w:t xml:space="preserve">1.3  Critical Gaps Against Latest Vision</w:t>
      </w:r>
    </w:p>
    <w:p>
      <w:pPr>
        <w:spacing w:after="60" w:before="60"/>
        <w:jc w:val="both"/>
      </w:pPr>
      <w:r>
        <w:rPr>
          <w:rFonts w:ascii="Arial" w:cs="Arial" w:eastAsia="Arial" w:hAnsi="Arial"/>
          <w:b w:val="false"/>
          <w:bCs w:val="false"/>
          <w:color w:val="000000"/>
          <w:sz w:val="22"/>
          <w:szCs w:val="22"/>
        </w:rPr>
        <w:t xml:space="preserve">The following five areas are explicitly described in the latest vision document but are either entirely absent from the existing development plan or are only partially addressed. These represent the most significant delta between where the product must go and where the existing plan leads.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20"/>
                <w:szCs w:val="20"/>
              </w:rPr>
              <w:t xml:space="preserve">Gap Area</w:t>
            </w:r>
          </w:p>
        </w:tc>
        <w:tc>
          <w:tcPr>
            <w:tcW w:type="dxa" w:w="436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20"/>
                <w:szCs w:val="20"/>
              </w:rPr>
              <w:t xml:space="preserve">Description</w:t>
            </w:r>
          </w:p>
        </w:tc>
        <w:tc>
          <w:tcPr>
            <w:tcW w:type="dxa" w:w="30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20"/>
                <w:szCs w:val="20"/>
              </w:rPr>
              <w:t xml:space="preserve">New Plan Tasks Required</w:t>
            </w:r>
          </w:p>
        </w:tc>
      </w:tr>
      <w:tr>
        <w:tc>
          <w:tcPr>
            <w:tcW w:type="dxa" w:w="200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left"/>
            </w:pPr>
            <w:r>
              <w:rPr>
                <w:rFonts w:ascii="Arial" w:cs="Arial" w:eastAsia="Arial" w:hAnsi="Arial"/>
                <w:b/>
                <w:bCs/>
                <w:color w:val="C00000"/>
                <w:sz w:val="18"/>
                <w:szCs w:val="18"/>
              </w:rPr>
              <w:t xml:space="preserve">Admin Area (Vision §1.2–1.6) — Entirely Missing</w:t>
            </w:r>
          </w:p>
        </w:tc>
        <w:tc>
          <w:tcPr>
            <w:tcW w:type="dxa" w:w="43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The vision describes a full Administrator section with: a DB Link Configuration tab for setting up DB connections and import rates, an Importing Data tab for configuring canonical DB refresh rates, and a Jobs Monitor page for tracking all job types. No Admin area navigation shell, no Admin pages, and no JobDefinition entity exist anywhere in the current codebase or plan.</w:t>
            </w:r>
          </w:p>
        </w:tc>
        <w:tc>
          <w:tcPr>
            <w:tcW w:type="dxa" w:w="30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375623"/>
                <w:sz w:val="18"/>
                <w:szCs w:val="18"/>
              </w:rPr>
              <w:t xml:space="preserve">Admin area shell (A-01), JobDefinition entity (A-04), DB Link Config UI (A-03), Importing Data tab (A-06), Jobs Monitor page (A-07), Jobs Monitor endpoints (A-08).</w:t>
            </w:r>
          </w:p>
        </w:tc>
      </w:tr>
      <w:tr>
        <w:tc>
          <w:tcPr>
            <w:tcW w:type="dxa" w:w="200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left"/>
            </w:pPr>
            <w:r>
              <w:rPr>
                <w:rFonts w:ascii="Arial" w:cs="Arial" w:eastAsia="Arial" w:hAnsi="Arial"/>
                <w:b/>
                <w:bCs/>
                <w:color w:val="C00000"/>
                <w:sz w:val="18"/>
                <w:szCs w:val="18"/>
              </w:rPr>
              <w:t xml:space="preserve">SQL Schema Configuration Layer (Vision §1.4) — Missing</w:t>
            </w:r>
          </w:p>
        </w:tc>
        <w:tc>
          <w:tcPr>
            <w:tcW w:type="dxa" w:w="43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The vision explicitly requires a page where users write SQL JOIN queries across dump files, create KPI views, and map customer data structures to the canonical model. The current MappingDefinition is a field-level mapper. No SQL editor, no cross-source JOIN support, and no KPI view registration exist in the plan.</w:t>
            </w:r>
          </w:p>
        </w:tc>
        <w:tc>
          <w:tcPr>
            <w:tcW w:type="dxa" w:w="30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375623"/>
                <w:sz w:val="18"/>
                <w:szCs w:val="18"/>
              </w:rPr>
              <w:t xml:space="preserve">SQL editor component (SC-01), Cross-dump JOIN service (SC-02), KPI view builder (SC-03), Schema view validation and preview (SC-04).</w:t>
            </w:r>
          </w:p>
        </w:tc>
      </w:tr>
      <w:tr>
        <w:tc>
          <w:tcPr>
            <w:tcW w:type="dxa" w:w="200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left"/>
            </w:pPr>
            <w:r>
              <w:rPr>
                <w:rFonts w:ascii="Arial" w:cs="Arial" w:eastAsia="Arial" w:hAnsi="Arial"/>
                <w:b/>
                <w:bCs/>
                <w:color w:val="C00000"/>
                <w:sz w:val="18"/>
                <w:szCs w:val="18"/>
              </w:rPr>
              <w:t xml:space="preserve">Dynamic Page Creation (Vision §2.1) — Missing</w:t>
            </w:r>
          </w:p>
        </w:tc>
        <w:tc>
          <w:tcPr>
            <w:tcW w:type="dxa" w:w="43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The vision requires that users be able to CREATE, EDIT, and DELETE entire pages, not just add widgets to pre-existing dashboards. Users should be able to compose any monitoring page from a widget library using drag-and-drop. No PageDefinition entity, no page CRUD API, and no page management UI are in the plan.</w:t>
            </w:r>
          </w:p>
        </w:tc>
        <w:tc>
          <w:tcPr>
            <w:tcW w:type="dxa" w:w="30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375623"/>
                <w:sz w:val="18"/>
                <w:szCs w:val="18"/>
              </w:rPr>
              <w:t xml:space="preserve">Page CRUD API (PM-01), Page management frontend UI (PM-02), Page template system (PM-03).</w:t>
            </w:r>
          </w:p>
        </w:tc>
      </w:tr>
      <w:tr>
        <w:tc>
          <w:tcPr>
            <w:tcW w:type="dxa" w:w="200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left"/>
            </w:pPr>
            <w:r>
              <w:rPr>
                <w:rFonts w:ascii="Arial" w:cs="Arial" w:eastAsia="Arial" w:hAnsi="Arial"/>
                <w:b/>
                <w:bCs/>
                <w:color w:val="C00000"/>
                <w:sz w:val="18"/>
                <w:szCs w:val="18"/>
              </w:rPr>
              <w:t xml:space="preserve">Widget Script Layer (Vision §2.2) — Missing</w:t>
            </w:r>
          </w:p>
        </w:tc>
        <w:tc>
          <w:tcPr>
            <w:tcW w:type="dxa" w:w="43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The vision explicitly warns: 'without this I should write 100k endpoints.' Each widget must carry a configurable script layer for groupBy, aggregation, and filter expressions so that the analytics engine can execute arbitrary widget queries through a single generic endpoint. This is not in the current plan at any task level.</w:t>
            </w:r>
          </w:p>
        </w:tc>
        <w:tc>
          <w:tcPr>
            <w:tcW w:type="dxa" w:w="30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375623"/>
                <w:sz w:val="18"/>
                <w:szCs w:val="18"/>
              </w:rPr>
              <w:t xml:space="preserve">Widget query expression model (WS-01), Generic script execution endpoint (WS-02), Script layer UI in widget builder (WS-03).</w:t>
            </w:r>
          </w:p>
        </w:tc>
      </w:tr>
      <w:tr>
        <w:tc>
          <w:tcPr>
            <w:tcW w:type="dxa" w:w="200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left"/>
            </w:pPr>
            <w:r>
              <w:rPr>
                <w:rFonts w:ascii="Arial" w:cs="Arial" w:eastAsia="Arial" w:hAnsi="Arial"/>
                <w:b/>
                <w:bCs/>
                <w:color w:val="C00000"/>
                <w:sz w:val="18"/>
                <w:szCs w:val="18"/>
              </w:rPr>
              <w:t xml:space="preserve">ML Engine Jobs + Full ML Area UI (Vision §3.1–3.3) — Partially Missing</w:t>
            </w:r>
          </w:p>
        </w:tc>
        <w:tc>
          <w:tcPr>
            <w:tcW w:type="dxa" w:w="43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The plan contains ML foundation tasks (label builder, Python script, explanation storage) but does not plan the four scheduled ML learning jobs (params vs defects, vs downtime, vs KPIs, weekly full), does not plan the ML Correlation Page with per-inspection-job tabs, and does not plan the Suggestion and Recommendation page.</w:t>
            </w:r>
          </w:p>
        </w:tc>
        <w:tc>
          <w:tcPr>
            <w:tcW w:type="dxa" w:w="30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375623"/>
                <w:sz w:val="18"/>
                <w:szCs w:val="18"/>
              </w:rPr>
              <w:t xml:space="preserve">ML learning jobs ML-01 to ML-04, Inspection job entity and runner (MA-01, MA-02), ML Correlation page with tabs (MA-03), Inspection job periodic run (MA-04), Suggestion and Recommendation page (MA-05).</w:t>
            </w:r>
          </w:p>
        </w:tc>
      </w:tr>
    </w:tbl>
    <w:p>
      <w:pPr>
        <w:spacing w:after="0" w:before="80"/>
      </w:pPr>
      <w:r>
        <w:t xml:space="preserve"/>
      </w:r>
    </w:p>
    <w:p>
      <w:pPr>
        <w:pStyle w:val="Heading2"/>
        <w:spacing w:after="160" w:before="360"/>
      </w:pPr>
      <w:r>
        <w:rPr>
          <w:rFonts w:ascii="Arial" w:cs="Arial" w:eastAsia="Arial" w:hAnsi="Arial"/>
          <w:b/>
          <w:bCs/>
          <w:color w:val="2E75B6"/>
          <w:sz w:val="30"/>
          <w:szCs w:val="30"/>
        </w:rPr>
        <w:t xml:space="preserve">1.4  Roadmap Alignment Verdict</w:t>
      </w:r>
    </w:p>
    <w:p>
      <w:pPr>
        <w:spacing w:after="60" w:before="60"/>
        <w:jc w:val="both"/>
      </w:pPr>
      <w:r>
        <w:rPr>
          <w:rFonts w:ascii="Arial" w:cs="Arial" w:eastAsia="Arial" w:hAnsi="Arial"/>
          <w:b w:val="false"/>
          <w:bCs w:val="false"/>
          <w:color w:val="000000"/>
          <w:sz w:val="22"/>
          <w:szCs w:val="22"/>
        </w:rPr>
        <w:t xml:space="preserve">The six-stage commercial roadmap (Soft Marketing → Customer Discovery → Demo-Based Sales → Paid Readiness Assessment → Pilot Sales → Full Product Marketing) is structurally sound, well-reasoned, and should be kept. It correctly sequences customer validation before heavy infrastructure investment. However, the stage gate criteria require updating in five specific areas:</w:t>
      </w:r>
    </w:p>
    <w:p>
      <w:pPr>
        <w:pStyle w:val="ListParagraph"/>
        <w:numPr>
          <w:ilvl w:val="0"/>
          <w:numId w:val="2"/>
        </w:numPr>
        <w:spacing w:after="40" w:before="40"/>
      </w:pPr>
      <w:r>
        <w:rPr>
          <w:rFonts w:ascii="Arial" w:cs="Arial" w:eastAsia="Arial" w:hAnsi="Arial"/>
          <w:b w:val="false"/>
          <w:bCs w:val="false"/>
          <w:sz w:val="22"/>
          <w:szCs w:val="22"/>
        </w:rPr>
        <w:t xml:space="preserve">Stage 2 (Customer Discovery): Admin area shell must be visible before discovery calls begin. Customers will ask 'where do I configure my databases?' in the first conversation.</w:t>
      </w:r>
    </w:p>
    <w:p>
      <w:pPr>
        <w:pStyle w:val="ListParagraph"/>
        <w:numPr>
          <w:ilvl w:val="0"/>
          <w:numId w:val="2"/>
        </w:numPr>
        <w:spacing w:after="40" w:before="40"/>
      </w:pPr>
      <w:r>
        <w:rPr>
          <w:rFonts w:ascii="Arial" w:cs="Arial" w:eastAsia="Arial" w:hAnsi="Arial"/>
          <w:b w:val="false"/>
          <w:bCs w:val="false"/>
          <w:sz w:val="22"/>
          <w:szCs w:val="22"/>
        </w:rPr>
        <w:t xml:space="preserve">Stage 3 (Demo-Based Sales): Admin area must be functional with at least a DB Link Configuration tab showing a configured CSV/Excel connection. Schema Configuration page must exist with read-only SQL preview.</w:t>
      </w:r>
    </w:p>
    <w:p>
      <w:pPr>
        <w:pStyle w:val="ListParagraph"/>
        <w:numPr>
          <w:ilvl w:val="0"/>
          <w:numId w:val="2"/>
        </w:numPr>
        <w:spacing w:after="40" w:before="40"/>
      </w:pPr>
      <w:r>
        <w:rPr>
          <w:rFonts w:ascii="Arial" w:cs="Arial" w:eastAsia="Arial" w:hAnsi="Arial"/>
          <w:b w:val="false"/>
          <w:bCs w:val="false"/>
          <w:sz w:val="22"/>
          <w:szCs w:val="22"/>
        </w:rPr>
        <w:t xml:space="preserve">Stage 4 (Paid Readiness Assessment): Jobs Monitor page must be operational. Schema Configuration must support user-defined SQL views. Importing Data tab must show the second-stage canonical refresh job configuration.</w:t>
      </w:r>
    </w:p>
    <w:p>
      <w:pPr>
        <w:pStyle w:val="ListParagraph"/>
        <w:numPr>
          <w:ilvl w:val="0"/>
          <w:numId w:val="2"/>
        </w:numPr>
        <w:spacing w:after="40" w:before="40"/>
      </w:pPr>
      <w:r>
        <w:rPr>
          <w:rFonts w:ascii="Arial" w:cs="Arial" w:eastAsia="Arial" w:hAnsi="Arial"/>
          <w:b w:val="false"/>
          <w:bCs w:val="false"/>
          <w:sz w:val="22"/>
          <w:szCs w:val="22"/>
        </w:rPr>
        <w:t xml:space="preserve">Stage 5 (Pilot Sales): Dynamic page management must be functional. Widget script layer must be in place so customers can compose their own views. Basic ML learning jobs must run on schedule and appear in Jobs Monitor.</w:t>
      </w:r>
    </w:p>
    <w:p>
      <w:pPr>
        <w:pStyle w:val="ListParagraph"/>
        <w:numPr>
          <w:ilvl w:val="0"/>
          <w:numId w:val="2"/>
        </w:numPr>
        <w:spacing w:after="40" w:before="40"/>
      </w:pPr>
      <w:r>
        <w:rPr>
          <w:rFonts w:ascii="Arial" w:cs="Arial" w:eastAsia="Arial" w:hAnsi="Arial"/>
          <w:b w:val="false"/>
          <w:bCs w:val="false"/>
          <w:sz w:val="22"/>
          <w:szCs w:val="22"/>
        </w:rPr>
        <w:t xml:space="preserve">Stage 6 (Full Product Marketing): The complete ML Area must be live — ML Correlation Page with inspection-job tabs, Suggestion and Recommendation page, and all four ML learning engine jobs.</w:t>
      </w:r>
    </w:p>
    <w:p>
      <w:pPr>
        <w:spacing w:after="0" w:before="80"/>
      </w:pPr>
      <w:r>
        <w:t xml:space="preserve"/>
      </w:r>
    </w:p>
    <w:p>
      <w:pPr>
        <w:spacing w:after="60" w:before="60"/>
        <w:jc w:val="both"/>
      </w:pPr>
      <w:r>
        <w:rPr>
          <w:rFonts w:ascii="Arial" w:cs="Arial" w:eastAsia="Arial" w:hAnsi="Arial"/>
          <w:b w:val="false"/>
          <w:bCs w:val="false"/>
          <w:color w:val="000000"/>
          <w:sz w:val="22"/>
          <w:szCs w:val="22"/>
        </w:rPr>
        <w:t xml:space="preserve">Total task count increases from 94 tasks in the original plan to 123 tasks in the updated plan, adding 29 new tasks directly derived from the latest vision. Existing task numbers and descriptions are preserved; new tasks are clearly marked.</w:t>
      </w:r>
    </w:p>
    <w:p>
      <w:r>
        <w:br w:type="page"/>
      </w:r>
    </w:p>
    <w:p>
      <w:pPr>
        <w:pStyle w:val="Heading1"/>
        <w:pBdr>
          <w:bottom w:val="single" w:color="2E75B6" w:sz="16" w:space="8"/>
        </w:pBdr>
        <w:spacing w:after="240" w:before="480"/>
      </w:pPr>
      <w:r>
        <w:rPr>
          <w:rFonts w:ascii="Arial" w:cs="Arial" w:eastAsia="Arial" w:hAnsi="Arial"/>
          <w:b/>
          <w:bCs/>
          <w:color w:val="1F3864"/>
          <w:sz w:val="38"/>
          <w:szCs w:val="38"/>
        </w:rPr>
        <w:t xml:space="preserve">Section 2: Detailed Gap Analysis</w:t>
      </w:r>
    </w:p>
    <w:p>
      <w:pPr>
        <w:spacing w:after="60" w:before="60"/>
        <w:jc w:val="both"/>
      </w:pPr>
      <w:r>
        <w:rPr>
          <w:rFonts w:ascii="Arial" w:cs="Arial" w:eastAsia="Arial" w:hAnsi="Arial"/>
          <w:b w:val="false"/>
          <w:bCs w:val="false"/>
          <w:color w:val="000000"/>
          <w:sz w:val="22"/>
          <w:szCs w:val="22"/>
        </w:rPr>
        <w:t xml:space="preserve">This section provides a line-by-line analysis of every requirement in the latest vision document, mapped against its status in the existing plan and codebase. Each row identifies the vision reference, the gap type, the root cause of the gap, and the new plan tasks required to close it.</w:t>
      </w:r>
    </w:p>
    <w:p>
      <w:pPr>
        <w:spacing w:after="0" w:before="80"/>
      </w:pPr>
      <w:r>
        <w:t xml:space="preserve"/>
      </w:r>
    </w:p>
    <w:p>
      <w:pPr>
        <w:pStyle w:val="Heading2"/>
        <w:spacing w:after="160" w:before="360"/>
      </w:pPr>
      <w:r>
        <w:rPr>
          <w:rFonts w:ascii="Arial" w:cs="Arial" w:eastAsia="Arial" w:hAnsi="Arial"/>
          <w:b/>
          <w:bCs/>
          <w:color w:val="2E75B6"/>
          <w:sz w:val="30"/>
          <w:szCs w:val="30"/>
        </w:rPr>
        <w:t xml:space="preserve">2.1  Vision §1 — Backend &amp; Generic Data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
        <w:gridCol w:w="1400"/>
        <w:gridCol w:w="900"/>
        <w:gridCol w:w="3000"/>
        <w:gridCol w:w="3480"/>
      </w:tblGrid>
      <w:tr>
        <w:tc>
          <w:tcPr>
            <w:tcW w:type="dxa" w:w="5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Vision Ref</w:t>
            </w:r>
          </w:p>
        </w:tc>
        <w:tc>
          <w:tcPr>
            <w:tcW w:type="dxa" w:w="14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Area</w:t>
            </w:r>
          </w:p>
        </w:tc>
        <w:tc>
          <w:tcPr>
            <w:tcW w:type="dxa" w:w="9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Status</w:t>
            </w:r>
          </w:p>
        </w:tc>
        <w:tc>
          <w:tcPr>
            <w:tcW w:type="dxa" w:w="30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Gap Description</w:t>
            </w:r>
          </w:p>
        </w:tc>
        <w:tc>
          <w:tcPr>
            <w:tcW w:type="dxa" w:w="34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New Plan Tasks</w:t>
            </w:r>
          </w:p>
        </w:tc>
      </w:tr>
      <w:tr>
        <w:tc>
          <w:tcPr>
            <w:tcW w:type="dxa" w:w="5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8"/>
                <w:szCs w:val="18"/>
              </w:rPr>
              <w:t xml:space="preserve">§1.1</w:t>
            </w:r>
          </w:p>
        </w:tc>
        <w:tc>
          <w:tcPr>
            <w:tcW w:type="dxa" w:w="1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Generic install</w:t>
            </w:r>
          </w:p>
        </w:tc>
        <w:tc>
          <w:tcPr>
            <w:tcW w:type="dxa" w:w="9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0" w:before="0"/>
              <w:jc w:val="center"/>
            </w:pPr>
            <w:r>
              <w:rPr>
                <w:rFonts w:ascii="Arial" w:cs="Arial" w:eastAsia="Arial" w:hAnsi="Arial"/>
                <w:b/>
                <w:bCs/>
                <w:color w:val="375623"/>
                <w:sz w:val="17"/>
                <w:szCs w:val="17"/>
              </w:rPr>
              <w:t xml:space="preserve">Fully Covered</w:t>
            </w:r>
          </w:p>
        </w:tc>
        <w:tc>
          <w:tcPr>
            <w:tcW w:type="dxa" w:w="30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The canonical domain model is completely generic. Industry templates, material unit types, operation definitions, and route configurations allow any plant type to be modelled. No steel-specific terms exist in core logic.</w:t>
            </w:r>
          </w:p>
        </w:tc>
        <w:tc>
          <w:tcPr>
            <w:tcW w:type="dxa" w:w="34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375623"/>
                <w:sz w:val="18"/>
                <w:szCs w:val="18"/>
              </w:rPr>
              <w:t xml:space="preserve">None.</w:t>
            </w:r>
          </w:p>
        </w:tc>
      </w:tr>
      <w:tr>
        <w:tc>
          <w:tcPr>
            <w:tcW w:type="dxa" w:w="5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8"/>
                <w:szCs w:val="18"/>
              </w:rPr>
              <w:t xml:space="preserve">§1.2</w:t>
            </w:r>
          </w:p>
        </w:tc>
        <w:tc>
          <w:tcPr>
            <w:tcW w:type="dxa" w:w="1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DB Link Configuration with rate and job</w:t>
            </w:r>
          </w:p>
        </w:tc>
        <w:tc>
          <w:tcPr>
            <w:tcW w:type="dxa" w:w="90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bCs/>
                <w:color w:val="C55A11"/>
                <w:sz w:val="17"/>
                <w:szCs w:val="17"/>
              </w:rPr>
              <w:t xml:space="preserve">Partial — Plan only</w:t>
            </w:r>
          </w:p>
        </w:tc>
        <w:tc>
          <w:tcPr>
            <w:tcW w:type="dxa" w:w="30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Tasks 27–36 cover ConnectionProfile entity, provider types, and connection validation. However, the vision's two-stage model (dump file first, then canonical) and the import job's configurable cycle, last-index comparison for incremental sync, and Admin tab UI are not explicitly planned.</w:t>
            </w:r>
          </w:p>
        </w:tc>
        <w:tc>
          <w:tcPr>
            <w:tcW w:type="dxa" w:w="34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375623"/>
                <w:sz w:val="18"/>
                <w:szCs w:val="18"/>
              </w:rPr>
              <w:t xml:space="preserve">A-02 (two-stage model), A-03 (DB Link Config tab UI), A-04 (JobDefinition entity), A-05 (incremental sync logic).</w:t>
            </w:r>
          </w:p>
        </w:tc>
      </w:tr>
      <w:tr>
        <w:tc>
          <w:tcPr>
            <w:tcW w:type="dxa" w:w="5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8"/>
                <w:szCs w:val="18"/>
              </w:rPr>
              <w:t xml:space="preserve">§1.3</w:t>
            </w:r>
          </w:p>
        </w:tc>
        <w:tc>
          <w:tcPr>
            <w:tcW w:type="dxa" w:w="1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Dump file model (raw source copy)</w:t>
            </w:r>
          </w:p>
        </w:tc>
        <w:tc>
          <w:tcPr>
            <w:tcW w:type="dxa" w:w="90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center"/>
            </w:pPr>
            <w:r>
              <w:rPr>
                <w:rFonts w:ascii="Arial" w:cs="Arial" w:eastAsia="Arial" w:hAnsi="Arial"/>
                <w:b/>
                <w:bCs/>
                <w:color w:val="C00000"/>
                <w:sz w:val="17"/>
                <w:szCs w:val="17"/>
              </w:rPr>
              <w:t xml:space="preserve">Missing</w:t>
            </w:r>
          </w:p>
        </w:tc>
        <w:tc>
          <w:tcPr>
            <w:tcW w:type="dxa" w:w="30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The vision defines imported data as 'dump files' — a staging copy of source tables in their original structure, separate from canonical data. Current StagingRecord stores raw rows but there is no explicit dump-file lifecycle, schema, or Admin management concept.</w:t>
            </w:r>
          </w:p>
        </w:tc>
        <w:tc>
          <w:tcPr>
            <w:tcW w:type="dxa" w:w="34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375623"/>
                <w:sz w:val="18"/>
                <w:szCs w:val="18"/>
              </w:rPr>
              <w:t xml:space="preserve">A-02 clarifies the staging-as-dump model. Tasks 31–33 (SourceDatasetDefinition) partially cover schema metadata.</w:t>
            </w:r>
          </w:p>
        </w:tc>
      </w:tr>
      <w:tr>
        <w:tc>
          <w:tcPr>
            <w:tcW w:type="dxa" w:w="5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8"/>
                <w:szCs w:val="18"/>
              </w:rPr>
              <w:t xml:space="preserve">§1.4</w:t>
            </w:r>
          </w:p>
        </w:tc>
        <w:tc>
          <w:tcPr>
            <w:tcW w:type="dxa" w:w="1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Schema Configuration page with SQL editor</w:t>
            </w:r>
          </w:p>
        </w:tc>
        <w:tc>
          <w:tcPr>
            <w:tcW w:type="dxa" w:w="90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center"/>
            </w:pPr>
            <w:r>
              <w:rPr>
                <w:rFonts w:ascii="Arial" w:cs="Arial" w:eastAsia="Arial" w:hAnsi="Arial"/>
                <w:b/>
                <w:bCs/>
                <w:color w:val="C00000"/>
                <w:sz w:val="17"/>
                <w:szCs w:val="17"/>
              </w:rPr>
              <w:t xml:space="preserve">Missing</w:t>
            </w:r>
          </w:p>
        </w:tc>
        <w:tc>
          <w:tcPr>
            <w:tcW w:type="dxa" w:w="30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The vision requires an Admin page where users write SQL JOIN views across dump files, create KPI views, and map data to the canonical model. This is a SQL scripting environment, not the field-level MappingWorkbench in Task 56.</w:t>
            </w:r>
          </w:p>
        </w:tc>
        <w:tc>
          <w:tcPr>
            <w:tcW w:type="dxa" w:w="34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375623"/>
                <w:sz w:val="18"/>
                <w:szCs w:val="18"/>
              </w:rPr>
              <w:t xml:space="preserve">SC-01 (SQL editor), SC-02 (cross-dump JOIN service), SC-03 (KPI view builder), SC-04 (schema view validation).</w:t>
            </w:r>
          </w:p>
        </w:tc>
      </w:tr>
      <w:tr>
        <w:tc>
          <w:tcPr>
            <w:tcW w:type="dxa" w:w="5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8"/>
                <w:szCs w:val="18"/>
              </w:rPr>
              <w:t xml:space="preserve">§1.5</w:t>
            </w:r>
          </w:p>
        </w:tc>
        <w:tc>
          <w:tcPr>
            <w:tcW w:type="dxa" w:w="1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Importing Data tab (2nd-stage canonical refresh)</w:t>
            </w:r>
          </w:p>
        </w:tc>
        <w:tc>
          <w:tcPr>
            <w:tcW w:type="dxa" w:w="90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center"/>
            </w:pPr>
            <w:r>
              <w:rPr>
                <w:rFonts w:ascii="Arial" w:cs="Arial" w:eastAsia="Arial" w:hAnsi="Arial"/>
                <w:b/>
                <w:bCs/>
                <w:color w:val="C00000"/>
                <w:sz w:val="17"/>
                <w:szCs w:val="17"/>
              </w:rPr>
              <w:t xml:space="preserve">Missing</w:t>
            </w:r>
          </w:p>
        </w:tc>
        <w:tc>
          <w:tcPr>
            <w:tcW w:type="dxa" w:w="30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A separate Admin tab for configuring the rate at which mapped data flows from dump files into the canonical DB ('HMI refresh rate'). This is a second job type distinct from the DB link import job. Not in the current plan.</w:t>
            </w:r>
          </w:p>
        </w:tc>
        <w:tc>
          <w:tcPr>
            <w:tcW w:type="dxa" w:w="34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375623"/>
                <w:sz w:val="18"/>
                <w:szCs w:val="18"/>
              </w:rPr>
              <w:t xml:space="preserve">A-06 (Importing Data tab), A-04 (JobDefinition entity handles both job types).</w:t>
            </w:r>
          </w:p>
        </w:tc>
      </w:tr>
      <w:tr>
        <w:tc>
          <w:tcPr>
            <w:tcW w:type="dxa" w:w="5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8"/>
                <w:szCs w:val="18"/>
              </w:rPr>
              <w:t xml:space="preserve">§1.6</w:t>
            </w:r>
          </w:p>
        </w:tc>
        <w:tc>
          <w:tcPr>
            <w:tcW w:type="dxa" w:w="1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Jobs Monitor page</w:t>
            </w:r>
          </w:p>
        </w:tc>
        <w:tc>
          <w:tcPr>
            <w:tcW w:type="dxa" w:w="9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0" w:before="0"/>
              <w:jc w:val="center"/>
            </w:pPr>
            <w:r>
              <w:rPr>
                <w:rFonts w:ascii="Arial" w:cs="Arial" w:eastAsia="Arial" w:hAnsi="Arial"/>
                <w:b/>
                <w:bCs/>
                <w:color w:val="375623"/>
                <w:sz w:val="17"/>
                <w:szCs w:val="17"/>
              </w:rPr>
              <w:t xml:space="preserve">Missing from Frontend</w:t>
            </w:r>
          </w:p>
        </w:tc>
        <w:tc>
          <w:tcPr>
            <w:tcW w:type="dxa" w:w="30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The vision requires a dedicated Admin page showing all job types: DB link import, canonical refresh, ML learning jobs. Shows last run time, last duration, crash/timeout reason, and a run-now button. Referenced in the roadmap only in passing, not planned as a page.</w:t>
            </w:r>
          </w:p>
        </w:tc>
        <w:tc>
          <w:tcPr>
            <w:tcW w:type="dxa" w:w="34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375623"/>
                <w:sz w:val="18"/>
                <w:szCs w:val="18"/>
              </w:rPr>
              <w:t xml:space="preserve">A-07 (Jobs Monitor frontend page), A-08 (Jobs Monitor backend endpoints).</w:t>
            </w:r>
          </w:p>
        </w:tc>
      </w:tr>
    </w:tbl>
    <w:p>
      <w:pPr>
        <w:spacing w:after="0" w:before="80"/>
      </w:pPr>
      <w:r>
        <w:t xml:space="preserve"/>
      </w:r>
    </w:p>
    <w:p>
      <w:pPr>
        <w:pStyle w:val="Heading2"/>
        <w:spacing w:after="160" w:before="360"/>
      </w:pPr>
      <w:r>
        <w:rPr>
          <w:rFonts w:ascii="Arial" w:cs="Arial" w:eastAsia="Arial" w:hAnsi="Arial"/>
          <w:b/>
          <w:bCs/>
          <w:color w:val="2E75B6"/>
          <w:sz w:val="30"/>
          <w:szCs w:val="30"/>
        </w:rPr>
        <w:t xml:space="preserve">2.2  Vision §2 — Frontend Page &amp; Widget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
        <w:gridCol w:w="1400"/>
        <w:gridCol w:w="900"/>
        <w:gridCol w:w="3000"/>
        <w:gridCol w:w="3480"/>
      </w:tblGrid>
      <w:tr>
        <w:tc>
          <w:tcPr>
            <w:tcW w:type="dxa" w:w="5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Vision Ref</w:t>
            </w:r>
          </w:p>
        </w:tc>
        <w:tc>
          <w:tcPr>
            <w:tcW w:type="dxa" w:w="14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Area</w:t>
            </w:r>
          </w:p>
        </w:tc>
        <w:tc>
          <w:tcPr>
            <w:tcW w:type="dxa" w:w="9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Status</w:t>
            </w:r>
          </w:p>
        </w:tc>
        <w:tc>
          <w:tcPr>
            <w:tcW w:type="dxa" w:w="30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Gap Description</w:t>
            </w:r>
          </w:p>
        </w:tc>
        <w:tc>
          <w:tcPr>
            <w:tcW w:type="dxa" w:w="34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New Plan Tasks</w:t>
            </w:r>
          </w:p>
        </w:tc>
      </w:tr>
      <w:tr>
        <w:tc>
          <w:tcPr>
            <w:tcW w:type="dxa" w:w="5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8"/>
                <w:szCs w:val="18"/>
              </w:rPr>
              <w:t xml:space="preserve">§2.1.1</w:t>
            </w:r>
          </w:p>
        </w:tc>
        <w:tc>
          <w:tcPr>
            <w:tcW w:type="dxa" w:w="1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User creates/deletes/modifies pages</w:t>
            </w:r>
          </w:p>
        </w:tc>
        <w:tc>
          <w:tcPr>
            <w:tcW w:type="dxa" w:w="90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center"/>
            </w:pPr>
            <w:r>
              <w:rPr>
                <w:rFonts w:ascii="Arial" w:cs="Arial" w:eastAsia="Arial" w:hAnsi="Arial"/>
                <w:b/>
                <w:bCs/>
                <w:color w:val="C00000"/>
                <w:sz w:val="17"/>
                <w:szCs w:val="17"/>
              </w:rPr>
              <w:t xml:space="preserve">Missing</w:t>
            </w:r>
          </w:p>
        </w:tc>
        <w:tc>
          <w:tcPr>
            <w:tcW w:type="dxa" w:w="30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The plan covers adding widgets to existing dashboards. The vision requires users to create entirely new named pages, manage a page list, and delete pages. No PageDefinition entity or page CRUD API exists.</w:t>
            </w:r>
          </w:p>
        </w:tc>
        <w:tc>
          <w:tcPr>
            <w:tcW w:type="dxa" w:w="34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375623"/>
                <w:sz w:val="18"/>
                <w:szCs w:val="18"/>
              </w:rPr>
              <w:t xml:space="preserve">PM-01, PM-02, PM-03.</w:t>
            </w:r>
          </w:p>
        </w:tc>
      </w:tr>
      <w:tr>
        <w:tc>
          <w:tcPr>
            <w:tcW w:type="dxa" w:w="5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8"/>
                <w:szCs w:val="18"/>
              </w:rPr>
              <w:t xml:space="preserve">§2.1.2</w:t>
            </w:r>
          </w:p>
        </w:tc>
        <w:tc>
          <w:tcPr>
            <w:tcW w:type="dxa" w:w="1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Widget library drag-drop per page</w:t>
            </w:r>
          </w:p>
        </w:tc>
        <w:tc>
          <w:tcPr>
            <w:tcW w:type="dxa" w:w="90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bCs/>
                <w:color w:val="C55A11"/>
                <w:sz w:val="17"/>
                <w:szCs w:val="17"/>
              </w:rPr>
              <w:t xml:space="preserve">Partial</w:t>
            </w:r>
          </w:p>
        </w:tc>
        <w:tc>
          <w:tcPr>
            <w:tcW w:type="dxa" w:w="30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The WidgetBuilderWizard adds widgets to the dashboard. However, a full widget library panel (showing all chart types, KPI cards, filter widgets) available for composing any page is not explicitly implemented.</w:t>
            </w:r>
          </w:p>
        </w:tc>
        <w:tc>
          <w:tcPr>
            <w:tcW w:type="dxa" w:w="34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375623"/>
                <w:sz w:val="18"/>
                <w:szCs w:val="18"/>
              </w:rPr>
              <w:t xml:space="preserve">PM-02 extends the wizard into a full page composition experience.</w:t>
            </w:r>
          </w:p>
        </w:tc>
      </w:tr>
      <w:tr>
        <w:tc>
          <w:tcPr>
            <w:tcW w:type="dxa" w:w="5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8"/>
                <w:szCs w:val="18"/>
              </w:rPr>
              <w:t xml:space="preserve">§2.2.1</w:t>
            </w:r>
          </w:p>
        </w:tc>
        <w:tc>
          <w:tcPr>
            <w:tcW w:type="dxa" w:w="1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Widget linked to data list via edit button</w:t>
            </w:r>
          </w:p>
        </w:tc>
        <w:tc>
          <w:tcPr>
            <w:tcW w:type="dxa" w:w="90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bCs/>
                <w:color w:val="C55A11"/>
                <w:sz w:val="17"/>
                <w:szCs w:val="17"/>
              </w:rPr>
              <w:t xml:space="preserve">Partial — Wizard step</w:t>
            </w:r>
          </w:p>
        </w:tc>
        <w:tc>
          <w:tcPr>
            <w:tcW w:type="dxa" w:w="30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The wizard has a preview step, but a post-creation edit button that re-links any widget to a different data source via the same UI is not confirmed.</w:t>
            </w:r>
          </w:p>
        </w:tc>
        <w:tc>
          <w:tcPr>
            <w:tcW w:type="dxa" w:w="34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375623"/>
                <w:sz w:val="18"/>
                <w:szCs w:val="18"/>
              </w:rPr>
              <w:t xml:space="preserve">Task 24 (widget edit flow) closes this gap.</w:t>
            </w:r>
          </w:p>
        </w:tc>
      </w:tr>
      <w:tr>
        <w:tc>
          <w:tcPr>
            <w:tcW w:type="dxa" w:w="5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8"/>
                <w:szCs w:val="18"/>
              </w:rPr>
              <w:t xml:space="preserve">§2.2.2–2.2.3</w:t>
            </w:r>
          </w:p>
        </w:tc>
        <w:tc>
          <w:tcPr>
            <w:tcW w:type="dxa" w:w="1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Widget script layer for groupBy/aggregation</w:t>
            </w:r>
          </w:p>
        </w:tc>
        <w:tc>
          <w:tcPr>
            <w:tcW w:type="dxa" w:w="90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center"/>
            </w:pPr>
            <w:r>
              <w:rPr>
                <w:rFonts w:ascii="Arial" w:cs="Arial" w:eastAsia="Arial" w:hAnsi="Arial"/>
                <w:b/>
                <w:bCs/>
                <w:color w:val="C00000"/>
                <w:sz w:val="17"/>
                <w:szCs w:val="17"/>
              </w:rPr>
              <w:t xml:space="preserve">Missing</w:t>
            </w:r>
          </w:p>
        </w:tc>
        <w:tc>
          <w:tcPr>
            <w:tcW w:type="dxa" w:w="30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This is the most strategically important frontend gap. The vision explicitly states this is needed to avoid writing hundreds of endpoints. No WidgetQueryExpression model, no generic script execution endpoint, and no script layer UI step exist anywhere in the current plan.</w:t>
            </w:r>
          </w:p>
        </w:tc>
        <w:tc>
          <w:tcPr>
            <w:tcW w:type="dxa" w:w="34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375623"/>
                <w:sz w:val="18"/>
                <w:szCs w:val="18"/>
              </w:rPr>
              <w:t xml:space="preserve">WS-01, WS-02, WS-03 — these three tasks are the highest-impact new additions to the plan.</w:t>
            </w:r>
          </w:p>
        </w:tc>
      </w:tr>
    </w:tbl>
    <w:p>
      <w:pPr>
        <w:spacing w:after="0" w:before="80"/>
      </w:pPr>
      <w:r>
        <w:t xml:space="preserve"/>
      </w:r>
    </w:p>
    <w:p>
      <w:pPr>
        <w:pStyle w:val="Heading2"/>
        <w:spacing w:after="160" w:before="360"/>
      </w:pPr>
      <w:r>
        <w:rPr>
          <w:rFonts w:ascii="Arial" w:cs="Arial" w:eastAsia="Arial" w:hAnsi="Arial"/>
          <w:b/>
          <w:bCs/>
          <w:color w:val="2E75B6"/>
          <w:sz w:val="30"/>
          <w:szCs w:val="30"/>
        </w:rPr>
        <w:t xml:space="preserve">2.3  Vision §3 — ML Engine &amp; Intelligence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
        <w:gridCol w:w="1400"/>
        <w:gridCol w:w="900"/>
        <w:gridCol w:w="3000"/>
        <w:gridCol w:w="3480"/>
      </w:tblGrid>
      <w:tr>
        <w:tc>
          <w:tcPr>
            <w:tcW w:type="dxa" w:w="5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Vision Ref</w:t>
            </w:r>
          </w:p>
        </w:tc>
        <w:tc>
          <w:tcPr>
            <w:tcW w:type="dxa" w:w="14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Area</w:t>
            </w:r>
          </w:p>
        </w:tc>
        <w:tc>
          <w:tcPr>
            <w:tcW w:type="dxa" w:w="9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Status</w:t>
            </w:r>
          </w:p>
        </w:tc>
        <w:tc>
          <w:tcPr>
            <w:tcW w:type="dxa" w:w="30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Gap Description</w:t>
            </w:r>
          </w:p>
        </w:tc>
        <w:tc>
          <w:tcPr>
            <w:tcW w:type="dxa" w:w="34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New Plan Tasks</w:t>
            </w:r>
          </w:p>
        </w:tc>
      </w:tr>
      <w:tr>
        <w:tc>
          <w:tcPr>
            <w:tcW w:type="dxa" w:w="5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8"/>
                <w:szCs w:val="18"/>
              </w:rPr>
              <w:t xml:space="preserve">§3.1.1–3.1.4</w:t>
            </w:r>
          </w:p>
        </w:tc>
        <w:tc>
          <w:tcPr>
            <w:tcW w:type="dxa" w:w="1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Scheduled ML learning jobs (4 job types)</w:t>
            </w:r>
          </w:p>
        </w:tc>
        <w:tc>
          <w:tcPr>
            <w:tcW w:type="dxa" w:w="90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center"/>
            </w:pPr>
            <w:r>
              <w:rPr>
                <w:rFonts w:ascii="Arial" w:cs="Arial" w:eastAsia="Arial" w:hAnsi="Arial"/>
                <w:b/>
                <w:bCs/>
                <w:color w:val="C00000"/>
                <w:sz w:val="17"/>
                <w:szCs w:val="17"/>
              </w:rPr>
              <w:t xml:space="preserve">Missing from Plan</w:t>
            </w:r>
          </w:p>
        </w:tc>
        <w:tc>
          <w:tcPr>
            <w:tcW w:type="dxa" w:w="30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The plan has label builder (Task 68) and Python training script (Task 69) as foundation. However, the four distinct scheduled jobs — params vs defects, params vs downtime, params vs KPIs, weekly full learning — are not planned as Worker jobs with registered JobDefinition entries.</w:t>
            </w:r>
          </w:p>
        </w:tc>
        <w:tc>
          <w:tcPr>
            <w:tcW w:type="dxa" w:w="34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375623"/>
                <w:sz w:val="18"/>
                <w:szCs w:val="18"/>
              </w:rPr>
              <w:t xml:space="preserve">ML-01, ML-02, ML-03, ML-04.</w:t>
            </w:r>
          </w:p>
        </w:tc>
      </w:tr>
      <w:tr>
        <w:tc>
          <w:tcPr>
            <w:tcW w:type="dxa" w:w="5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8"/>
                <w:szCs w:val="18"/>
              </w:rPr>
              <w:t xml:space="preserve">§3.1.5</w:t>
            </w:r>
          </w:p>
        </w:tc>
        <w:tc>
          <w:tcPr>
            <w:tcW w:type="dxa" w:w="1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ML jobs in Jobs Monitor</w:t>
            </w:r>
          </w:p>
        </w:tc>
        <w:tc>
          <w:tcPr>
            <w:tcW w:type="dxa" w:w="90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center"/>
            </w:pPr>
            <w:r>
              <w:rPr>
                <w:rFonts w:ascii="Arial" w:cs="Arial" w:eastAsia="Arial" w:hAnsi="Arial"/>
                <w:b/>
                <w:bCs/>
                <w:color w:val="C00000"/>
                <w:sz w:val="17"/>
                <w:szCs w:val="17"/>
              </w:rPr>
              <w:t xml:space="preserve">Missing</w:t>
            </w:r>
          </w:p>
        </w:tc>
        <w:tc>
          <w:tcPr>
            <w:tcW w:type="dxa" w:w="30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The vision explicitly states all ML jobs must appear in the Jobs Monitor page. No connection between the ML learning pipeline and the JobDefinition/Jobs Monitor is planned.</w:t>
            </w:r>
          </w:p>
        </w:tc>
        <w:tc>
          <w:tcPr>
            <w:tcW w:type="dxa" w:w="34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375623"/>
                <w:sz w:val="18"/>
                <w:szCs w:val="18"/>
              </w:rPr>
              <w:t xml:space="preserve">Addressed by registering ML jobs in A-04 (JobDefinition entity) and displaying in A-07 (Jobs Monitor page).</w:t>
            </w:r>
          </w:p>
        </w:tc>
      </w:tr>
      <w:tr>
        <w:tc>
          <w:tcPr>
            <w:tcW w:type="dxa" w:w="5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8"/>
                <w:szCs w:val="18"/>
              </w:rPr>
              <w:t xml:space="preserve">§3.2</w:t>
            </w:r>
          </w:p>
        </w:tc>
        <w:tc>
          <w:tcPr>
            <w:tcW w:type="dxa" w:w="1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ML Correlation Page with inspection-job tabs</w:t>
            </w:r>
          </w:p>
        </w:tc>
        <w:tc>
          <w:tcPr>
            <w:tcW w:type="dxa" w:w="90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center"/>
            </w:pPr>
            <w:r>
              <w:rPr>
                <w:rFonts w:ascii="Arial" w:cs="Arial" w:eastAsia="Arial" w:hAnsi="Arial"/>
                <w:b/>
                <w:bCs/>
                <w:color w:val="C00000"/>
                <w:sz w:val="17"/>
                <w:szCs w:val="17"/>
              </w:rPr>
              <w:t xml:space="preserve">Missing</w:t>
            </w:r>
          </w:p>
        </w:tc>
        <w:tc>
          <w:tcPr>
            <w:tcW w:type="dxa" w:w="30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Task 77 upgrades the correlation UI with genealogy context. The vision describes a fundamentally different interaction model: user creates a named 'inspection job' by selecting a target (defect/downtime/KPI) and a duration window, the ML engine runs, and results appear as a new tab in the correlation area. This is not planned.</w:t>
            </w:r>
          </w:p>
        </w:tc>
        <w:tc>
          <w:tcPr>
            <w:tcW w:type="dxa" w:w="34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375623"/>
                <w:sz w:val="18"/>
                <w:szCs w:val="18"/>
              </w:rPr>
              <w:t xml:space="preserve">MA-01, MA-02, MA-03, MA-04.</w:t>
            </w:r>
          </w:p>
        </w:tc>
      </w:tr>
      <w:tr>
        <w:tc>
          <w:tcPr>
            <w:tcW w:type="dxa" w:w="5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8"/>
                <w:szCs w:val="18"/>
              </w:rPr>
              <w:t xml:space="preserve">§3.3</w:t>
            </w:r>
          </w:p>
        </w:tc>
        <w:tc>
          <w:tcPr>
            <w:tcW w:type="dxa" w:w="1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Suggestion &amp; Recommendation page</w:t>
            </w:r>
          </w:p>
        </w:tc>
        <w:tc>
          <w:tcPr>
            <w:tcW w:type="dxa" w:w="90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center"/>
            </w:pPr>
            <w:r>
              <w:rPr>
                <w:rFonts w:ascii="Arial" w:cs="Arial" w:eastAsia="Arial" w:hAnsi="Arial"/>
                <w:b/>
                <w:bCs/>
                <w:color w:val="C00000"/>
                <w:sz w:val="17"/>
                <w:szCs w:val="17"/>
              </w:rPr>
              <w:t xml:space="preserve">Missing</w:t>
            </w:r>
          </w:p>
        </w:tc>
        <w:tc>
          <w:tcPr>
            <w:tcW w:type="dxa" w:w="30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The vision describes an AI-assistant-style page that aggregates learning from all ML jobs and presents actionable recommendations to the process engineer. Not mentioned anywhere in the current plan.</w:t>
            </w:r>
          </w:p>
        </w:tc>
        <w:tc>
          <w:tcPr>
            <w:tcW w:type="dxa" w:w="34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375623"/>
                <w:sz w:val="18"/>
                <w:szCs w:val="18"/>
              </w:rPr>
              <w:t xml:space="preserve">MA-05.</w:t>
            </w:r>
          </w:p>
        </w:tc>
      </w:tr>
    </w:tbl>
    <w:p>
      <w:pPr>
        <w:spacing w:after="0" w:before="80"/>
      </w:pPr>
      <w:r>
        <w:t xml:space="preserve"/>
      </w:r>
    </w:p>
    <w:p>
      <w:pPr>
        <w:pStyle w:val="Heading2"/>
        <w:spacing w:after="160" w:before="360"/>
      </w:pPr>
      <w:r>
        <w:rPr>
          <w:rFonts w:ascii="Arial" w:cs="Arial" w:eastAsia="Arial" w:hAnsi="Arial"/>
          <w:b/>
          <w:bCs/>
          <w:color w:val="2E75B6"/>
          <w:sz w:val="30"/>
          <w:szCs w:val="30"/>
        </w:rPr>
        <w:t xml:space="preserve">2.4  Plan Validation Against Current Codebase</w:t>
      </w:r>
    </w:p>
    <w:p>
      <w:pPr>
        <w:spacing w:after="60" w:before="60"/>
        <w:jc w:val="both"/>
      </w:pPr>
      <w:r>
        <w:rPr>
          <w:rFonts w:ascii="Arial" w:cs="Arial" w:eastAsia="Arial" w:hAnsi="Arial"/>
          <w:b w:val="false"/>
          <w:bCs w:val="false"/>
          <w:color w:val="000000"/>
          <w:sz w:val="22"/>
          <w:szCs w:val="22"/>
        </w:rPr>
        <w:t xml:space="preserve">The following plan items are confirmed as not yet started or not confirmed in the 12 May 2026 codebase. These must be verified before any new feature work begins.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360"/>
        <w:gridCol w:w="2600"/>
      </w:tblGrid>
      <w:tr>
        <w:tc>
          <w:tcPr>
            <w:tcW w:type="dxa" w:w="8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20"/>
                <w:szCs w:val="20"/>
              </w:rPr>
              <w:t xml:space="preserve">Tasks</w:t>
            </w:r>
          </w:p>
        </w:tc>
        <w:tc>
          <w:tcPr>
            <w:tcW w:type="dxa" w:w="16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20"/>
                <w:szCs w:val="20"/>
              </w:rPr>
              <w:t xml:space="preserve">Area</w:t>
            </w:r>
          </w:p>
        </w:tc>
        <w:tc>
          <w:tcPr>
            <w:tcW w:type="dxa" w:w="436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20"/>
                <w:szCs w:val="20"/>
              </w:rPr>
              <w:t xml:space="preserve">Validation Gap</w:t>
            </w:r>
          </w:p>
        </w:tc>
        <w:tc>
          <w:tcPr>
            <w:tcW w:type="dxa" w:w="26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20"/>
                <w:szCs w:val="20"/>
              </w:rPr>
              <w:t xml:space="preserve">Commercial Impact</w:t>
            </w:r>
          </w:p>
        </w:tc>
      </w:tr>
      <w:tr>
        <w:tc>
          <w:tcPr>
            <w:tcW w:type="dxa" w:w="80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left"/>
            </w:pPr>
            <w:r>
              <w:rPr>
                <w:rFonts w:ascii="Arial" w:cs="Arial" w:eastAsia="Arial" w:hAnsi="Arial"/>
                <w:b/>
                <w:bCs/>
                <w:color w:val="C00000"/>
                <w:sz w:val="18"/>
                <w:szCs w:val="18"/>
              </w:rPr>
              <w:t xml:space="preserve">Tasks 1–9</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8"/>
                <w:szCs w:val="18"/>
              </w:rPr>
              <w:t xml:space="preserve">Build validation and smoke tests</w:t>
            </w:r>
          </w:p>
        </w:tc>
        <w:tc>
          <w:tcPr>
            <w:tcW w:type="dxa" w:w="43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Not confirmed in codebase. There is no validation report, no CI artifact, and no test output evidence. Running dotnet build, npm run build, migration apply, and browser smoke tests must be the absolute first action before anything else.</w:t>
            </w:r>
          </w:p>
        </w:tc>
        <w:tc>
          <w:tcPr>
            <w:tcW w:type="dxa" w:w="260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C55A11"/>
                <w:sz w:val="18"/>
                <w:szCs w:val="18"/>
              </w:rPr>
              <w:t xml:space="preserve">CRITICAL — Nothing should proceed until all 9 pass.</w:t>
            </w:r>
          </w:p>
        </w:tc>
      </w:tr>
      <w:tr>
        <w:tc>
          <w:tcPr>
            <w:tcW w:type="dxa" w:w="80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left"/>
            </w:pPr>
            <w:r>
              <w:rPr>
                <w:rFonts w:ascii="Arial" w:cs="Arial" w:eastAsia="Arial" w:hAnsi="Arial"/>
                <w:b/>
                <w:bCs/>
                <w:color w:val="C00000"/>
                <w:sz w:val="18"/>
                <w:szCs w:val="18"/>
              </w:rPr>
              <w:t xml:space="preserve">Tasks 18–22</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8"/>
                <w:szCs w:val="18"/>
              </w:rPr>
              <w:t xml:space="preserve">Widget wizard completeness</w:t>
            </w:r>
          </w:p>
        </w:tc>
        <w:tc>
          <w:tcPr>
            <w:tcW w:type="dxa" w:w="43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WidgetBuilderWizard.tsx exists. However, wizard steps for dimension/measure selection (step 3) and filter configuration (step 4) are not confirmed complete. Save-to-backend from wizard and dashboard layout persistence to backend are not confirmed in the DashboardDefinition service endpoints.</w:t>
            </w:r>
          </w:p>
        </w:tc>
        <w:tc>
          <w:tcPr>
            <w:tcW w:type="dxa" w:w="260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C55A11"/>
                <w:sz w:val="18"/>
                <w:szCs w:val="18"/>
              </w:rPr>
              <w:t xml:space="preserve">CRITICAL — Stage 2 readiness requires this to be working end-to-end.</w:t>
            </w:r>
          </w:p>
        </w:tc>
      </w:tr>
      <w:tr>
        <w:tc>
          <w:tcPr>
            <w:tcW w:type="dxa" w:w="80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left"/>
            </w:pPr>
            <w:r>
              <w:rPr>
                <w:rFonts w:ascii="Arial" w:cs="Arial" w:eastAsia="Arial" w:hAnsi="Arial"/>
                <w:b/>
                <w:bCs/>
                <w:color w:val="C00000"/>
                <w:sz w:val="18"/>
                <w:szCs w:val="18"/>
              </w:rPr>
              <w:t xml:space="preserve">Tasks 27–43</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8"/>
                <w:szCs w:val="18"/>
              </w:rPr>
              <w:t xml:space="preserve">Connector foundation and implementations</w:t>
            </w:r>
          </w:p>
        </w:tc>
        <w:tc>
          <w:tcPr>
            <w:tcW w:type="dxa" w:w="43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No ConnectionProfile entity, no SourceDatasetDefinition, no IDataSourceConnector abstraction, no connector factory, and no CSV/Excel/PostgreSQL/MSSQL connectors exist in the codebase. All connector work is greenfield.</w:t>
            </w:r>
          </w:p>
        </w:tc>
        <w:tc>
          <w:tcPr>
            <w:tcW w:type="dxa" w:w="260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C55A11"/>
                <w:sz w:val="18"/>
                <w:szCs w:val="18"/>
              </w:rPr>
              <w:t xml:space="preserve">Stage 3 gate — must be complete before demo-based sales.</w:t>
            </w:r>
          </w:p>
        </w:tc>
      </w:tr>
      <w:tr>
        <w:tc>
          <w:tcPr>
            <w:tcW w:type="dxa" w:w="80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left"/>
            </w:pPr>
            <w:r>
              <w:rPr>
                <w:rFonts w:ascii="Arial" w:cs="Arial" w:eastAsia="Arial" w:hAnsi="Arial"/>
                <w:b/>
                <w:bCs/>
                <w:color w:val="C00000"/>
                <w:sz w:val="18"/>
                <w:szCs w:val="18"/>
              </w:rPr>
              <w:t xml:space="preserve">Tasks 78–83</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8"/>
                <w:szCs w:val="18"/>
              </w:rPr>
              <w:t xml:space="preserve">Authentication, RBAC, audit, secrets</w:t>
            </w:r>
          </w:p>
        </w:tc>
        <w:tc>
          <w:tcPr>
            <w:tcW w:type="dxa" w:w="43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No JWT middleware, no Identity setup, no role policies, no audit log entity, and no secret resolution pattern exist in the current codebase. All APIs are open.</w:t>
            </w:r>
          </w:p>
        </w:tc>
        <w:tc>
          <w:tcPr>
            <w:tcW w:type="dxa" w:w="260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C55A11"/>
                <w:sz w:val="18"/>
                <w:szCs w:val="18"/>
              </w:rPr>
              <w:t xml:space="preserve">Stage 5 gate — mandatory before any pilot with customer data. This is a non-negotiable security requirement.</w:t>
            </w:r>
          </w:p>
        </w:tc>
      </w:tr>
      <w:tr>
        <w:tc>
          <w:tcPr>
            <w:tcW w:type="dxa" w:w="80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left"/>
            </w:pPr>
            <w:r>
              <w:rPr>
                <w:rFonts w:ascii="Arial" w:cs="Arial" w:eastAsia="Arial" w:hAnsi="Arial"/>
                <w:b/>
                <w:bCs/>
                <w:color w:val="C00000"/>
                <w:sz w:val="18"/>
                <w:szCs w:val="18"/>
              </w:rPr>
              <w:t xml:space="preserve">Tasks 84–87</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000000"/>
                <w:sz w:val="18"/>
                <w:szCs w:val="18"/>
              </w:rPr>
              <w:t xml:space="preserve">Testing and CI/CD</w:t>
            </w:r>
          </w:p>
        </w:tc>
        <w:tc>
          <w:tcPr>
            <w:tcW w:type="dxa" w:w="43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No unit tests, no integration tests, no frontend component tests, and no CI/CD pipeline configuration exist in the codebase. There are no test projects in the solution.</w:t>
            </w:r>
          </w:p>
        </w:tc>
        <w:tc>
          <w:tcPr>
            <w:tcW w:type="dxa" w:w="260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C55A11"/>
                <w:sz w:val="18"/>
                <w:szCs w:val="18"/>
              </w:rPr>
              <w:t xml:space="preserve">Stage 6 gate — required for Full Product Marketing. Important for Stage 5 credibility.</w:t>
            </w:r>
          </w:p>
        </w:tc>
      </w:tr>
    </w:tbl>
    <w:p>
      <w:r>
        <w:br w:type="page"/>
      </w:r>
    </w:p>
    <w:p>
      <w:pPr>
        <w:pStyle w:val="Heading1"/>
        <w:pBdr>
          <w:bottom w:val="single" w:color="2E75B6" w:sz="16" w:space="8"/>
        </w:pBdr>
        <w:spacing w:after="240" w:before="480"/>
      </w:pPr>
      <w:r>
        <w:rPr>
          <w:rFonts w:ascii="Arial" w:cs="Arial" w:eastAsia="Arial" w:hAnsi="Arial"/>
          <w:b/>
          <w:bCs/>
          <w:color w:val="1F3864"/>
          <w:sz w:val="38"/>
          <w:szCs w:val="38"/>
        </w:rPr>
        <w:t xml:space="preserve">Section 3: Updated Commercial &amp; Technical Roadmap</w:t>
      </w:r>
    </w:p>
    <w:p>
      <w:pPr>
        <w:spacing w:after="60" w:before="60"/>
        <w:jc w:val="both"/>
      </w:pPr>
      <w:r>
        <w:rPr>
          <w:rFonts w:ascii="Arial" w:cs="Arial" w:eastAsia="Arial" w:hAnsi="Arial"/>
          <w:b w:val="false"/>
          <w:bCs w:val="false"/>
          <w:color w:val="000000"/>
          <w:sz w:val="22"/>
          <w:szCs w:val="22"/>
        </w:rPr>
        <w:t xml:space="preserve">The six-stage commercial roadmap has been retained and refined to incorporate all requirements from the latest vision document. Each stage now includes explicit vision-specific technical gates that were absent in the previous roadmap version. The fundamental sequencing principle is unchanged: do not wait until the product is complete to start selling, but every commercial advance must be backed by a defined technical readiness gate.</w:t>
      </w:r>
    </w:p>
    <w:p>
      <w:pPr>
        <w:spacing w:after="0" w:before="80"/>
      </w:pPr>
      <w:r>
        <w:t xml:space="preserve"/>
      </w:r>
    </w:p>
    <w:p>
      <w:pPr>
        <w:spacing w:after="60" w:before="60"/>
        <w:jc w:val="both"/>
      </w:pPr>
      <w:r>
        <w:rPr>
          <w:rFonts w:ascii="Arial" w:cs="Arial" w:eastAsia="Arial" w:hAnsi="Arial"/>
          <w:b w:val="false"/>
          <w:bCs w:val="false"/>
          <w:color w:val="000000"/>
          <w:sz w:val="22"/>
          <w:szCs w:val="22"/>
        </w:rPr>
        <w:t xml:space="preserve">Each stage below contains: the business objective, timing prerequisites, a full technical readiness checklist, new vision-specific gates, commercial messaging guidance, risk analysis, and exit criteria. Stages should be treated as sequential gates — starting a stage before its predecessor's exit criteria are met is a commercial and technical risk.</w:t>
      </w:r>
    </w:p>
    <w:p>
      <w:pPr>
        <w:spacing w:after="0" w:before="80"/>
      </w:pPr>
      <w:r>
        <w:t xml:space="preserve"/>
      </w:r>
    </w:p>
    <w:p>
      <w:pPr>
        <w:pStyle w:val="Heading2"/>
        <w:spacing w:after="160" w:before="360"/>
      </w:pPr>
      <w:r>
        <w:rPr>
          <w:rFonts w:ascii="Arial" w:cs="Arial" w:eastAsia="Arial" w:hAnsi="Arial"/>
          <w:b/>
          <w:bCs/>
          <w:color w:val="2E75B6"/>
          <w:sz w:val="30"/>
          <w:szCs w:val="30"/>
        </w:rPr>
        <w:t xml:space="preserve">3.1  Stage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1800"/>
        <w:gridCol w:w="2200"/>
        <w:gridCol w:w="1600"/>
        <w:gridCol w:w="1760"/>
      </w:tblGrid>
      <w:tr>
        <w:tc>
          <w:tcPr>
            <w:tcW w:type="dxa" w:w="4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8"/>
                <w:szCs w:val="18"/>
              </w:rPr>
              <w:t xml:space="preserve">#</w:t>
            </w:r>
          </w:p>
        </w:tc>
        <w:tc>
          <w:tcPr>
            <w:tcW w:type="dxa" w:w="16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Stage</w:t>
            </w:r>
          </w:p>
        </w:tc>
        <w:tc>
          <w:tcPr>
            <w:tcW w:type="dxa" w:w="18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Timing</w:t>
            </w:r>
          </w:p>
        </w:tc>
        <w:tc>
          <w:tcPr>
            <w:tcW w:type="dxa" w:w="22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Business Goal</w:t>
            </w:r>
          </w:p>
        </w:tc>
        <w:tc>
          <w:tcPr>
            <w:tcW w:type="dxa" w:w="16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Customer Test Level</w:t>
            </w:r>
          </w:p>
        </w:tc>
        <w:tc>
          <w:tcPr>
            <w:tcW w:type="dxa" w:w="176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Key Technical Readiness</w:t>
            </w:r>
          </w:p>
        </w:tc>
      </w:tr>
      <w:tr>
        <w:tc>
          <w:tcPr>
            <w:tcW w:type="dxa" w:w="400"/>
            <w:tcBorders>
              <w:top w:val="single" w:color="AAAAAA" w:sz="4"/>
              <w:left w:val="single" w:color="AAAAAA" w:sz="4"/>
              <w:bottom w:val="single" w:color="AAAAAA" w:sz="4"/>
              <w:right w:val="single" w:color="AAAAAA" w:sz="4"/>
            </w:tcBorders>
            <w:shd w:fill="DEEAF1" w:val="clear"/>
            <w:tcMar>
              <w:top w:type="dxa" w:w="60"/>
              <w:left w:type="dxa" w:w="110"/>
              <w:bottom w:type="dxa" w:w="60"/>
              <w:right w:type="dxa" w:w="110"/>
            </w:tcMar>
            <w:vAlign w:val="top"/>
          </w:tcPr>
          <w:p>
            <w:pPr>
              <w:spacing w:after="0" w:before="0"/>
              <w:jc w:val="center"/>
            </w:pPr>
            <w:r>
              <w:rPr>
                <w:rFonts w:ascii="Arial" w:cs="Arial" w:eastAsia="Arial" w:hAnsi="Arial"/>
                <w:b/>
                <w:bCs/>
                <w:color w:val="1F3864"/>
                <w:sz w:val="18"/>
                <w:szCs w:val="18"/>
              </w:rPr>
              <w:t xml:space="preserve">1</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8"/>
                <w:szCs w:val="18"/>
              </w:rPr>
              <w:t xml:space="preserve">Soft Marketing</w:t>
            </w:r>
          </w:p>
        </w:tc>
        <w:tc>
          <w:tcPr>
            <w:tcW w:type="dxa" w:w="18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333333"/>
                <w:sz w:val="18"/>
                <w:szCs w:val="18"/>
              </w:rPr>
              <w:t xml:space="preserve">Now</w:t>
            </w:r>
          </w:p>
        </w:tc>
        <w:tc>
          <w:tcPr>
            <w:tcW w:type="dxa" w:w="2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Build market awareness and validate problem language</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No system testing — concept, screenshots, architecture diagram only</w:t>
            </w:r>
          </w:p>
        </w:tc>
        <w:tc>
          <w:tcPr>
            <w:tcW w:type="dxa" w:w="176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375623"/>
                <w:sz w:val="18"/>
                <w:szCs w:val="18"/>
              </w:rPr>
              <w:t xml:space="preserve">Product name, generic story, UI screenshots, architecture diagram</w:t>
            </w:r>
          </w:p>
        </w:tc>
      </w:tr>
      <w:tr>
        <w:tc>
          <w:tcPr>
            <w:tcW w:type="dxa" w:w="400"/>
            <w:tcBorders>
              <w:top w:val="single" w:color="AAAAAA" w:sz="4"/>
              <w:left w:val="single" w:color="AAAAAA" w:sz="4"/>
              <w:bottom w:val="single" w:color="AAAAAA" w:sz="4"/>
              <w:right w:val="single" w:color="AAAAAA" w:sz="4"/>
            </w:tcBorders>
            <w:shd w:fill="DEEAF1" w:val="clear"/>
            <w:tcMar>
              <w:top w:type="dxa" w:w="60"/>
              <w:left w:type="dxa" w:w="110"/>
              <w:bottom w:type="dxa" w:w="60"/>
              <w:right w:type="dxa" w:w="110"/>
            </w:tcMar>
            <w:vAlign w:val="top"/>
          </w:tcPr>
          <w:p>
            <w:pPr>
              <w:spacing w:after="0" w:before="0"/>
              <w:jc w:val="center"/>
            </w:pPr>
            <w:r>
              <w:rPr>
                <w:rFonts w:ascii="Arial" w:cs="Arial" w:eastAsia="Arial" w:hAnsi="Arial"/>
                <w:b/>
                <w:bCs/>
                <w:color w:val="1F3864"/>
                <w:sz w:val="18"/>
                <w:szCs w:val="18"/>
              </w:rPr>
              <w:t xml:space="preserve">2</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8"/>
                <w:szCs w:val="18"/>
              </w:rPr>
              <w:t xml:space="preserve">Customer Discovery</w:t>
            </w:r>
          </w:p>
        </w:tc>
        <w:tc>
          <w:tcPr>
            <w:tcW w:type="dxa" w:w="18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333333"/>
                <w:sz w:val="18"/>
                <w:szCs w:val="18"/>
              </w:rPr>
              <w:t xml:space="preserve">After Tasks 1–26 + Admin shell</w:t>
            </w:r>
          </w:p>
        </w:tc>
        <w:tc>
          <w:tcPr>
            <w:tcW w:type="dxa" w:w="2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Validate pain, systems, decision process, industry fit</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Light UI/UX test with synthetic data, no real customer data</w:t>
            </w:r>
          </w:p>
        </w:tc>
        <w:tc>
          <w:tcPr>
            <w:tcW w:type="dxa" w:w="176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375623"/>
                <w:sz w:val="18"/>
                <w:szCs w:val="18"/>
              </w:rPr>
              <w:t xml:space="preserve">Stable dashboard, working wizard, Admin area shell visible</w:t>
            </w:r>
          </w:p>
        </w:tc>
      </w:tr>
      <w:tr>
        <w:tc>
          <w:tcPr>
            <w:tcW w:type="dxa" w:w="400"/>
            <w:tcBorders>
              <w:top w:val="single" w:color="AAAAAA" w:sz="4"/>
              <w:left w:val="single" w:color="AAAAAA" w:sz="4"/>
              <w:bottom w:val="single" w:color="AAAAAA" w:sz="4"/>
              <w:right w:val="single" w:color="AAAAAA" w:sz="4"/>
            </w:tcBorders>
            <w:shd w:fill="DEEAF1" w:val="clear"/>
            <w:tcMar>
              <w:top w:type="dxa" w:w="60"/>
              <w:left w:type="dxa" w:w="110"/>
              <w:bottom w:type="dxa" w:w="60"/>
              <w:right w:type="dxa" w:w="110"/>
            </w:tcMar>
            <w:vAlign w:val="top"/>
          </w:tcPr>
          <w:p>
            <w:pPr>
              <w:spacing w:after="0" w:before="0"/>
              <w:jc w:val="center"/>
            </w:pPr>
            <w:r>
              <w:rPr>
                <w:rFonts w:ascii="Arial" w:cs="Arial" w:eastAsia="Arial" w:hAnsi="Arial"/>
                <w:b/>
                <w:bCs/>
                <w:color w:val="1F3864"/>
                <w:sz w:val="18"/>
                <w:szCs w:val="18"/>
              </w:rPr>
              <w:t xml:space="preserve">3</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8"/>
                <w:szCs w:val="18"/>
              </w:rPr>
              <w:t xml:space="preserve">Demo-Based Sales</w:t>
            </w:r>
          </w:p>
        </w:tc>
        <w:tc>
          <w:tcPr>
            <w:tcW w:type="dxa" w:w="18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333333"/>
                <w:sz w:val="18"/>
                <w:szCs w:val="18"/>
              </w:rPr>
              <w:t xml:space="preserve">After Phase 3 connector MVP + Admin area functional</w:t>
            </w:r>
          </w:p>
        </w:tc>
        <w:tc>
          <w:tcPr>
            <w:tcW w:type="dxa" w:w="2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Show believable end-to-end product flow to qualified prospects</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Small dataset import, schema preview, dashboard demo</w:t>
            </w:r>
          </w:p>
        </w:tc>
        <w:tc>
          <w:tcPr>
            <w:tcW w:type="dxa" w:w="176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375623"/>
                <w:sz w:val="18"/>
                <w:szCs w:val="18"/>
              </w:rPr>
              <w:t xml:space="preserve">CSV connector, schema discovery, mapping preview, Admin area working</w:t>
            </w:r>
          </w:p>
        </w:tc>
      </w:tr>
      <w:tr>
        <w:tc>
          <w:tcPr>
            <w:tcW w:type="dxa" w:w="400"/>
            <w:tcBorders>
              <w:top w:val="single" w:color="AAAAAA" w:sz="4"/>
              <w:left w:val="single" w:color="AAAAAA" w:sz="4"/>
              <w:bottom w:val="single" w:color="AAAAAA" w:sz="4"/>
              <w:right w:val="single" w:color="AAAAAA" w:sz="4"/>
            </w:tcBorders>
            <w:shd w:fill="DEEAF1" w:val="clear"/>
            <w:tcMar>
              <w:top w:type="dxa" w:w="60"/>
              <w:left w:type="dxa" w:w="110"/>
              <w:bottom w:type="dxa" w:w="60"/>
              <w:right w:type="dxa" w:w="110"/>
            </w:tcMar>
            <w:vAlign w:val="top"/>
          </w:tcPr>
          <w:p>
            <w:pPr>
              <w:spacing w:after="0" w:before="0"/>
              <w:jc w:val="center"/>
            </w:pPr>
            <w:r>
              <w:rPr>
                <w:rFonts w:ascii="Arial" w:cs="Arial" w:eastAsia="Arial" w:hAnsi="Arial"/>
                <w:b/>
                <w:bCs/>
                <w:color w:val="1F3864"/>
                <w:sz w:val="18"/>
                <w:szCs w:val="18"/>
              </w:rPr>
              <w:t xml:space="preserve">4</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8"/>
                <w:szCs w:val="18"/>
              </w:rPr>
              <w:t xml:space="preserve">Paid Readiness Assessment</w:t>
            </w:r>
          </w:p>
        </w:tc>
        <w:tc>
          <w:tcPr>
            <w:tcW w:type="dxa" w:w="18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333333"/>
                <w:sz w:val="18"/>
                <w:szCs w:val="18"/>
              </w:rPr>
              <w:t xml:space="preserve">After readiness report + Jobs Monitor + Schema Config</w:t>
            </w:r>
          </w:p>
        </w:tc>
        <w:tc>
          <w:tcPr>
            <w:tcW w:type="dxa" w:w="2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Sell low-risk paid diagnostic to customer</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Customer exports data, not live DB access required</w:t>
            </w:r>
          </w:p>
        </w:tc>
        <w:tc>
          <w:tcPr>
            <w:tcW w:type="dxa" w:w="176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375623"/>
                <w:sz w:val="18"/>
                <w:szCs w:val="18"/>
              </w:rPr>
              <w:t xml:space="preserve">Readiness report, data-quality checks, Jobs Monitor, Schema Config page</w:t>
            </w:r>
          </w:p>
        </w:tc>
      </w:tr>
      <w:tr>
        <w:tc>
          <w:tcPr>
            <w:tcW w:type="dxa" w:w="400"/>
            <w:tcBorders>
              <w:top w:val="single" w:color="AAAAAA" w:sz="4"/>
              <w:left w:val="single" w:color="AAAAAA" w:sz="4"/>
              <w:bottom w:val="single" w:color="AAAAAA" w:sz="4"/>
              <w:right w:val="single" w:color="AAAAAA" w:sz="4"/>
            </w:tcBorders>
            <w:shd w:fill="DEEAF1" w:val="clear"/>
            <w:tcMar>
              <w:top w:type="dxa" w:w="60"/>
              <w:left w:type="dxa" w:w="110"/>
              <w:bottom w:type="dxa" w:w="60"/>
              <w:right w:type="dxa" w:w="110"/>
            </w:tcMar>
            <w:vAlign w:val="top"/>
          </w:tcPr>
          <w:p>
            <w:pPr>
              <w:spacing w:after="0" w:before="0"/>
              <w:jc w:val="center"/>
            </w:pPr>
            <w:r>
              <w:rPr>
                <w:rFonts w:ascii="Arial" w:cs="Arial" w:eastAsia="Arial" w:hAnsi="Arial"/>
                <w:b/>
                <w:bCs/>
                <w:color w:val="1F3864"/>
                <w:sz w:val="18"/>
                <w:szCs w:val="18"/>
              </w:rPr>
              <w:t xml:space="preserve">5</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8"/>
                <w:szCs w:val="18"/>
              </w:rPr>
              <w:t xml:space="preserve">Pilot Sales</w:t>
            </w:r>
          </w:p>
        </w:tc>
        <w:tc>
          <w:tcPr>
            <w:tcW w:type="dxa" w:w="18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333333"/>
                <w:sz w:val="18"/>
                <w:szCs w:val="18"/>
              </w:rPr>
              <w:t xml:space="preserve">After security + connectors + dynamic pages + ML jobs</w:t>
            </w:r>
          </w:p>
        </w:tc>
        <w:tc>
          <w:tcPr>
            <w:tcW w:type="dxa" w:w="2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Run real controlled pilot with approved customer data</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Real data route, one defect family, controlled volume</w:t>
            </w:r>
          </w:p>
        </w:tc>
        <w:tc>
          <w:tcPr>
            <w:tcW w:type="dxa" w:w="176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375623"/>
                <w:sz w:val="18"/>
                <w:szCs w:val="18"/>
              </w:rPr>
              <w:t xml:space="preserve">Auth, RBAC, audit, PostgreSQL/MSSQL connectors, dynamic page management</w:t>
            </w:r>
          </w:p>
        </w:tc>
      </w:tr>
      <w:tr>
        <w:tc>
          <w:tcPr>
            <w:tcW w:type="dxa" w:w="400"/>
            <w:tcBorders>
              <w:top w:val="single" w:color="AAAAAA" w:sz="4"/>
              <w:left w:val="single" w:color="AAAAAA" w:sz="4"/>
              <w:bottom w:val="single" w:color="AAAAAA" w:sz="4"/>
              <w:right w:val="single" w:color="AAAAAA" w:sz="4"/>
            </w:tcBorders>
            <w:shd w:fill="DEEAF1" w:val="clear"/>
            <w:tcMar>
              <w:top w:type="dxa" w:w="60"/>
              <w:left w:type="dxa" w:w="110"/>
              <w:bottom w:type="dxa" w:w="60"/>
              <w:right w:type="dxa" w:w="110"/>
            </w:tcMar>
            <w:vAlign w:val="top"/>
          </w:tcPr>
          <w:p>
            <w:pPr>
              <w:spacing w:after="0" w:before="0"/>
              <w:jc w:val="center"/>
            </w:pPr>
            <w:r>
              <w:rPr>
                <w:rFonts w:ascii="Arial" w:cs="Arial" w:eastAsia="Arial" w:hAnsi="Arial"/>
                <w:b/>
                <w:bCs/>
                <w:color w:val="1F3864"/>
                <w:sz w:val="18"/>
                <w:szCs w:val="18"/>
              </w:rPr>
              <w:t xml:space="preserve">6</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8"/>
                <w:szCs w:val="18"/>
              </w:rPr>
              <w:t xml:space="preserve">Full Product Marketing</w:t>
            </w:r>
          </w:p>
        </w:tc>
        <w:tc>
          <w:tcPr>
            <w:tcW w:type="dxa" w:w="18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333333"/>
                <w:sz w:val="18"/>
                <w:szCs w:val="18"/>
              </w:rPr>
              <w:t xml:space="preserve">After all phases complete including ML area</w:t>
            </w:r>
          </w:p>
        </w:tc>
        <w:tc>
          <w:tcPr>
            <w:tcW w:type="dxa" w:w="2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Public product launch and broader market reach</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Full demo package, case-study story, repeatable onboarding</w:t>
            </w:r>
          </w:p>
        </w:tc>
        <w:tc>
          <w:tcPr>
            <w:tcW w:type="dxa" w:w="176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375623"/>
                <w:sz w:val="18"/>
                <w:szCs w:val="18"/>
              </w:rPr>
              <w:t xml:space="preserve">ML Area complete, Suggestion page, CI/CD, synthetic dataset pack</w:t>
            </w:r>
          </w:p>
        </w:tc>
      </w:tr>
    </w:tbl>
    <w:p>
      <w:pPr>
        <w:spacing w:after="0" w:before="80"/>
      </w:pPr>
      <w:r>
        <w:t xml:space="preserve"/>
      </w:r>
    </w:p>
    <w:p>
      <w:pPr>
        <w:pStyle w:val="Heading2"/>
        <w:spacing w:after="160" w:before="360"/>
      </w:pPr>
      <w:r>
        <w:rPr>
          <w:rFonts w:ascii="Arial" w:cs="Arial" w:eastAsia="Arial" w:hAnsi="Arial"/>
          <w:b/>
          <w:bCs/>
          <w:color w:val="2E75B6"/>
          <w:sz w:val="30"/>
          <w:szCs w:val="30"/>
        </w:rPr>
        <w:t xml:space="preserve">3.2  Stage-Gate Language Reference</w:t>
      </w:r>
    </w:p>
    <w:p>
      <w:pPr>
        <w:spacing w:after="60" w:before="60"/>
        <w:jc w:val="both"/>
      </w:pPr>
      <w:r>
        <w:rPr>
          <w:rFonts w:ascii="Arial" w:cs="Arial" w:eastAsia="Arial" w:hAnsi="Arial"/>
          <w:b w:val="false"/>
          <w:bCs w:val="false"/>
          <w:color w:val="000000"/>
          <w:sz w:val="22"/>
          <w:szCs w:val="22"/>
        </w:rPr>
        <w:t xml:space="preserve">The following table defines what you are authorized to say commercially at each stage gate, and what must not be promised. This prevents misrepresentation and protects the company's credibility during early customer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20"/>
                <w:szCs w:val="20"/>
              </w:rPr>
              <w:t xml:space="preserve">Stage</w:t>
            </w:r>
          </w:p>
        </w:tc>
        <w:tc>
          <w:tcPr>
            <w:tcW w:type="dxa" w:w="38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20"/>
                <w:szCs w:val="20"/>
              </w:rPr>
              <w:t xml:space="preserve">Authorized Commercial Language</w:t>
            </w:r>
          </w:p>
        </w:tc>
        <w:tc>
          <w:tcPr>
            <w:tcW w:type="dxa" w:w="38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20"/>
                <w:szCs w:val="20"/>
              </w:rPr>
              <w:t xml:space="preserve">Must Not Say Yet</w:t>
            </w:r>
          </w:p>
        </w:tc>
      </w:tr>
      <w:tr>
        <w:tc>
          <w:tcPr>
            <w:tcW w:type="dxa" w:w="1600"/>
            <w:tcBorders>
              <w:top w:val="single" w:color="AAAAAA" w:sz="4"/>
              <w:left w:val="single" w:color="AAAAAA" w:sz="4"/>
              <w:bottom w:val="single" w:color="AAAAAA" w:sz="4"/>
              <w:right w:val="single" w:color="AAAAAA" w:sz="4"/>
            </w:tcBorders>
            <w:shd w:fill="DEEAF1"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8"/>
                <w:szCs w:val="18"/>
              </w:rPr>
              <w:t xml:space="preserve">After Stage 1</w:t>
            </w:r>
          </w:p>
        </w:tc>
        <w:tc>
          <w:tcPr>
            <w:tcW w:type="dxa" w:w="3880"/>
            <w:tcBorders>
              <w:top w:val="single" w:color="AAAAAA" w:sz="4"/>
              <w:left w:val="single" w:color="AAAAAA" w:sz="4"/>
              <w:bottom w:val="single" w:color="AAAAAA" w:sz="4"/>
              <w:right w:val="single" w:color="AAAAAA" w:sz="4"/>
            </w:tcBorders>
            <w:shd w:fill="F0FAF0" w:val="clear"/>
            <w:tcMar>
              <w:top w:type="dxa" w:w="60"/>
              <w:left w:type="dxa" w:w="110"/>
              <w:bottom w:type="dxa" w:w="60"/>
              <w:right w:type="dxa" w:w="110"/>
            </w:tcMar>
            <w:vAlign w:val="top"/>
          </w:tcPr>
          <w:p>
            <w:pPr>
              <w:spacing w:after="30" w:before="0"/>
            </w:pPr>
            <w:r>
              <w:rPr>
                <w:rFonts w:ascii="Arial" w:cs="Arial" w:eastAsia="Arial" w:hAnsi="Arial"/>
                <w:b w:val="false"/>
                <w:bCs w:val="false"/>
                <w:color w:val="375623"/>
                <w:sz w:val="18"/>
                <w:szCs w:val="18"/>
              </w:rPr>
              <w:t xml:space="preserve">✔  We are building a generic manufacturing quality-intelligence platform that reads your existing systems and surfaces suspected process contributors to defects, downtime, and KPI deviation.</w:t>
            </w:r>
          </w:p>
        </w:tc>
        <w:tc>
          <w:tcPr>
            <w:tcW w:type="dxa" w:w="3880"/>
            <w:tcBorders>
              <w:top w:val="single" w:color="AAAAAA" w:sz="4"/>
              <w:left w:val="single" w:color="AAAAAA" w:sz="4"/>
              <w:bottom w:val="single" w:color="AAAAAA" w:sz="4"/>
              <w:right w:val="single" w:color="AAAAAA" w:sz="4"/>
            </w:tcBorders>
            <w:shd w:fill="FFF0F0" w:val="clear"/>
            <w:tcMar>
              <w:top w:type="dxa" w:w="60"/>
              <w:left w:type="dxa" w:w="110"/>
              <w:bottom w:type="dxa" w:w="60"/>
              <w:right w:type="dxa" w:w="110"/>
            </w:tcMar>
            <w:vAlign w:val="top"/>
          </w:tcPr>
          <w:p>
            <w:pPr>
              <w:spacing w:after="30" w:before="0"/>
            </w:pPr>
            <w:r>
              <w:rPr>
                <w:rFonts w:ascii="Arial" w:cs="Arial" w:eastAsia="Arial" w:hAnsi="Arial"/>
                <w:b w:val="false"/>
                <w:bCs w:val="false"/>
                <w:color w:val="C00000"/>
                <w:sz w:val="18"/>
                <w:szCs w:val="18"/>
              </w:rPr>
              <w:t xml:space="preserve">✘  We are ready to connect to your live Oracle or MSSQL system today.</w:t>
            </w:r>
          </w:p>
        </w:tc>
      </w:tr>
      <w:tr>
        <w:tc>
          <w:tcPr>
            <w:tcW w:type="dxa" w:w="1600"/>
            <w:tcBorders>
              <w:top w:val="single" w:color="AAAAAA" w:sz="4"/>
              <w:left w:val="single" w:color="AAAAAA" w:sz="4"/>
              <w:bottom w:val="single" w:color="AAAAAA" w:sz="4"/>
              <w:right w:val="single" w:color="AAAAAA" w:sz="4"/>
            </w:tcBorders>
            <w:shd w:fill="DEEAF1"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8"/>
                <w:szCs w:val="18"/>
              </w:rPr>
              <w:t xml:space="preserve">After Stage 2</w:t>
            </w:r>
          </w:p>
        </w:tc>
        <w:tc>
          <w:tcPr>
            <w:tcW w:type="dxa" w:w="3880"/>
            <w:tcBorders>
              <w:top w:val="single" w:color="AAAAAA" w:sz="4"/>
              <w:left w:val="single" w:color="AAAAAA" w:sz="4"/>
              <w:bottom w:val="single" w:color="AAAAAA" w:sz="4"/>
              <w:right w:val="single" w:color="AAAAAA" w:sz="4"/>
            </w:tcBorders>
            <w:shd w:fill="F0FAF0" w:val="clear"/>
            <w:tcMar>
              <w:top w:type="dxa" w:w="60"/>
              <w:left w:type="dxa" w:w="110"/>
              <w:bottom w:type="dxa" w:w="60"/>
              <w:right w:type="dxa" w:w="110"/>
            </w:tcMar>
            <w:vAlign w:val="top"/>
          </w:tcPr>
          <w:p>
            <w:pPr>
              <w:spacing w:after="30" w:before="0"/>
            </w:pPr>
            <w:r>
              <w:rPr>
                <w:rFonts w:ascii="Arial" w:cs="Arial" w:eastAsia="Arial" w:hAnsi="Arial"/>
                <w:b w:val="false"/>
                <w:bCs w:val="false"/>
                <w:color w:val="375623"/>
                <w:sz w:val="18"/>
                <w:szCs w:val="18"/>
              </w:rPr>
              <w:t xml:space="preserve">✔  Here is our product UI and the Admin area where you configure your data sources. This is how your plant data would map into our generic model.</w:t>
            </w:r>
          </w:p>
        </w:tc>
        <w:tc>
          <w:tcPr>
            <w:tcW w:type="dxa" w:w="3880"/>
            <w:tcBorders>
              <w:top w:val="single" w:color="AAAAAA" w:sz="4"/>
              <w:left w:val="single" w:color="AAAAAA" w:sz="4"/>
              <w:bottom w:val="single" w:color="AAAAAA" w:sz="4"/>
              <w:right w:val="single" w:color="AAAAAA" w:sz="4"/>
            </w:tcBorders>
            <w:shd w:fill="FFF0F0" w:val="clear"/>
            <w:tcMar>
              <w:top w:type="dxa" w:w="60"/>
              <w:left w:type="dxa" w:w="110"/>
              <w:bottom w:type="dxa" w:w="60"/>
              <w:right w:type="dxa" w:w="110"/>
            </w:tcMar>
            <w:vAlign w:val="top"/>
          </w:tcPr>
          <w:p>
            <w:pPr>
              <w:spacing w:after="30" w:before="0"/>
            </w:pPr>
            <w:r>
              <w:rPr>
                <w:rFonts w:ascii="Arial" w:cs="Arial" w:eastAsia="Arial" w:hAnsi="Arial"/>
                <w:b w:val="false"/>
                <w:bCs w:val="false"/>
                <w:color w:val="C00000"/>
                <w:sz w:val="18"/>
                <w:szCs w:val="18"/>
              </w:rPr>
              <w:t xml:space="preserve">✘  This is production-ready or suitable for live customer data.</w:t>
            </w:r>
          </w:p>
        </w:tc>
      </w:tr>
      <w:tr>
        <w:tc>
          <w:tcPr>
            <w:tcW w:type="dxa" w:w="1600"/>
            <w:tcBorders>
              <w:top w:val="single" w:color="AAAAAA" w:sz="4"/>
              <w:left w:val="single" w:color="AAAAAA" w:sz="4"/>
              <w:bottom w:val="single" w:color="AAAAAA" w:sz="4"/>
              <w:right w:val="single" w:color="AAAAAA" w:sz="4"/>
            </w:tcBorders>
            <w:shd w:fill="DEEAF1"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8"/>
                <w:szCs w:val="18"/>
              </w:rPr>
              <w:t xml:space="preserve">After Stage 3</w:t>
            </w:r>
          </w:p>
        </w:tc>
        <w:tc>
          <w:tcPr>
            <w:tcW w:type="dxa" w:w="3880"/>
            <w:tcBorders>
              <w:top w:val="single" w:color="AAAAAA" w:sz="4"/>
              <w:left w:val="single" w:color="AAAAAA" w:sz="4"/>
              <w:bottom w:val="single" w:color="AAAAAA" w:sz="4"/>
              <w:right w:val="single" w:color="AAAAAA" w:sz="4"/>
            </w:tcBorders>
            <w:shd w:fill="F0FAF0" w:val="clear"/>
            <w:tcMar>
              <w:top w:type="dxa" w:w="60"/>
              <w:left w:type="dxa" w:w="110"/>
              <w:bottom w:type="dxa" w:w="60"/>
              <w:right w:type="dxa" w:w="110"/>
            </w:tcMar>
            <w:vAlign w:val="top"/>
          </w:tcPr>
          <w:p>
            <w:pPr>
              <w:spacing w:after="30" w:before="0"/>
            </w:pPr>
            <w:r>
              <w:rPr>
                <w:rFonts w:ascii="Arial" w:cs="Arial" w:eastAsia="Arial" w:hAnsi="Arial"/>
                <w:b w:val="false"/>
                <w:bCs w:val="false"/>
                <w:color w:val="375623"/>
                <w:sz w:val="18"/>
                <w:szCs w:val="18"/>
              </w:rPr>
              <w:t xml:space="preserve">✔  We can load your exported CSV or Excel data, discover the schema automatically, map it to our canonical model, and show you analytics and correlation results in the dashboard.</w:t>
            </w:r>
          </w:p>
        </w:tc>
        <w:tc>
          <w:tcPr>
            <w:tcW w:type="dxa" w:w="3880"/>
            <w:tcBorders>
              <w:top w:val="single" w:color="AAAAAA" w:sz="4"/>
              <w:left w:val="single" w:color="AAAAAA" w:sz="4"/>
              <w:bottom w:val="single" w:color="AAAAAA" w:sz="4"/>
              <w:right w:val="single" w:color="AAAAAA" w:sz="4"/>
            </w:tcBorders>
            <w:shd w:fill="FFF0F0" w:val="clear"/>
            <w:tcMar>
              <w:top w:type="dxa" w:w="60"/>
              <w:left w:type="dxa" w:w="110"/>
              <w:bottom w:type="dxa" w:w="60"/>
              <w:right w:type="dxa" w:w="110"/>
            </w:tcMar>
            <w:vAlign w:val="top"/>
          </w:tcPr>
          <w:p>
            <w:pPr>
              <w:spacing w:after="30" w:before="0"/>
            </w:pPr>
            <w:r>
              <w:rPr>
                <w:rFonts w:ascii="Arial" w:cs="Arial" w:eastAsia="Arial" w:hAnsi="Arial"/>
                <w:b w:val="false"/>
                <w:bCs w:val="false"/>
                <w:color w:val="C00000"/>
                <w:sz w:val="18"/>
                <w:szCs w:val="18"/>
              </w:rPr>
              <w:t xml:space="preserve">✘  We can deploy directly into your plant network tomorrow without any IT review.</w:t>
            </w:r>
          </w:p>
        </w:tc>
      </w:tr>
      <w:tr>
        <w:tc>
          <w:tcPr>
            <w:tcW w:type="dxa" w:w="1600"/>
            <w:tcBorders>
              <w:top w:val="single" w:color="AAAAAA" w:sz="4"/>
              <w:left w:val="single" w:color="AAAAAA" w:sz="4"/>
              <w:bottom w:val="single" w:color="AAAAAA" w:sz="4"/>
              <w:right w:val="single" w:color="AAAAAA" w:sz="4"/>
            </w:tcBorders>
            <w:shd w:fill="DEEAF1"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8"/>
                <w:szCs w:val="18"/>
              </w:rPr>
              <w:t xml:space="preserve">After Stage 4</w:t>
            </w:r>
          </w:p>
        </w:tc>
        <w:tc>
          <w:tcPr>
            <w:tcW w:type="dxa" w:w="3880"/>
            <w:tcBorders>
              <w:top w:val="single" w:color="AAAAAA" w:sz="4"/>
              <w:left w:val="single" w:color="AAAAAA" w:sz="4"/>
              <w:bottom w:val="single" w:color="AAAAAA" w:sz="4"/>
              <w:right w:val="single" w:color="AAAAAA" w:sz="4"/>
            </w:tcBorders>
            <w:shd w:fill="F0FAF0" w:val="clear"/>
            <w:tcMar>
              <w:top w:type="dxa" w:w="60"/>
              <w:left w:type="dxa" w:w="110"/>
              <w:bottom w:type="dxa" w:w="60"/>
              <w:right w:type="dxa" w:w="110"/>
            </w:tcMar>
            <w:vAlign w:val="top"/>
          </w:tcPr>
          <w:p>
            <w:pPr>
              <w:spacing w:after="30" w:before="0"/>
            </w:pPr>
            <w:r>
              <w:rPr>
                <w:rFonts w:ascii="Arial" w:cs="Arial" w:eastAsia="Arial" w:hAnsi="Arial"/>
                <w:b w:val="false"/>
                <w:bCs w:val="false"/>
                <w:color w:val="375623"/>
                <w:sz w:val="18"/>
                <w:szCs w:val="18"/>
              </w:rPr>
              <w:t xml:space="preserve">✔  We can assess whether your existing data is ready for quality correlation and pilot. We will provide a readiness report with findings, blockers, pilot feasibility score, and a prioritized action list.</w:t>
            </w:r>
          </w:p>
        </w:tc>
        <w:tc>
          <w:tcPr>
            <w:tcW w:type="dxa" w:w="3880"/>
            <w:tcBorders>
              <w:top w:val="single" w:color="AAAAAA" w:sz="4"/>
              <w:left w:val="single" w:color="AAAAAA" w:sz="4"/>
              <w:bottom w:val="single" w:color="AAAAAA" w:sz="4"/>
              <w:right w:val="single" w:color="AAAAAA" w:sz="4"/>
            </w:tcBorders>
            <w:shd w:fill="FFF0F0" w:val="clear"/>
            <w:tcMar>
              <w:top w:type="dxa" w:w="60"/>
              <w:left w:type="dxa" w:w="110"/>
              <w:bottom w:type="dxa" w:w="60"/>
              <w:right w:type="dxa" w:w="110"/>
            </w:tcMar>
            <w:vAlign w:val="top"/>
          </w:tcPr>
          <w:p>
            <w:pPr>
              <w:spacing w:after="30" w:before="0"/>
            </w:pPr>
            <w:r>
              <w:rPr>
                <w:rFonts w:ascii="Arial" w:cs="Arial" w:eastAsia="Arial" w:hAnsi="Arial"/>
                <w:b w:val="false"/>
                <w:bCs w:val="false"/>
                <w:color w:val="C00000"/>
                <w:sz w:val="18"/>
                <w:szCs w:val="18"/>
              </w:rPr>
              <w:t xml:space="preserve">✘  We guarantee a specific prediction accuracy or correlation outcome.</w:t>
            </w:r>
          </w:p>
        </w:tc>
      </w:tr>
      <w:tr>
        <w:tc>
          <w:tcPr>
            <w:tcW w:type="dxa" w:w="1600"/>
            <w:tcBorders>
              <w:top w:val="single" w:color="AAAAAA" w:sz="4"/>
              <w:left w:val="single" w:color="AAAAAA" w:sz="4"/>
              <w:bottom w:val="single" w:color="AAAAAA" w:sz="4"/>
              <w:right w:val="single" w:color="AAAAAA" w:sz="4"/>
            </w:tcBorders>
            <w:shd w:fill="DEEAF1"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8"/>
                <w:szCs w:val="18"/>
              </w:rPr>
              <w:t xml:space="preserve">After Stage 5</w:t>
            </w:r>
          </w:p>
        </w:tc>
        <w:tc>
          <w:tcPr>
            <w:tcW w:type="dxa" w:w="3880"/>
            <w:tcBorders>
              <w:top w:val="single" w:color="AAAAAA" w:sz="4"/>
              <w:left w:val="single" w:color="AAAAAA" w:sz="4"/>
              <w:bottom w:val="single" w:color="AAAAAA" w:sz="4"/>
              <w:right w:val="single" w:color="AAAAAA" w:sz="4"/>
            </w:tcBorders>
            <w:shd w:fill="F0FAF0" w:val="clear"/>
            <w:tcMar>
              <w:top w:type="dxa" w:w="60"/>
              <w:left w:type="dxa" w:w="110"/>
              <w:bottom w:type="dxa" w:w="60"/>
              <w:right w:type="dxa" w:w="110"/>
            </w:tcMar>
            <w:vAlign w:val="top"/>
          </w:tcPr>
          <w:p>
            <w:pPr>
              <w:spacing w:after="30" w:before="0"/>
            </w:pPr>
            <w:r>
              <w:rPr>
                <w:rFonts w:ascii="Arial" w:cs="Arial" w:eastAsia="Arial" w:hAnsi="Arial"/>
                <w:b w:val="false"/>
                <w:bCs w:val="false"/>
                <w:color w:val="375623"/>
                <w:sz w:val="18"/>
                <w:szCs w:val="18"/>
              </w:rPr>
              <w:t xml:space="preserve">✔  We can run a controlled pilot using your approved data through a secure, authenticated connection. You can build your own monitoring pages, configure ML learning jobs, and review results in the Jobs Monitor.</w:t>
            </w:r>
          </w:p>
        </w:tc>
        <w:tc>
          <w:tcPr>
            <w:tcW w:type="dxa" w:w="3880"/>
            <w:tcBorders>
              <w:top w:val="single" w:color="AAAAAA" w:sz="4"/>
              <w:left w:val="single" w:color="AAAAAA" w:sz="4"/>
              <w:bottom w:val="single" w:color="AAAAAA" w:sz="4"/>
              <w:right w:val="single" w:color="AAAAAA" w:sz="4"/>
            </w:tcBorders>
            <w:shd w:fill="FFF0F0" w:val="clear"/>
            <w:tcMar>
              <w:top w:type="dxa" w:w="60"/>
              <w:left w:type="dxa" w:w="110"/>
              <w:bottom w:type="dxa" w:w="60"/>
              <w:right w:type="dxa" w:w="110"/>
            </w:tcMar>
            <w:vAlign w:val="top"/>
          </w:tcPr>
          <w:p>
            <w:pPr>
              <w:spacing w:after="30" w:before="0"/>
            </w:pPr>
            <w:r>
              <w:rPr>
                <w:rFonts w:ascii="Arial" w:cs="Arial" w:eastAsia="Arial" w:hAnsi="Arial"/>
                <w:b w:val="false"/>
                <w:bCs w:val="false"/>
                <w:color w:val="C00000"/>
                <w:sz w:val="18"/>
                <w:szCs w:val="18"/>
              </w:rPr>
              <w:t xml:space="preserve">✘  This is a full enterprise multi-site rollout. We support every connector type without scoping.</w:t>
            </w:r>
          </w:p>
        </w:tc>
      </w:tr>
      <w:tr>
        <w:tc>
          <w:tcPr>
            <w:tcW w:type="dxa" w:w="1600"/>
            <w:tcBorders>
              <w:top w:val="single" w:color="AAAAAA" w:sz="4"/>
              <w:left w:val="single" w:color="AAAAAA" w:sz="4"/>
              <w:bottom w:val="single" w:color="AAAAAA" w:sz="4"/>
              <w:right w:val="single" w:color="AAAAAA" w:sz="4"/>
            </w:tcBorders>
            <w:shd w:fill="DEEAF1" w:val="clear"/>
            <w:tcMar>
              <w:top w:type="dxa" w:w="60"/>
              <w:left w:type="dxa" w:w="110"/>
              <w:bottom w:type="dxa" w:w="60"/>
              <w:right w:type="dxa" w:w="110"/>
            </w:tcMar>
            <w:vAlign w:val="top"/>
          </w:tcPr>
          <w:p>
            <w:pPr>
              <w:spacing w:after="0" w:before="0"/>
              <w:jc w:val="left"/>
            </w:pPr>
            <w:r>
              <w:rPr>
                <w:rFonts w:ascii="Arial" w:cs="Arial" w:eastAsia="Arial" w:hAnsi="Arial"/>
                <w:b/>
                <w:bCs/>
                <w:color w:val="1F3864"/>
                <w:sz w:val="18"/>
                <w:szCs w:val="18"/>
              </w:rPr>
              <w:t xml:space="preserve">After Stage 6</w:t>
            </w:r>
          </w:p>
        </w:tc>
        <w:tc>
          <w:tcPr>
            <w:tcW w:type="dxa" w:w="3880"/>
            <w:tcBorders>
              <w:top w:val="single" w:color="AAAAAA" w:sz="4"/>
              <w:left w:val="single" w:color="AAAAAA" w:sz="4"/>
              <w:bottom w:val="single" w:color="AAAAAA" w:sz="4"/>
              <w:right w:val="single" w:color="AAAAAA" w:sz="4"/>
            </w:tcBorders>
            <w:shd w:fill="F0FAF0" w:val="clear"/>
            <w:tcMar>
              <w:top w:type="dxa" w:w="60"/>
              <w:left w:type="dxa" w:w="110"/>
              <w:bottom w:type="dxa" w:w="60"/>
              <w:right w:type="dxa" w:w="110"/>
            </w:tcMar>
            <w:vAlign w:val="top"/>
          </w:tcPr>
          <w:p>
            <w:pPr>
              <w:spacing w:after="30" w:before="0"/>
            </w:pPr>
            <w:r>
              <w:rPr>
                <w:rFonts w:ascii="Arial" w:cs="Arial" w:eastAsia="Arial" w:hAnsi="Arial"/>
                <w:b w:val="false"/>
                <w:bCs w:val="false"/>
                <w:color w:val="375623"/>
                <w:sz w:val="18"/>
                <w:szCs w:val="18"/>
              </w:rPr>
              <w:t xml:space="preserve">✔  Our platform is publicly available with a full ML intelligence layer, dynamic page creation, a suggestion engine, and a proven onboarding process supported by synthetic demo data.</w:t>
            </w:r>
          </w:p>
        </w:tc>
        <w:tc>
          <w:tcPr>
            <w:tcW w:type="dxa" w:w="3880"/>
            <w:tcBorders>
              <w:top w:val="single" w:color="AAAAAA" w:sz="4"/>
              <w:left w:val="single" w:color="AAAAAA" w:sz="4"/>
              <w:bottom w:val="single" w:color="AAAAAA" w:sz="4"/>
              <w:right w:val="single" w:color="AAAAAA" w:sz="4"/>
            </w:tcBorders>
            <w:shd w:fill="FFF0F0" w:val="clear"/>
            <w:tcMar>
              <w:top w:type="dxa" w:w="60"/>
              <w:left w:type="dxa" w:w="110"/>
              <w:bottom w:type="dxa" w:w="60"/>
              <w:right w:type="dxa" w:w="110"/>
            </w:tcMar>
            <w:vAlign w:val="top"/>
          </w:tcPr>
          <w:p>
            <w:pPr>
              <w:spacing w:after="30" w:before="0"/>
            </w:pPr>
            <w:r>
              <w:rPr>
                <w:rFonts w:ascii="Arial" w:cs="Arial" w:eastAsia="Arial" w:hAnsi="Arial"/>
                <w:b w:val="false"/>
                <w:bCs w:val="false"/>
                <w:color w:val="C00000"/>
                <w:sz w:val="18"/>
                <w:szCs w:val="18"/>
              </w:rPr>
              <w:t xml:space="preserve">✘  Every customer can go live on day one without configuration or data preparation.</w:t>
            </w:r>
          </w:p>
        </w:tc>
      </w:tr>
    </w:tbl>
    <w:p>
      <w:pPr>
        <w:spacing w:after="0" w:before="80"/>
      </w:pPr>
      <w:r>
        <w:t xml:space="preserve"/>
      </w:r>
    </w:p>
    <w:p>
      <w:r>
        <w:br w:type="page"/>
      </w:r>
    </w:p>
    <w:p>
      <w:pPr>
        <w:pStyle w:val="Heading2"/>
        <w:spacing w:after="160" w:before="360"/>
      </w:pPr>
      <w:r>
        <w:rPr>
          <w:rFonts w:ascii="Arial" w:cs="Arial" w:eastAsia="Arial" w:hAnsi="Arial"/>
          <w:b/>
          <w:bCs/>
          <w:color w:val="2E75B6"/>
          <w:sz w:val="30"/>
          <w:szCs w:val="30"/>
        </w:rPr>
        <w:t xml:space="preserve">3.3  Detailed Stage Specifications</w:t>
      </w:r>
    </w:p>
    <w:p>
      <w:pPr>
        <w:pBdr>
          <w:top w:val="single" w:color="2E75B6" w:sz="12"/>
          <w:bottom w:val="single" w:color="2E75B6" w:sz="12"/>
        </w:pBdr>
        <w:shd w:fill="BDD7EE" w:val="clear"/>
        <w:spacing w:after="0" w:before="280"/>
        <w:ind w:left="200" w:right="200"/>
      </w:pPr>
      <w:r>
        <w:rPr>
          <w:rFonts w:ascii="Arial" w:cs="Arial" w:eastAsia="Arial" w:hAnsi="Arial"/>
          <w:b/>
          <w:bCs/>
          <w:color w:val="1F3864"/>
          <w:sz w:val="32"/>
          <w:szCs w:val="32"/>
        </w:rPr>
        <w:t xml:space="preserve">Stage 1  </w:t>
      </w:r>
      <w:r>
        <w:rPr>
          <w:rFonts w:ascii="Arial" w:cs="Arial" w:eastAsia="Arial" w:hAnsi="Arial"/>
          <w:b/>
          <w:bCs/>
          <w:color w:val="2E75B6"/>
          <w:sz w:val="32"/>
          <w:szCs w:val="32"/>
        </w:rPr>
        <w:t xml:space="preserve">Soft Marketing</w:t>
      </w:r>
    </w:p>
    <w:p>
      <w:pPr>
        <w:shd w:fill="BDD7EE" w:val="clear"/>
        <w:spacing w:after="200" w:before="0"/>
        <w:ind w:left="200"/>
      </w:pPr>
      <w:r>
        <w:rPr>
          <w:rFonts w:ascii="Arial" w:cs="Arial" w:eastAsia="Arial" w:hAnsi="Arial"/>
          <w:color w:val="505050"/>
          <w:sz w:val="22"/>
          <w:szCs w:val="22"/>
        </w:rPr>
        <w:t xml:space="preserve">Timing: Start now — no technical prerequisites beyond what already exists.</w:t>
      </w:r>
    </w:p>
    <w:p>
      <w:pPr>
        <w:pStyle w:val="Heading3"/>
        <w:spacing w:after="100" w:before="240"/>
      </w:pPr>
      <w:r>
        <w:rPr>
          <w:rFonts w:ascii="Arial" w:cs="Arial" w:eastAsia="Arial" w:hAnsi="Arial"/>
          <w:b/>
          <w:bCs/>
          <w:color w:val="2F2F2F"/>
          <w:sz w:val="24"/>
          <w:szCs w:val="24"/>
        </w:rPr>
        <w:t xml:space="preserve">Business Objective</w:t>
      </w:r>
    </w:p>
    <w:p>
      <w:pPr>
        <w:pStyle w:val="ListParagraph"/>
        <w:numPr>
          <w:ilvl w:val="0"/>
          <w:numId w:val="2"/>
        </w:numPr>
        <w:spacing w:after="40" w:before="40"/>
      </w:pPr>
      <w:r>
        <w:rPr>
          <w:rFonts w:ascii="Arial" w:cs="Arial" w:eastAsia="Arial" w:hAnsi="Arial"/>
          <w:b w:val="false"/>
          <w:bCs w:val="false"/>
          <w:sz w:val="22"/>
          <w:szCs w:val="22"/>
        </w:rPr>
        <w:t xml:space="preserve">Build early market awareness among manufacturing CEOs, process engineers, and quality managers.</w:t>
      </w:r>
    </w:p>
    <w:p>
      <w:pPr>
        <w:pStyle w:val="ListParagraph"/>
        <w:numPr>
          <w:ilvl w:val="0"/>
          <w:numId w:val="2"/>
        </w:numPr>
        <w:spacing w:after="40" w:before="40"/>
      </w:pPr>
      <w:r>
        <w:rPr>
          <w:rFonts w:ascii="Arial" w:cs="Arial" w:eastAsia="Arial" w:hAnsi="Arial"/>
          <w:b w:val="false"/>
          <w:bCs w:val="false"/>
          <w:sz w:val="22"/>
          <w:szCs w:val="22"/>
        </w:rPr>
        <w:t xml:space="preserve">Validate that the problem language resonates with the target audience before investing in connector or security work.</w:t>
      </w:r>
    </w:p>
    <w:p>
      <w:pPr>
        <w:pStyle w:val="ListParagraph"/>
        <w:numPr>
          <w:ilvl w:val="0"/>
          <w:numId w:val="2"/>
        </w:numPr>
        <w:spacing w:after="40" w:before="40"/>
      </w:pPr>
      <w:r>
        <w:rPr>
          <w:rFonts w:ascii="Arial" w:cs="Arial" w:eastAsia="Arial" w:hAnsi="Arial"/>
          <w:b w:val="false"/>
          <w:bCs w:val="false"/>
          <w:sz w:val="22"/>
          <w:szCs w:val="22"/>
        </w:rPr>
        <w:t xml:space="preserve">Establish PlantProcess IQ's positioning as a generic intelligence layer — not a MES, SCADA, BI tool, or steel-only solution.</w:t>
      </w:r>
    </w:p>
    <w:p>
      <w:pPr>
        <w:pStyle w:val="ListParagraph"/>
        <w:numPr>
          <w:ilvl w:val="0"/>
          <w:numId w:val="2"/>
        </w:numPr>
        <w:spacing w:after="40" w:before="40"/>
      </w:pPr>
      <w:r>
        <w:rPr>
          <w:rFonts w:ascii="Arial" w:cs="Arial" w:eastAsia="Arial" w:hAnsi="Arial"/>
          <w:b w:val="false"/>
          <w:bCs w:val="false"/>
          <w:sz w:val="22"/>
          <w:szCs w:val="22"/>
        </w:rPr>
        <w:t xml:space="preserve">Collect early discovery interest and build a prospect list for Stage 2 customer discovery calls.</w:t>
      </w:r>
    </w:p>
    <w:p>
      <w:pPr>
        <w:pStyle w:val="ListParagraph"/>
        <w:numPr>
          <w:ilvl w:val="0"/>
          <w:numId w:val="2"/>
        </w:numPr>
        <w:spacing w:after="40" w:before="40"/>
      </w:pPr>
      <w:r>
        <w:rPr>
          <w:rFonts w:ascii="Arial" w:cs="Arial" w:eastAsia="Arial" w:hAnsi="Arial"/>
          <w:b w:val="false"/>
          <w:bCs w:val="false"/>
          <w:sz w:val="22"/>
          <w:szCs w:val="22"/>
        </w:rPr>
        <w:t xml:space="preserve">Begin testing the messaging framework across LinkedIn posts, targeted outreach, and industry events.</w:t>
      </w:r>
    </w:p>
    <w:p>
      <w:pPr>
        <w:spacing w:after="0" w:before="80"/>
      </w:pPr>
      <w:r>
        <w:t xml:space="preserve"/>
      </w:r>
    </w:p>
    <w:p>
      <w:pPr>
        <w:pStyle w:val="Heading3"/>
        <w:spacing w:after="100" w:before="240"/>
      </w:pPr>
      <w:r>
        <w:rPr>
          <w:rFonts w:ascii="Arial" w:cs="Arial" w:eastAsia="Arial" w:hAnsi="Arial"/>
          <w:b/>
          <w:bCs/>
          <w:color w:val="2F2F2F"/>
          <w:sz w:val="24"/>
          <w:szCs w:val="24"/>
        </w:rPr>
        <w:t xml:space="preserve">Prerequisites — What Must Be Done First</w:t>
      </w:r>
    </w:p>
    <w:p>
      <w:pPr>
        <w:pStyle w:val="ListParagraph"/>
        <w:numPr>
          <w:ilvl w:val="0"/>
          <w:numId w:val="2"/>
        </w:numPr>
        <w:spacing w:after="40" w:before="40"/>
      </w:pPr>
      <w:r>
        <w:rPr>
          <w:rFonts w:ascii="Arial" w:cs="Arial" w:eastAsia="Arial" w:hAnsi="Arial"/>
          <w:b w:val="false"/>
          <w:bCs w:val="false"/>
          <w:sz w:val="22"/>
          <w:szCs w:val="22"/>
        </w:rPr>
        <w:t xml:space="preserve">Product name PlantProcess IQ is confirmed (done).</w:t>
      </w:r>
    </w:p>
    <w:p>
      <w:pPr>
        <w:pStyle w:val="ListParagraph"/>
        <w:numPr>
          <w:ilvl w:val="0"/>
          <w:numId w:val="2"/>
        </w:numPr>
        <w:spacing w:after="40" w:before="40"/>
      </w:pPr>
      <w:r>
        <w:rPr>
          <w:rFonts w:ascii="Arial" w:cs="Arial" w:eastAsia="Arial" w:hAnsi="Arial"/>
          <w:b w:val="false"/>
          <w:bCs w:val="false"/>
          <w:sz w:val="22"/>
          <w:szCs w:val="22"/>
        </w:rPr>
        <w:t xml:space="preserve">At least five clean dashboard and correlation UI screenshots are available.</w:t>
      </w:r>
    </w:p>
    <w:p>
      <w:pPr>
        <w:pStyle w:val="ListParagraph"/>
        <w:numPr>
          <w:ilvl w:val="0"/>
          <w:numId w:val="2"/>
        </w:numPr>
        <w:spacing w:after="40" w:before="40"/>
      </w:pPr>
      <w:r>
        <w:rPr>
          <w:rFonts w:ascii="Arial" w:cs="Arial" w:eastAsia="Arial" w:hAnsi="Arial"/>
          <w:b w:val="false"/>
          <w:bCs w:val="false"/>
          <w:sz w:val="22"/>
          <w:szCs w:val="22"/>
        </w:rPr>
        <w:t xml:space="preserve">Generic industry story is drafted (steel is the demo industry, but the model is neutral).</w:t>
      </w:r>
    </w:p>
    <w:p>
      <w:pPr>
        <w:pStyle w:val="ListParagraph"/>
        <w:numPr>
          <w:ilvl w:val="0"/>
          <w:numId w:val="2"/>
        </w:numPr>
        <w:spacing w:after="40" w:before="40"/>
      </w:pPr>
      <w:r>
        <w:rPr>
          <w:rFonts w:ascii="Arial" w:cs="Arial" w:eastAsia="Arial" w:hAnsi="Arial"/>
          <w:b w:val="false"/>
          <w:bCs w:val="false"/>
          <w:sz w:val="22"/>
          <w:szCs w:val="22"/>
        </w:rPr>
        <w:t xml:space="preserve">Architecture diagram shows the full layer: connector → dump file → schema config → canonical model → analytics engine → dashboard.</w:t>
      </w:r>
    </w:p>
    <w:p>
      <w:pPr>
        <w:spacing w:after="0" w:before="80"/>
      </w:pPr>
      <w:r>
        <w:t xml:space="preserve"/>
      </w:r>
    </w:p>
    <w:p>
      <w:pPr>
        <w:pStyle w:val="Heading3"/>
        <w:spacing w:after="100" w:before="240"/>
      </w:pPr>
      <w:r>
        <w:rPr>
          <w:rFonts w:ascii="Arial" w:cs="Arial" w:eastAsia="Arial" w:hAnsi="Arial"/>
          <w:b/>
          <w:bCs/>
          <w:color w:val="2F2F2F"/>
          <w:sz w:val="24"/>
          <w:szCs w:val="24"/>
        </w:rPr>
        <w:t xml:space="preserve">Technical Readiness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2400"/>
        <w:gridCol w:w="3660"/>
      </w:tblGrid>
      <w:tr>
        <w:tc>
          <w:tcPr>
            <w:tcW w:type="dxa" w:w="26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20"/>
                <w:szCs w:val="20"/>
              </w:rPr>
              <w:t xml:space="preserve">Readiness Item</w:t>
            </w:r>
          </w:p>
        </w:tc>
        <w:tc>
          <w:tcPr>
            <w:tcW w:type="dxa" w:w="7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20"/>
                <w:szCs w:val="20"/>
              </w:rPr>
              <w:t xml:space="preserve">Priority</w:t>
            </w:r>
          </w:p>
        </w:tc>
        <w:tc>
          <w:tcPr>
            <w:tcW w:type="dxa" w:w="24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20"/>
                <w:szCs w:val="20"/>
              </w:rPr>
              <w:t xml:space="preserve">Vision-Specific Gate</w:t>
            </w:r>
          </w:p>
        </w:tc>
        <w:tc>
          <w:tcPr>
            <w:tcW w:type="dxa" w:w="366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20"/>
                <w:szCs w:val="20"/>
              </w:rPr>
              <w:t xml:space="preserve">Acceptance Criteria</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Product name and one-line positioning</w:t>
            </w:r>
          </w:p>
        </w:tc>
        <w:tc>
          <w:tcPr>
            <w:tcW w:type="dxa" w:w="70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center"/>
            </w:pPr>
            <w:r>
              <w:rPr>
                <w:rFonts w:ascii="Arial" w:cs="Arial" w:eastAsia="Arial" w:hAnsi="Arial"/>
                <w:b/>
                <w:bCs/>
                <w:color w:val="C00000"/>
                <w:sz w:val="18"/>
                <w:szCs w:val="18"/>
              </w:rPr>
              <w:t xml:space="preserve">Critical</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No new gate — already complete.</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'PlantProcess IQ: a generic manufacturing quality-intelligence layer that connects fragmented process, inspection, and quality data.'</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Generic industry story</w:t>
            </w:r>
          </w:p>
        </w:tc>
        <w:tc>
          <w:tcPr>
            <w:tcW w:type="dxa" w:w="70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center"/>
            </w:pPr>
            <w:r>
              <w:rPr>
                <w:rFonts w:ascii="Arial" w:cs="Arial" w:eastAsia="Arial" w:hAnsi="Arial"/>
                <w:b/>
                <w:bCs/>
                <w:color w:val="C00000"/>
                <w:sz w:val="18"/>
                <w:szCs w:val="18"/>
              </w:rPr>
              <w:t xml:space="preserve">Critical</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Must explicitly describe the two-stage import model and Admin area concept at a high level.</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Story explains that any plant configures their own DB links, schema mappings, and monitoring pages — not a fixed template.</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UI screenshots (dashboard + correlation pages)</w:t>
            </w:r>
          </w:p>
        </w:tc>
        <w:tc>
          <w:tcPr>
            <w:tcW w:type="dxa" w:w="70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center"/>
            </w:pPr>
            <w:r>
              <w:rPr>
                <w:rFonts w:ascii="Arial" w:cs="Arial" w:eastAsia="Arial" w:hAnsi="Arial"/>
                <w:b/>
                <w:bCs/>
                <w:color w:val="C00000"/>
                <w:sz w:val="18"/>
                <w:szCs w:val="18"/>
              </w:rPr>
              <w:t xml:space="preserve">Critical</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Use existing pages only. Do NOT show connector or admin pages that are not yet functional.</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5 clean screenshots with no obvious placeholder data or error states.</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Architecture diagram</w:t>
            </w:r>
          </w:p>
        </w:tc>
        <w:tc>
          <w:tcPr>
            <w:tcW w:type="dxa" w:w="70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center"/>
            </w:pPr>
            <w:r>
              <w:rPr>
                <w:rFonts w:ascii="Arial" w:cs="Arial" w:eastAsia="Arial" w:hAnsi="Arial"/>
                <w:b/>
                <w:bCs/>
                <w:color w:val="C00000"/>
                <w:sz w:val="18"/>
                <w:szCs w:val="18"/>
              </w:rPr>
              <w:t xml:space="preserve">Critical</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Must show: connector → dump file → schema config (SQL layer) → canonical model → analytics → dashboard. ML area shown as planned.</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Reviewed by a non-technical stakeholder who can explain it back correctly.</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Non-goals statement</w:t>
            </w:r>
          </w:p>
        </w:tc>
        <w:tc>
          <w:tcPr>
            <w:tcW w:type="dxa" w:w="70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center"/>
            </w:pPr>
            <w:r>
              <w:rPr>
                <w:rFonts w:ascii="Arial" w:cs="Arial" w:eastAsia="Arial" w:hAnsi="Arial"/>
                <w:b/>
                <w:bCs/>
                <w:color w:val="C00000"/>
                <w:sz w:val="18"/>
                <w:szCs w:val="18"/>
              </w:rPr>
              <w:t xml:space="preserve">Critical</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None new.</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Clear statement: not a MES, not SCADA, not L2 replacement, not a BI dashboard.</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Safe language guidelines</w:t>
            </w:r>
          </w:p>
        </w:tc>
        <w:tc>
          <w:tcPr>
            <w:tcW w:type="dxa" w:w="70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bCs/>
                <w:color w:val="C55A11"/>
                <w:sz w:val="18"/>
                <w:szCs w:val="18"/>
              </w:rPr>
              <w:t xml:space="preserve">Important</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None new.</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All communications use 'suspected contributors' not 'root cause'; 'correlation' not 'prediction guarantee'.</w:t>
            </w:r>
          </w:p>
        </w:tc>
      </w:tr>
    </w:tbl>
    <w:p>
      <w:pPr>
        <w:spacing w:after="0" w:before="80"/>
      </w:pPr>
      <w:r>
        <w:t xml:space="preserve"/>
      </w:r>
    </w:p>
    <w:p>
      <w:pPr>
        <w:pStyle w:val="Heading3"/>
        <w:spacing w:after="100" w:before="240"/>
      </w:pPr>
      <w:r>
        <w:rPr>
          <w:rFonts w:ascii="Arial" w:cs="Arial" w:eastAsia="Arial" w:hAnsi="Arial"/>
          <w:b/>
          <w:bCs/>
          <w:color w:val="2F2F2F"/>
          <w:sz w:val="24"/>
          <w:szCs w:val="24"/>
        </w:rPr>
        <w:t xml:space="preserve">New Vision-Specific Gates (Updated from Latest Vision)</w:t>
      </w:r>
    </w:p>
    <w:p>
      <w:pPr>
        <w:spacing w:after="60" w:before="60"/>
        <w:jc w:val="both"/>
      </w:pPr>
      <w:r>
        <w:rPr>
          <w:rFonts w:ascii="Arial" w:cs="Arial" w:eastAsia="Arial" w:hAnsi="Arial"/>
          <w:b/>
          <w:bCs/>
          <w:color w:val="000000"/>
          <w:sz w:val="22"/>
          <w:szCs w:val="22"/>
        </w:rPr>
        <w:t xml:space="preserve">Two-stage import model in architecture diagram</w:t>
      </w:r>
    </w:p>
    <w:p>
      <w:pPr>
        <w:spacing w:after="60" w:before="60"/>
        <w:jc w:val="both"/>
      </w:pPr>
      <w:r>
        <w:rPr>
          <w:rFonts w:ascii="Arial" w:cs="Arial" w:eastAsia="Arial" w:hAnsi="Arial"/>
          <w:b w:val="false"/>
          <w:bCs w:val="false"/>
          <w:color w:val="333333"/>
          <w:sz w:val="22"/>
          <w:szCs w:val="22"/>
        </w:rPr>
        <w:t xml:space="preserve">The architecture diagram must show that the data flow has two distinct stages: first, raw source data is pulled into dump files (staging copies in original structure), and second, configured schema views transform and load data into the canonical model. This is central to the genericity promise and must be visible to customers from day one.</w:t>
      </w:r>
    </w:p>
    <w:p>
      <w:pPr>
        <w:spacing w:after="0" w:before="80"/>
      </w:pPr>
      <w:r>
        <w:t xml:space="preserve"/>
      </w:r>
    </w:p>
    <w:p>
      <w:pPr>
        <w:spacing w:after="60" w:before="60"/>
        <w:jc w:val="both"/>
      </w:pPr>
      <w:r>
        <w:rPr>
          <w:rFonts w:ascii="Arial" w:cs="Arial" w:eastAsia="Arial" w:hAnsi="Arial"/>
          <w:b/>
          <w:bCs/>
          <w:color w:val="000000"/>
          <w:sz w:val="22"/>
          <w:szCs w:val="22"/>
        </w:rPr>
        <w:t xml:space="preserve">Admin area concept described in story</w:t>
      </w:r>
    </w:p>
    <w:p>
      <w:pPr>
        <w:spacing w:after="60" w:before="60"/>
        <w:jc w:val="both"/>
      </w:pPr>
      <w:r>
        <w:rPr>
          <w:rFonts w:ascii="Arial" w:cs="Arial" w:eastAsia="Arial" w:hAnsi="Arial"/>
          <w:b w:val="false"/>
          <w:bCs w:val="false"/>
          <w:color w:val="333333"/>
          <w:sz w:val="22"/>
          <w:szCs w:val="22"/>
        </w:rPr>
        <w:t xml:space="preserve">The generic story must mention that every customer configures their own DB links, schema mappings, and monitoring pages through an Administrator section. Customers need to understand early that there is no hardcoded template — they own their configuration.</w:t>
      </w:r>
    </w:p>
    <w:p>
      <w:pPr>
        <w:spacing w:after="0" w:before="80"/>
      </w:pPr>
      <w:r>
        <w:t xml:space="preserve"/>
      </w:r>
    </w:p>
    <w:p>
      <w:pPr>
        <w:pStyle w:val="Heading3"/>
        <w:spacing w:after="100" w:before="240"/>
      </w:pPr>
      <w:r>
        <w:rPr>
          <w:rFonts w:ascii="Arial" w:cs="Arial" w:eastAsia="Arial" w:hAnsi="Arial"/>
          <w:b/>
          <w:bCs/>
          <w:color w:val="2F2F2F"/>
          <w:sz w:val="24"/>
          <w:szCs w:val="24"/>
        </w:rPr>
        <w:t xml:space="preserve">Commercial Messaging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20"/>
                <w:szCs w:val="20"/>
              </w:rPr>
              <w:t xml:space="preserve">You can say at this stage</w:t>
            </w:r>
          </w:p>
        </w:tc>
        <w:tc>
          <w:tcPr>
            <w:tcW w:type="dxa" w:w="46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20"/>
                <w:szCs w:val="20"/>
              </w:rPr>
              <w:t xml:space="preserve">You must NOT say yet</w:t>
            </w:r>
          </w:p>
        </w:tc>
      </w:tr>
      <w:tr>
        <w:tc>
          <w:tcPr>
            <w:tcW w:type="dxa" w:w="4680"/>
            <w:tcBorders>
              <w:top w:val="single" w:color="AAAAAA" w:sz="4"/>
              <w:left w:val="single" w:color="AAAAAA" w:sz="4"/>
              <w:bottom w:val="single" w:color="AAAAAA" w:sz="4"/>
              <w:right w:val="single" w:color="AAAAAA" w:sz="4"/>
            </w:tcBorders>
            <w:shd w:fill="F0FAF0" w:val="clear"/>
            <w:tcMar>
              <w:top w:type="dxa" w:w="60"/>
              <w:left w:type="dxa" w:w="110"/>
              <w:bottom w:type="dxa" w:w="60"/>
              <w:right w:type="dxa" w:w="110"/>
            </w:tcMar>
            <w:vAlign w:val="top"/>
          </w:tcPr>
          <w:p>
            <w:pPr>
              <w:spacing w:after="30" w:before="0"/>
            </w:pPr>
            <w:r>
              <w:rPr>
                <w:rFonts w:ascii="Arial" w:cs="Arial" w:eastAsia="Arial" w:hAnsi="Arial"/>
                <w:b w:val="false"/>
                <w:bCs w:val="false"/>
                <w:color w:val="375623"/>
                <w:sz w:val="20"/>
                <w:szCs w:val="20"/>
              </w:rPr>
              <w:t xml:space="preserve">✔  We are building a generic manufacturing quality-intelligence platform.</w:t>
            </w:r>
          </w:p>
        </w:tc>
        <w:tc>
          <w:tcPr>
            <w:tcW w:type="dxa" w:w="4680"/>
            <w:tcBorders>
              <w:top w:val="single" w:color="AAAAAA" w:sz="4"/>
              <w:left w:val="single" w:color="AAAAAA" w:sz="4"/>
              <w:bottom w:val="single" w:color="AAAAAA" w:sz="4"/>
              <w:right w:val="single" w:color="AAAAAA" w:sz="4"/>
            </w:tcBorders>
            <w:shd w:fill="FFF0F0" w:val="clear"/>
            <w:tcMar>
              <w:top w:type="dxa" w:w="60"/>
              <w:left w:type="dxa" w:w="110"/>
              <w:bottom w:type="dxa" w:w="60"/>
              <w:right w:type="dxa" w:w="110"/>
            </w:tcMar>
            <w:vAlign w:val="top"/>
          </w:tcPr>
          <w:p>
            <w:pPr>
              <w:spacing w:after="30" w:before="0"/>
            </w:pPr>
            <w:r>
              <w:rPr>
                <w:rFonts w:ascii="Arial" w:cs="Arial" w:eastAsia="Arial" w:hAnsi="Arial"/>
                <w:b w:val="false"/>
                <w:bCs w:val="false"/>
                <w:color w:val="C00000"/>
                <w:sz w:val="20"/>
                <w:szCs w:val="20"/>
              </w:rPr>
              <w:t xml:space="preserve">✘  We are ready to connect your live Oracle/MSSQL today.</w:t>
            </w:r>
          </w:p>
        </w:tc>
      </w:tr>
      <w:tr>
        <w:tc>
          <w:tcPr>
            <w:tcW w:type="dxa" w:w="4680"/>
            <w:tcBorders>
              <w:top w:val="single" w:color="AAAAAA" w:sz="4"/>
              <w:left w:val="single" w:color="AAAAAA" w:sz="4"/>
              <w:bottom w:val="single" w:color="AAAAAA" w:sz="4"/>
              <w:right w:val="single" w:color="AAAAAA" w:sz="4"/>
            </w:tcBorders>
            <w:shd w:fill="F0FAF0" w:val="clear"/>
            <w:tcMar>
              <w:top w:type="dxa" w:w="60"/>
              <w:left w:type="dxa" w:w="110"/>
              <w:bottom w:type="dxa" w:w="60"/>
              <w:right w:type="dxa" w:w="110"/>
            </w:tcMar>
            <w:vAlign w:val="top"/>
          </w:tcPr>
          <w:p>
            <w:pPr>
              <w:spacing w:after="30" w:before="0"/>
            </w:pPr>
            <w:r>
              <w:rPr>
                <w:rFonts w:ascii="Arial" w:cs="Arial" w:eastAsia="Arial" w:hAnsi="Arial"/>
                <w:b w:val="false"/>
                <w:bCs w:val="false"/>
                <w:color w:val="375623"/>
                <w:sz w:val="20"/>
                <w:szCs w:val="20"/>
              </w:rPr>
              <w:t xml:space="preserve">✔  The dashboard and correlation pages you see are working in our development environment.</w:t>
            </w:r>
          </w:p>
        </w:tc>
        <w:tc>
          <w:tcPr>
            <w:tcW w:type="dxa" w:w="4680"/>
            <w:tcBorders>
              <w:top w:val="single" w:color="AAAAAA" w:sz="4"/>
              <w:left w:val="single" w:color="AAAAAA" w:sz="4"/>
              <w:bottom w:val="single" w:color="AAAAAA" w:sz="4"/>
              <w:right w:val="single" w:color="AAAAAA" w:sz="4"/>
            </w:tcBorders>
            <w:shd w:fill="FFF0F0" w:val="clear"/>
            <w:tcMar>
              <w:top w:type="dxa" w:w="60"/>
              <w:left w:type="dxa" w:w="110"/>
              <w:bottom w:type="dxa" w:w="60"/>
              <w:right w:type="dxa" w:w="110"/>
            </w:tcMar>
            <w:vAlign w:val="top"/>
          </w:tcPr>
          <w:p>
            <w:pPr>
              <w:spacing w:after="30" w:before="0"/>
            </w:pPr>
            <w:r>
              <w:rPr>
                <w:rFonts w:ascii="Arial" w:cs="Arial" w:eastAsia="Arial" w:hAnsi="Arial"/>
                <w:b w:val="false"/>
                <w:bCs w:val="false"/>
                <w:color w:val="C00000"/>
                <w:sz w:val="20"/>
                <w:szCs w:val="20"/>
              </w:rPr>
              <w:t xml:space="preserve">✘  This is production-ready.</w:t>
            </w:r>
          </w:p>
        </w:tc>
      </w:tr>
      <w:tr>
        <w:tc>
          <w:tcPr>
            <w:tcW w:type="dxa" w:w="4680"/>
            <w:tcBorders>
              <w:top w:val="single" w:color="AAAAAA" w:sz="4"/>
              <w:left w:val="single" w:color="AAAAAA" w:sz="4"/>
              <w:bottom w:val="single" w:color="AAAAAA" w:sz="4"/>
              <w:right w:val="single" w:color="AAAAAA" w:sz="4"/>
            </w:tcBorders>
            <w:shd w:fill="F0FAF0" w:val="clear"/>
            <w:tcMar>
              <w:top w:type="dxa" w:w="60"/>
              <w:left w:type="dxa" w:w="110"/>
              <w:bottom w:type="dxa" w:w="60"/>
              <w:right w:type="dxa" w:w="110"/>
            </w:tcMar>
            <w:vAlign w:val="top"/>
          </w:tcPr>
          <w:p>
            <w:pPr>
              <w:spacing w:after="30" w:before="0"/>
            </w:pPr>
            <w:r>
              <w:rPr>
                <w:rFonts w:ascii="Arial" w:cs="Arial" w:eastAsia="Arial" w:hAnsi="Arial"/>
                <w:b w:val="false"/>
                <w:bCs w:val="false"/>
                <w:color w:val="375623"/>
                <w:sz w:val="20"/>
                <w:szCs w:val="20"/>
              </w:rPr>
              <w:t xml:space="preserve">✔  Our architecture is designed for any plant: steel, aluminum, pharma, tire, paper, food.</w:t>
            </w:r>
          </w:p>
        </w:tc>
        <w:tc>
          <w:tcPr>
            <w:tcW w:type="dxa" w:w="4680"/>
            <w:tcBorders>
              <w:top w:val="single" w:color="AAAAAA" w:sz="4"/>
              <w:left w:val="single" w:color="AAAAAA" w:sz="4"/>
              <w:bottom w:val="single" w:color="AAAAAA" w:sz="4"/>
              <w:right w:val="single" w:color="AAAAAA" w:sz="4"/>
            </w:tcBorders>
            <w:shd w:fill="FFF0F0" w:val="clear"/>
            <w:tcMar>
              <w:top w:type="dxa" w:w="60"/>
              <w:left w:type="dxa" w:w="110"/>
              <w:bottom w:type="dxa" w:w="60"/>
              <w:right w:type="dxa" w:w="110"/>
            </w:tcMar>
            <w:vAlign w:val="top"/>
          </w:tcPr>
          <w:p>
            <w:pPr>
              <w:spacing w:after="30" w:before="0"/>
            </w:pPr>
            <w:r>
              <w:rPr>
                <w:rFonts w:ascii="Arial" w:cs="Arial" w:eastAsia="Arial" w:hAnsi="Arial"/>
                <w:b w:val="false"/>
                <w:bCs w:val="false"/>
                <w:color w:val="C00000"/>
                <w:sz w:val="20"/>
                <w:szCs w:val="20"/>
              </w:rPr>
              <w:t xml:space="preserve">✘  We have already deployed this at a reference customer.</w:t>
            </w:r>
          </w:p>
        </w:tc>
      </w:tr>
    </w:tbl>
    <w:p>
      <w:pPr>
        <w:spacing w:after="0" w:before="80"/>
      </w:pPr>
      <w:r>
        <w:t xml:space="preserve"/>
      </w:r>
    </w:p>
    <w:p>
      <w:pPr>
        <w:pStyle w:val="Heading3"/>
        <w:spacing w:after="100" w:before="240"/>
      </w:pPr>
      <w:r>
        <w:rPr>
          <w:rFonts w:ascii="Arial" w:cs="Arial" w:eastAsia="Arial" w:hAnsi="Arial"/>
          <w:b/>
          <w:bCs/>
          <w:color w:val="2F2F2F"/>
          <w:sz w:val="24"/>
          <w:szCs w:val="24"/>
        </w:rPr>
        <w:t xml:space="preserve">Risk if Stage Is Rushed or Skipped</w:t>
      </w:r>
    </w:p>
    <w:p>
      <w:pPr>
        <w:pStyle w:val="ListParagraph"/>
        <w:numPr>
          <w:ilvl w:val="0"/>
          <w:numId w:val="2"/>
        </w:numPr>
        <w:spacing w:after="40" w:before="40"/>
      </w:pPr>
      <w:r>
        <w:rPr>
          <w:rFonts w:ascii="Arial" w:cs="Arial" w:eastAsia="Arial" w:hAnsi="Arial"/>
          <w:b w:val="false"/>
          <w:bCs w:val="false"/>
          <w:sz w:val="22"/>
          <w:szCs w:val="22"/>
        </w:rPr>
        <w:t xml:space="preserve">Starting demo-based sales before Stage 1 is complete means customers may encounter rough UI states or inaccurate claims about connector readiness.</w:t>
      </w:r>
    </w:p>
    <w:p>
      <w:pPr>
        <w:pStyle w:val="ListParagraph"/>
        <w:numPr>
          <w:ilvl w:val="0"/>
          <w:numId w:val="2"/>
        </w:numPr>
        <w:spacing w:after="40" w:before="40"/>
      </w:pPr>
      <w:r>
        <w:rPr>
          <w:rFonts w:ascii="Arial" w:cs="Arial" w:eastAsia="Arial" w:hAnsi="Arial"/>
          <w:b w:val="false"/>
          <w:bCs w:val="false"/>
          <w:sz w:val="22"/>
          <w:szCs w:val="22"/>
        </w:rPr>
        <w:t xml:space="preserve">Claiming live DB connector readiness too early destroys trust when IT discovers it is not ready.</w:t>
      </w:r>
    </w:p>
    <w:p>
      <w:pPr>
        <w:pStyle w:val="ListParagraph"/>
        <w:numPr>
          <w:ilvl w:val="0"/>
          <w:numId w:val="2"/>
        </w:numPr>
        <w:spacing w:after="40" w:before="40"/>
      </w:pPr>
      <w:r>
        <w:rPr>
          <w:rFonts w:ascii="Arial" w:cs="Arial" w:eastAsia="Arial" w:hAnsi="Arial"/>
          <w:b w:val="false"/>
          <w:bCs w:val="false"/>
          <w:sz w:val="22"/>
          <w:szCs w:val="22"/>
        </w:rPr>
        <w:t xml:space="preserve">Not having the architecture diagram forces ad-hoc explanations that may contradict each other across conversations.</w:t>
      </w:r>
    </w:p>
    <w:p>
      <w:pPr>
        <w:spacing w:after="0" w:before="80"/>
      </w:pPr>
      <w:r>
        <w:t xml:space="preserve"/>
      </w:r>
    </w:p>
    <w:p>
      <w:pPr>
        <w:pStyle w:val="Heading3"/>
        <w:spacing w:after="100" w:before="240"/>
      </w:pPr>
      <w:r>
        <w:rPr>
          <w:rFonts w:ascii="Arial" w:cs="Arial" w:eastAsia="Arial" w:hAnsi="Arial"/>
          <w:b/>
          <w:bCs/>
          <w:color w:val="2F2F2F"/>
          <w:sz w:val="24"/>
          <w:szCs w:val="24"/>
        </w:rPr>
        <w:t xml:space="preserve">Exit Criteria — When You Are Ready to Advance</w:t>
      </w:r>
    </w:p>
    <w:p>
      <w:pPr>
        <w:pStyle w:val="ListParagraph"/>
        <w:numPr>
          <w:ilvl w:val="0"/>
          <w:numId w:val="2"/>
        </w:numPr>
        <w:spacing w:after="40" w:before="40"/>
      </w:pPr>
      <w:r>
        <w:rPr>
          <w:rFonts w:ascii="Arial" w:cs="Arial" w:eastAsia="Arial" w:hAnsi="Arial"/>
          <w:b w:val="false"/>
          <w:bCs w:val="false"/>
          <w:sz w:val="22"/>
          <w:szCs w:val="22"/>
        </w:rPr>
        <w:t xml:space="preserve">Five clean product screenshots are produced and reviewed.</w:t>
      </w:r>
    </w:p>
    <w:p>
      <w:pPr>
        <w:pStyle w:val="ListParagraph"/>
        <w:numPr>
          <w:ilvl w:val="0"/>
          <w:numId w:val="2"/>
        </w:numPr>
        <w:spacing w:after="40" w:before="40"/>
      </w:pPr>
      <w:r>
        <w:rPr>
          <w:rFonts w:ascii="Arial" w:cs="Arial" w:eastAsia="Arial" w:hAnsi="Arial"/>
          <w:b w:val="false"/>
          <w:bCs w:val="false"/>
          <w:sz w:val="22"/>
          <w:szCs w:val="22"/>
        </w:rPr>
        <w:t xml:space="preserve">Architecture diagram is complete and reviewed by a non-technical stakeholder.</w:t>
      </w:r>
    </w:p>
    <w:p>
      <w:pPr>
        <w:pStyle w:val="ListParagraph"/>
        <w:numPr>
          <w:ilvl w:val="0"/>
          <w:numId w:val="2"/>
        </w:numPr>
        <w:spacing w:after="40" w:before="40"/>
      </w:pPr>
      <w:r>
        <w:rPr>
          <w:rFonts w:ascii="Arial" w:cs="Arial" w:eastAsia="Arial" w:hAnsi="Arial"/>
          <w:b w:val="false"/>
          <w:bCs w:val="false"/>
          <w:sz w:val="22"/>
          <w:szCs w:val="22"/>
        </w:rPr>
        <w:t xml:space="preserve">Generic industry story is written, reviewed, and approved for outreach.</w:t>
      </w:r>
    </w:p>
    <w:p>
      <w:pPr>
        <w:pStyle w:val="ListParagraph"/>
        <w:numPr>
          <w:ilvl w:val="0"/>
          <w:numId w:val="2"/>
        </w:numPr>
        <w:spacing w:after="40" w:before="40"/>
      </w:pPr>
      <w:r>
        <w:rPr>
          <w:rFonts w:ascii="Arial" w:cs="Arial" w:eastAsia="Arial" w:hAnsi="Arial"/>
          <w:b w:val="false"/>
          <w:bCs w:val="false"/>
          <w:sz w:val="22"/>
          <w:szCs w:val="22"/>
        </w:rPr>
        <w:t xml:space="preserve">Non-goals statement is published or included in all outreach materials.</w:t>
      </w:r>
    </w:p>
    <w:p>
      <w:pPr>
        <w:pStyle w:val="ListParagraph"/>
        <w:numPr>
          <w:ilvl w:val="0"/>
          <w:numId w:val="2"/>
        </w:numPr>
        <w:spacing w:after="40" w:before="40"/>
      </w:pPr>
      <w:r>
        <w:rPr>
          <w:rFonts w:ascii="Arial" w:cs="Arial" w:eastAsia="Arial" w:hAnsi="Arial"/>
          <w:b w:val="false"/>
          <w:bCs w:val="false"/>
          <w:sz w:val="22"/>
          <w:szCs w:val="22"/>
        </w:rPr>
        <w:t xml:space="preserve">At least three discovery call prospects have been identified and scheduled.</w:t>
      </w:r>
    </w:p>
    <w:p>
      <w:pPr>
        <w:pBdr>
          <w:bottom w:val="single" w:color="CCCCCC" w:sz="6" w:space="4"/>
        </w:pBdr>
        <w:spacing w:after="80" w:before="80"/>
      </w:pPr>
      <w:r>
        <w:t xml:space="preserve"/>
      </w:r>
    </w:p>
    <w:p>
      <w:pPr>
        <w:pBdr>
          <w:top w:val="single" w:color="2E75B6" w:sz="12"/>
          <w:bottom w:val="single" w:color="2E75B6" w:sz="12"/>
        </w:pBdr>
        <w:shd w:fill="DAEEF3" w:val="clear"/>
        <w:spacing w:after="0" w:before="280"/>
        <w:ind w:left="200" w:right="200"/>
      </w:pPr>
      <w:r>
        <w:rPr>
          <w:rFonts w:ascii="Arial" w:cs="Arial" w:eastAsia="Arial" w:hAnsi="Arial"/>
          <w:b/>
          <w:bCs/>
          <w:color w:val="1F3864"/>
          <w:sz w:val="32"/>
          <w:szCs w:val="32"/>
        </w:rPr>
        <w:t xml:space="preserve">Stage 2  </w:t>
      </w:r>
      <w:r>
        <w:rPr>
          <w:rFonts w:ascii="Arial" w:cs="Arial" w:eastAsia="Arial" w:hAnsi="Arial"/>
          <w:b/>
          <w:bCs/>
          <w:color w:val="2E75B6"/>
          <w:sz w:val="32"/>
          <w:szCs w:val="32"/>
        </w:rPr>
        <w:t xml:space="preserve">Customer Discovery</w:t>
      </w:r>
    </w:p>
    <w:p>
      <w:pPr>
        <w:shd w:fill="DAEEF3" w:val="clear"/>
        <w:spacing w:after="200" w:before="0"/>
        <w:ind w:left="200"/>
      </w:pPr>
      <w:r>
        <w:rPr>
          <w:rFonts w:ascii="Arial" w:cs="Arial" w:eastAsia="Arial" w:hAnsi="Arial"/>
          <w:color w:val="505050"/>
          <w:sz w:val="22"/>
          <w:szCs w:val="22"/>
        </w:rPr>
        <w:t xml:space="preserve">Timing: After Tasks 1–26 pass AND Admin area navigation shell (A-01) is visible.</w:t>
      </w:r>
    </w:p>
    <w:p>
      <w:pPr>
        <w:pStyle w:val="Heading3"/>
        <w:spacing w:after="100" w:before="240"/>
      </w:pPr>
      <w:r>
        <w:rPr>
          <w:rFonts w:ascii="Arial" w:cs="Arial" w:eastAsia="Arial" w:hAnsi="Arial"/>
          <w:b/>
          <w:bCs/>
          <w:color w:val="2F2F2F"/>
          <w:sz w:val="24"/>
          <w:szCs w:val="24"/>
        </w:rPr>
        <w:t xml:space="preserve">Business Objective</w:t>
      </w:r>
    </w:p>
    <w:p>
      <w:pPr>
        <w:pStyle w:val="ListParagraph"/>
        <w:numPr>
          <w:ilvl w:val="0"/>
          <w:numId w:val="2"/>
        </w:numPr>
        <w:spacing w:after="40" w:before="40"/>
      </w:pPr>
      <w:r>
        <w:rPr>
          <w:rFonts w:ascii="Arial" w:cs="Arial" w:eastAsia="Arial" w:hAnsi="Arial"/>
          <w:b w:val="false"/>
          <w:bCs w:val="false"/>
          <w:sz w:val="22"/>
          <w:szCs w:val="22"/>
        </w:rPr>
        <w:t xml:space="preserve">Understand customer pain points in depth: what systems do they have, what data is fragmented, what defects are hardest to investigate.</w:t>
      </w:r>
    </w:p>
    <w:p>
      <w:pPr>
        <w:pStyle w:val="ListParagraph"/>
        <w:numPr>
          <w:ilvl w:val="0"/>
          <w:numId w:val="2"/>
        </w:numPr>
        <w:spacing w:after="40" w:before="40"/>
      </w:pPr>
      <w:r>
        <w:rPr>
          <w:rFonts w:ascii="Arial" w:cs="Arial" w:eastAsia="Arial" w:hAnsi="Arial"/>
          <w:b w:val="false"/>
          <w:bCs w:val="false"/>
          <w:sz w:val="22"/>
          <w:szCs w:val="22"/>
        </w:rPr>
        <w:t xml:space="preserve">Validate that the UI/HMI looks professional and that customers can imagine their own plant data inside it.</w:t>
      </w:r>
    </w:p>
    <w:p>
      <w:pPr>
        <w:pStyle w:val="ListParagraph"/>
        <w:numPr>
          <w:ilvl w:val="0"/>
          <w:numId w:val="2"/>
        </w:numPr>
        <w:spacing w:after="40" w:before="40"/>
      </w:pPr>
      <w:r>
        <w:rPr>
          <w:rFonts w:ascii="Arial" w:cs="Arial" w:eastAsia="Arial" w:hAnsi="Arial"/>
          <w:b w:val="false"/>
          <w:bCs w:val="false"/>
          <w:sz w:val="22"/>
          <w:szCs w:val="22"/>
        </w:rPr>
        <w:t xml:space="preserve">Test the generic industry mapping story — can a pharma, tire, or paper customer see themselves in the product?</w:t>
      </w:r>
    </w:p>
    <w:p>
      <w:pPr>
        <w:pStyle w:val="ListParagraph"/>
        <w:numPr>
          <w:ilvl w:val="0"/>
          <w:numId w:val="2"/>
        </w:numPr>
        <w:spacing w:after="40" w:before="40"/>
      </w:pPr>
      <w:r>
        <w:rPr>
          <w:rFonts w:ascii="Arial" w:cs="Arial" w:eastAsia="Arial" w:hAnsi="Arial"/>
          <w:b w:val="false"/>
          <w:bCs w:val="false"/>
          <w:sz w:val="22"/>
          <w:szCs w:val="22"/>
        </w:rPr>
        <w:t xml:space="preserve">Identify IT constraints, data access methods, security requirements, and decision-making process.</w:t>
      </w:r>
    </w:p>
    <w:p>
      <w:pPr>
        <w:pStyle w:val="ListParagraph"/>
        <w:numPr>
          <w:ilvl w:val="0"/>
          <w:numId w:val="2"/>
        </w:numPr>
        <w:spacing w:after="40" w:before="40"/>
      </w:pPr>
      <w:r>
        <w:rPr>
          <w:rFonts w:ascii="Arial" w:cs="Arial" w:eastAsia="Arial" w:hAnsi="Arial"/>
          <w:b w:val="false"/>
          <w:bCs w:val="false"/>
          <w:sz w:val="22"/>
          <w:szCs w:val="22"/>
        </w:rPr>
        <w:t xml:space="preserve">Produce a discovery questionnaire and UI/HMI feedback checklist for structured interviews.</w:t>
      </w:r>
    </w:p>
    <w:p>
      <w:pPr>
        <w:pStyle w:val="ListParagraph"/>
        <w:numPr>
          <w:ilvl w:val="0"/>
          <w:numId w:val="2"/>
        </w:numPr>
        <w:spacing w:after="40" w:before="40"/>
      </w:pPr>
      <w:r>
        <w:rPr>
          <w:rFonts w:ascii="Arial" w:cs="Arial" w:eastAsia="Arial" w:hAnsi="Arial"/>
          <w:b w:val="false"/>
          <w:bCs w:val="false"/>
          <w:sz w:val="22"/>
          <w:szCs w:val="22"/>
        </w:rPr>
        <w:t xml:space="preserve">Collect enough information to scope a realistic readiness assessment proposal for Stage 4.</w:t>
      </w:r>
    </w:p>
    <w:p>
      <w:pPr>
        <w:spacing w:after="0" w:before="80"/>
      </w:pPr>
      <w:r>
        <w:t xml:space="preserve"/>
      </w:r>
    </w:p>
    <w:p>
      <w:pPr>
        <w:pStyle w:val="Heading3"/>
        <w:spacing w:after="100" w:before="240"/>
      </w:pPr>
      <w:r>
        <w:rPr>
          <w:rFonts w:ascii="Arial" w:cs="Arial" w:eastAsia="Arial" w:hAnsi="Arial"/>
          <w:b/>
          <w:bCs/>
          <w:color w:val="2F2F2F"/>
          <w:sz w:val="24"/>
          <w:szCs w:val="24"/>
        </w:rPr>
        <w:t xml:space="preserve">Prerequisites — What Must Be Done First</w:t>
      </w:r>
    </w:p>
    <w:p>
      <w:pPr>
        <w:pStyle w:val="ListParagraph"/>
        <w:numPr>
          <w:ilvl w:val="0"/>
          <w:numId w:val="2"/>
        </w:numPr>
        <w:spacing w:after="40" w:before="40"/>
      </w:pPr>
      <w:r>
        <w:rPr>
          <w:rFonts w:ascii="Arial" w:cs="Arial" w:eastAsia="Arial" w:hAnsi="Arial"/>
          <w:b w:val="false"/>
          <w:bCs w:val="false"/>
          <w:sz w:val="22"/>
          <w:szCs w:val="22"/>
        </w:rPr>
        <w:t xml:space="preserve">Phase 0 (Tasks 1–9): Build validation and smoke tests all pass.</w:t>
      </w:r>
    </w:p>
    <w:p>
      <w:pPr>
        <w:pStyle w:val="ListParagraph"/>
        <w:numPr>
          <w:ilvl w:val="0"/>
          <w:numId w:val="2"/>
        </w:numPr>
        <w:spacing w:after="40" w:before="40"/>
      </w:pPr>
      <w:r>
        <w:rPr>
          <w:rFonts w:ascii="Arial" w:cs="Arial" w:eastAsia="Arial" w:hAnsi="Arial"/>
          <w:b w:val="false"/>
          <w:bCs w:val="false"/>
          <w:sz w:val="22"/>
          <w:szCs w:val="22"/>
        </w:rPr>
        <w:t xml:space="preserve">Phase 1 (Tasks 18–26): Widget wizard is complete end-to-end; dashboard saves and reloads correctly; layout persists to backend.</w:t>
      </w:r>
    </w:p>
    <w:p>
      <w:pPr>
        <w:pStyle w:val="ListParagraph"/>
        <w:numPr>
          <w:ilvl w:val="0"/>
          <w:numId w:val="2"/>
        </w:numPr>
        <w:spacing w:after="40" w:before="40"/>
      </w:pPr>
      <w:r>
        <w:rPr>
          <w:rFonts w:ascii="Arial" w:cs="Arial" w:eastAsia="Arial" w:hAnsi="Arial"/>
          <w:b w:val="false"/>
          <w:bCs w:val="false"/>
          <w:sz w:val="22"/>
          <w:szCs w:val="22"/>
        </w:rPr>
        <w:t xml:space="preserve">Admin area shell (A-01): Navigation routing to Admin section exists, even if pages are not yet functional.</w:t>
      </w:r>
    </w:p>
    <w:p>
      <w:pPr>
        <w:pStyle w:val="ListParagraph"/>
        <w:numPr>
          <w:ilvl w:val="0"/>
          <w:numId w:val="2"/>
        </w:numPr>
        <w:spacing w:after="40" w:before="40"/>
      </w:pPr>
      <w:r>
        <w:rPr>
          <w:rFonts w:ascii="Arial" w:cs="Arial" w:eastAsia="Arial" w:hAnsi="Arial"/>
          <w:b w:val="false"/>
          <w:bCs w:val="false"/>
          <w:sz w:val="22"/>
          <w:szCs w:val="22"/>
        </w:rPr>
        <w:t xml:space="preserve">Synthetic demo data is loaded and produces meaningful dashboard insights.</w:t>
      </w:r>
    </w:p>
    <w:p>
      <w:pPr>
        <w:pStyle w:val="ListParagraph"/>
        <w:numPr>
          <w:ilvl w:val="0"/>
          <w:numId w:val="2"/>
        </w:numPr>
        <w:spacing w:after="40" w:before="40"/>
      </w:pPr>
      <w:r>
        <w:rPr>
          <w:rFonts w:ascii="Arial" w:cs="Arial" w:eastAsia="Arial" w:hAnsi="Arial"/>
          <w:b w:val="false"/>
          <w:bCs w:val="false"/>
          <w:sz w:val="22"/>
          <w:szCs w:val="22"/>
        </w:rPr>
        <w:t xml:space="preserve">Discovery questionnaire is prepared covering: source systems, data access, defect families, KPI definitions, IT constraints.</w:t>
      </w:r>
    </w:p>
    <w:p>
      <w:pPr>
        <w:spacing w:after="0" w:before="80"/>
      </w:pPr>
      <w:r>
        <w:t xml:space="preserve"/>
      </w:r>
    </w:p>
    <w:p>
      <w:pPr>
        <w:pStyle w:val="Heading3"/>
        <w:spacing w:after="100" w:before="240"/>
      </w:pPr>
      <w:r>
        <w:rPr>
          <w:rFonts w:ascii="Arial" w:cs="Arial" w:eastAsia="Arial" w:hAnsi="Arial"/>
          <w:b/>
          <w:bCs/>
          <w:color w:val="2F2F2F"/>
          <w:sz w:val="24"/>
          <w:szCs w:val="24"/>
        </w:rPr>
        <w:t xml:space="preserve">Technical Readiness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2400"/>
        <w:gridCol w:w="3660"/>
      </w:tblGrid>
      <w:tr>
        <w:tc>
          <w:tcPr>
            <w:tcW w:type="dxa" w:w="26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20"/>
                <w:szCs w:val="20"/>
              </w:rPr>
              <w:t xml:space="preserve">Readiness Item</w:t>
            </w:r>
          </w:p>
        </w:tc>
        <w:tc>
          <w:tcPr>
            <w:tcW w:type="dxa" w:w="7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20"/>
                <w:szCs w:val="20"/>
              </w:rPr>
              <w:t xml:space="preserve">Priority</w:t>
            </w:r>
          </w:p>
        </w:tc>
        <w:tc>
          <w:tcPr>
            <w:tcW w:type="dxa" w:w="24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20"/>
                <w:szCs w:val="20"/>
              </w:rPr>
              <w:t xml:space="preserve">Vision-Specific Gate</w:t>
            </w:r>
          </w:p>
        </w:tc>
        <w:tc>
          <w:tcPr>
            <w:tcW w:type="dxa" w:w="366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20"/>
                <w:szCs w:val="20"/>
              </w:rPr>
              <w:t xml:space="preserve">Acceptance Criteria</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Backend build: zero errors</w:t>
            </w:r>
          </w:p>
        </w:tc>
        <w:tc>
          <w:tcPr>
            <w:tcW w:type="dxa" w:w="70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center"/>
            </w:pPr>
            <w:r>
              <w:rPr>
                <w:rFonts w:ascii="Arial" w:cs="Arial" w:eastAsia="Arial" w:hAnsi="Arial"/>
                <w:b/>
                <w:bCs/>
                <w:color w:val="C00000"/>
                <w:sz w:val="18"/>
                <w:szCs w:val="18"/>
              </w:rPr>
              <w:t xml:space="preserve">Critical</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None new.</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dotnet build passes with zero errors on all 5 projects.</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Frontend build: zero errors</w:t>
            </w:r>
          </w:p>
        </w:tc>
        <w:tc>
          <w:tcPr>
            <w:tcW w:type="dxa" w:w="70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center"/>
            </w:pPr>
            <w:r>
              <w:rPr>
                <w:rFonts w:ascii="Arial" w:cs="Arial" w:eastAsia="Arial" w:hAnsi="Arial"/>
                <w:b/>
                <w:bCs/>
                <w:color w:val="C00000"/>
                <w:sz w:val="18"/>
                <w:szCs w:val="18"/>
              </w:rPr>
              <w:t xml:space="preserve">Critical</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None new.</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npm run build succeeds with zero TypeScript errors.</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Database migrations applied</w:t>
            </w:r>
          </w:p>
        </w:tc>
        <w:tc>
          <w:tcPr>
            <w:tcW w:type="dxa" w:w="70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center"/>
            </w:pPr>
            <w:r>
              <w:rPr>
                <w:rFonts w:ascii="Arial" w:cs="Arial" w:eastAsia="Arial" w:hAnsi="Arial"/>
                <w:b/>
                <w:bCs/>
                <w:color w:val="C00000"/>
                <w:sz w:val="18"/>
                <w:szCs w:val="18"/>
              </w:rPr>
              <w:t xml:space="preserve">Critical</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None new.</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/db-health endpoint returns OK after latest migration.</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Smoke test: all critical API endpoints</w:t>
            </w:r>
          </w:p>
        </w:tc>
        <w:tc>
          <w:tcPr>
            <w:tcW w:type="dxa" w:w="70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center"/>
            </w:pPr>
            <w:r>
              <w:rPr>
                <w:rFonts w:ascii="Arial" w:cs="Arial" w:eastAsia="Arial" w:hAnsi="Arial"/>
                <w:b/>
                <w:bCs/>
                <w:color w:val="C00000"/>
                <w:sz w:val="18"/>
                <w:szCs w:val="18"/>
              </w:rPr>
              <w:t xml:space="preserve">Critical</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None new.</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Health, dashboard, widget query, correlation, investigation, data quality, and PDF endpoints return valid responses.</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Browser smoke test: dashboard UI</w:t>
            </w:r>
          </w:p>
        </w:tc>
        <w:tc>
          <w:tcPr>
            <w:tcW w:type="dxa" w:w="70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center"/>
            </w:pPr>
            <w:r>
              <w:rPr>
                <w:rFonts w:ascii="Arial" w:cs="Arial" w:eastAsia="Arial" w:hAnsi="Arial"/>
                <w:b/>
                <w:bCs/>
                <w:color w:val="C00000"/>
                <w:sz w:val="18"/>
                <w:szCs w:val="18"/>
              </w:rPr>
              <w:t xml:space="preserve">Critical</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None new.</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Dashboard pages load, filters work, charts render, wizard opens and navigates all steps.</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Widget wizard: complete end-to-end</w:t>
            </w:r>
          </w:p>
        </w:tc>
        <w:tc>
          <w:tcPr>
            <w:tcW w:type="dxa" w:w="70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center"/>
            </w:pPr>
            <w:r>
              <w:rPr>
                <w:rFonts w:ascii="Arial" w:cs="Arial" w:eastAsia="Arial" w:hAnsi="Arial"/>
                <w:b/>
                <w:bCs/>
                <w:color w:val="C00000"/>
                <w:sz w:val="18"/>
                <w:szCs w:val="18"/>
              </w:rPr>
              <w:t xml:space="preserve">Critical</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None new.</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User can select chart type, configure dimension/measure, set filters, preview data, save widget, and see it survive browser refresh.</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Dashboard layout: persisted to backend</w:t>
            </w:r>
          </w:p>
        </w:tc>
        <w:tc>
          <w:tcPr>
            <w:tcW w:type="dxa" w:w="70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center"/>
            </w:pPr>
            <w:r>
              <w:rPr>
                <w:rFonts w:ascii="Arial" w:cs="Arial" w:eastAsia="Arial" w:hAnsi="Arial"/>
                <w:b/>
                <w:bCs/>
                <w:color w:val="C00000"/>
                <w:sz w:val="18"/>
                <w:szCs w:val="18"/>
              </w:rPr>
              <w:t xml:space="preserve">Critical</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None new.</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Grid layout survives browser and device change — not relying only on localStorage.</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Synthetic demo data</w:t>
            </w:r>
          </w:p>
        </w:tc>
        <w:tc>
          <w:tcPr>
            <w:tcW w:type="dxa" w:w="70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bCs/>
                <w:color w:val="C55A11"/>
                <w:sz w:val="18"/>
                <w:szCs w:val="18"/>
              </w:rPr>
              <w:t xml:space="preserve">Important</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None new.</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Fresh DB with realistic manufacturing patterns produces interesting correlation and risk insights.</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Admin area shell visible</w:t>
            </w:r>
          </w:p>
        </w:tc>
        <w:tc>
          <w:tcPr>
            <w:tcW w:type="dxa" w:w="70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bCs/>
                <w:color w:val="C55A11"/>
                <w:sz w:val="18"/>
                <w:szCs w:val="18"/>
              </w:rPr>
              <w:t xml:space="preserve">Important</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NEW: Vision §1 requires Admin area. Customers will ask about DB configuration.</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Admin navigation item exists; routes to Admin section. Sub-pages may be placeholder but routing works.</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Discovery questionnaire prepared</w:t>
            </w:r>
          </w:p>
        </w:tc>
        <w:tc>
          <w:tcPr>
            <w:tcW w:type="dxa" w:w="70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bCs/>
                <w:color w:val="C55A11"/>
                <w:sz w:val="18"/>
                <w:szCs w:val="18"/>
              </w:rPr>
              <w:t xml:space="preserve">Important</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None new.</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Questionnaire covers systems, data, defects, KPIs, genealogy, IT constraints, and decision process.</w:t>
            </w:r>
          </w:p>
        </w:tc>
      </w:tr>
    </w:tbl>
    <w:p>
      <w:pPr>
        <w:spacing w:after="0" w:before="80"/>
      </w:pPr>
      <w:r>
        <w:t xml:space="preserve"/>
      </w:r>
    </w:p>
    <w:p>
      <w:pPr>
        <w:pStyle w:val="Heading3"/>
        <w:spacing w:after="100" w:before="240"/>
      </w:pPr>
      <w:r>
        <w:rPr>
          <w:rFonts w:ascii="Arial" w:cs="Arial" w:eastAsia="Arial" w:hAnsi="Arial"/>
          <w:b/>
          <w:bCs/>
          <w:color w:val="2F2F2F"/>
          <w:sz w:val="24"/>
          <w:szCs w:val="24"/>
        </w:rPr>
        <w:t xml:space="preserve">New Vision-Specific Gates (Updated from Latest Vision)</w:t>
      </w:r>
    </w:p>
    <w:p>
      <w:pPr>
        <w:spacing w:after="60" w:before="60"/>
        <w:jc w:val="both"/>
      </w:pPr>
      <w:r>
        <w:rPr>
          <w:rFonts w:ascii="Arial" w:cs="Arial" w:eastAsia="Arial" w:hAnsi="Arial"/>
          <w:b/>
          <w:bCs/>
          <w:color w:val="000000"/>
          <w:sz w:val="22"/>
          <w:szCs w:val="22"/>
        </w:rPr>
        <w:t xml:space="preserve">Admin area shell must be visible to customers</w:t>
      </w:r>
    </w:p>
    <w:p>
      <w:pPr>
        <w:spacing w:after="60" w:before="60"/>
        <w:jc w:val="both"/>
      </w:pPr>
      <w:r>
        <w:rPr>
          <w:rFonts w:ascii="Arial" w:cs="Arial" w:eastAsia="Arial" w:hAnsi="Arial"/>
          <w:b w:val="false"/>
          <w:bCs w:val="false"/>
          <w:color w:val="333333"/>
          <w:sz w:val="22"/>
          <w:szCs w:val="22"/>
        </w:rPr>
        <w:t xml:space="preserve">When a customer asks 'where do I configure my databases?' or 'how does my data get in?', you must be able to navigate to the Admin section and show them the planned structure — even if DB Link Configuration and Schema Configuration pages are not yet functional. Showing a placeholder page with the correct navigation structure is far better than having no answer.</w:t>
      </w:r>
    </w:p>
    <w:p>
      <w:pPr>
        <w:spacing w:after="0" w:before="80"/>
      </w:pPr>
      <w:r>
        <w:t xml:space="preserve"/>
      </w:r>
    </w:p>
    <w:p>
      <w:pPr>
        <w:spacing w:after="60" w:before="60"/>
        <w:jc w:val="both"/>
      </w:pPr>
      <w:r>
        <w:rPr>
          <w:rFonts w:ascii="Arial" w:cs="Arial" w:eastAsia="Arial" w:hAnsi="Arial"/>
          <w:b/>
          <w:bCs/>
          <w:color w:val="000000"/>
          <w:sz w:val="22"/>
          <w:szCs w:val="22"/>
        </w:rPr>
        <w:t xml:space="preserve">Generic industry mapping explained with Admin area in context</w:t>
      </w:r>
    </w:p>
    <w:p>
      <w:pPr>
        <w:spacing w:after="60" w:before="60"/>
        <w:jc w:val="both"/>
      </w:pPr>
      <w:r>
        <w:rPr>
          <w:rFonts w:ascii="Arial" w:cs="Arial" w:eastAsia="Arial" w:hAnsi="Arial"/>
          <w:b w:val="false"/>
          <w:bCs w:val="false"/>
          <w:color w:val="333333"/>
          <w:sz w:val="22"/>
          <w:szCs w:val="22"/>
        </w:rPr>
        <w:t xml:space="preserve">The discovery script must include a walk-through of the two-stage data flow: 'In the Admin area, your IT team will set up DB links to your MES, historian, and inspection systems. The data comes in as dump files. Then your process engineers write schema mapping views to connect that data to our canonical model.' This must be demonstrable in the UI shell.</w:t>
      </w:r>
    </w:p>
    <w:p>
      <w:pPr>
        <w:spacing w:after="0" w:before="80"/>
      </w:pPr>
      <w:r>
        <w:t xml:space="preserve"/>
      </w:r>
    </w:p>
    <w:p>
      <w:pPr>
        <w:pStyle w:val="Heading3"/>
        <w:spacing w:after="100" w:before="240"/>
      </w:pPr>
      <w:r>
        <w:rPr>
          <w:rFonts w:ascii="Arial" w:cs="Arial" w:eastAsia="Arial" w:hAnsi="Arial"/>
          <w:b/>
          <w:bCs/>
          <w:color w:val="2F2F2F"/>
          <w:sz w:val="24"/>
          <w:szCs w:val="24"/>
        </w:rPr>
        <w:t xml:space="preserve">Commercial Messaging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20"/>
                <w:szCs w:val="20"/>
              </w:rPr>
              <w:t xml:space="preserve">You can say at this stage</w:t>
            </w:r>
          </w:p>
        </w:tc>
        <w:tc>
          <w:tcPr>
            <w:tcW w:type="dxa" w:w="46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20"/>
                <w:szCs w:val="20"/>
              </w:rPr>
              <w:t xml:space="preserve">You must NOT say yet</w:t>
            </w:r>
          </w:p>
        </w:tc>
      </w:tr>
      <w:tr>
        <w:tc>
          <w:tcPr>
            <w:tcW w:type="dxa" w:w="4680"/>
            <w:tcBorders>
              <w:top w:val="single" w:color="AAAAAA" w:sz="4"/>
              <w:left w:val="single" w:color="AAAAAA" w:sz="4"/>
              <w:bottom w:val="single" w:color="AAAAAA" w:sz="4"/>
              <w:right w:val="single" w:color="AAAAAA" w:sz="4"/>
            </w:tcBorders>
            <w:shd w:fill="F0FAF0" w:val="clear"/>
            <w:tcMar>
              <w:top w:type="dxa" w:w="60"/>
              <w:left w:type="dxa" w:w="110"/>
              <w:bottom w:type="dxa" w:w="60"/>
              <w:right w:type="dxa" w:w="110"/>
            </w:tcMar>
            <w:vAlign w:val="top"/>
          </w:tcPr>
          <w:p>
            <w:pPr>
              <w:spacing w:after="30" w:before="0"/>
            </w:pPr>
            <w:r>
              <w:rPr>
                <w:rFonts w:ascii="Arial" w:cs="Arial" w:eastAsia="Arial" w:hAnsi="Arial"/>
                <w:b w:val="false"/>
                <w:bCs w:val="false"/>
                <w:color w:val="375623"/>
                <w:sz w:val="20"/>
                <w:szCs w:val="20"/>
              </w:rPr>
              <w:t xml:space="preserve">✔  Here is the dashboard, correlation, and risk investigation UI running against synthetic manufacturing data.</w:t>
            </w:r>
          </w:p>
        </w:tc>
        <w:tc>
          <w:tcPr>
            <w:tcW w:type="dxa" w:w="4680"/>
            <w:tcBorders>
              <w:top w:val="single" w:color="AAAAAA" w:sz="4"/>
              <w:left w:val="single" w:color="AAAAAA" w:sz="4"/>
              <w:bottom w:val="single" w:color="AAAAAA" w:sz="4"/>
              <w:right w:val="single" w:color="AAAAAA" w:sz="4"/>
            </w:tcBorders>
            <w:shd w:fill="FFF0F0" w:val="clear"/>
            <w:tcMar>
              <w:top w:type="dxa" w:w="60"/>
              <w:left w:type="dxa" w:w="110"/>
              <w:bottom w:type="dxa" w:w="60"/>
              <w:right w:type="dxa" w:w="110"/>
            </w:tcMar>
            <w:vAlign w:val="top"/>
          </w:tcPr>
          <w:p>
            <w:pPr>
              <w:spacing w:after="30" w:before="0"/>
            </w:pPr>
            <w:r>
              <w:rPr>
                <w:rFonts w:ascii="Arial" w:cs="Arial" w:eastAsia="Arial" w:hAnsi="Arial"/>
                <w:b w:val="false"/>
                <w:bCs w:val="false"/>
                <w:color w:val="C00000"/>
                <w:sz w:val="20"/>
                <w:szCs w:val="20"/>
              </w:rPr>
              <w:t xml:space="preserve">✘  This is the same data your plant will see when you connect.</w:t>
            </w:r>
          </w:p>
        </w:tc>
      </w:tr>
      <w:tr>
        <w:tc>
          <w:tcPr>
            <w:tcW w:type="dxa" w:w="4680"/>
            <w:tcBorders>
              <w:top w:val="single" w:color="AAAAAA" w:sz="4"/>
              <w:left w:val="single" w:color="AAAAAA" w:sz="4"/>
              <w:bottom w:val="single" w:color="AAAAAA" w:sz="4"/>
              <w:right w:val="single" w:color="AAAAAA" w:sz="4"/>
            </w:tcBorders>
            <w:shd w:fill="F0FAF0" w:val="clear"/>
            <w:tcMar>
              <w:top w:type="dxa" w:w="60"/>
              <w:left w:type="dxa" w:w="110"/>
              <w:bottom w:type="dxa" w:w="60"/>
              <w:right w:type="dxa" w:w="110"/>
            </w:tcMar>
            <w:vAlign w:val="top"/>
          </w:tcPr>
          <w:p>
            <w:pPr>
              <w:spacing w:after="30" w:before="0"/>
            </w:pPr>
            <w:r>
              <w:rPr>
                <w:rFonts w:ascii="Arial" w:cs="Arial" w:eastAsia="Arial" w:hAnsi="Arial"/>
                <w:b w:val="false"/>
                <w:bCs w:val="false"/>
                <w:color w:val="375623"/>
                <w:sz w:val="20"/>
                <w:szCs w:val="20"/>
              </w:rPr>
              <w:t xml:space="preserve">✔  Our Admin area lets any plant configure their own DB links and schema mappings — no hardcoded templates.</w:t>
            </w:r>
          </w:p>
        </w:tc>
        <w:tc>
          <w:tcPr>
            <w:tcW w:type="dxa" w:w="4680"/>
            <w:tcBorders>
              <w:top w:val="single" w:color="AAAAAA" w:sz="4"/>
              <w:left w:val="single" w:color="AAAAAA" w:sz="4"/>
              <w:bottom w:val="single" w:color="AAAAAA" w:sz="4"/>
              <w:right w:val="single" w:color="AAAAAA" w:sz="4"/>
            </w:tcBorders>
            <w:shd w:fill="FFF0F0" w:val="clear"/>
            <w:tcMar>
              <w:top w:type="dxa" w:w="60"/>
              <w:left w:type="dxa" w:w="110"/>
              <w:bottom w:type="dxa" w:w="60"/>
              <w:right w:type="dxa" w:w="110"/>
            </w:tcMar>
            <w:vAlign w:val="top"/>
          </w:tcPr>
          <w:p>
            <w:pPr>
              <w:spacing w:after="30" w:before="0"/>
            </w:pPr>
            <w:r>
              <w:rPr>
                <w:rFonts w:ascii="Arial" w:cs="Arial" w:eastAsia="Arial" w:hAnsi="Arial"/>
                <w:b w:val="false"/>
                <w:bCs w:val="false"/>
                <w:color w:val="C00000"/>
                <w:sz w:val="20"/>
                <w:szCs w:val="20"/>
              </w:rPr>
              <w:t xml:space="preserve">✘  The Admin area is fully functional today.</w:t>
            </w:r>
          </w:p>
        </w:tc>
      </w:tr>
      <w:tr>
        <w:tc>
          <w:tcPr>
            <w:tcW w:type="dxa" w:w="4680"/>
            <w:tcBorders>
              <w:top w:val="single" w:color="AAAAAA" w:sz="4"/>
              <w:left w:val="single" w:color="AAAAAA" w:sz="4"/>
              <w:bottom w:val="single" w:color="AAAAAA" w:sz="4"/>
              <w:right w:val="single" w:color="AAAAAA" w:sz="4"/>
            </w:tcBorders>
            <w:shd w:fill="F0FAF0" w:val="clear"/>
            <w:tcMar>
              <w:top w:type="dxa" w:w="60"/>
              <w:left w:type="dxa" w:w="110"/>
              <w:bottom w:type="dxa" w:w="60"/>
              <w:right w:type="dxa" w:w="110"/>
            </w:tcMar>
            <w:vAlign w:val="top"/>
          </w:tcPr>
          <w:p>
            <w:pPr>
              <w:spacing w:after="30" w:before="0"/>
            </w:pPr>
            <w:r>
              <w:rPr>
                <w:rFonts w:ascii="Arial" w:cs="Arial" w:eastAsia="Arial" w:hAnsi="Arial"/>
                <w:b w:val="false"/>
                <w:bCs w:val="false"/>
                <w:color w:val="375623"/>
                <w:sz w:val="20"/>
                <w:szCs w:val="20"/>
              </w:rPr>
              <w:t xml:space="preserve">✔  We can work with any industry — steel is our first demo story, but the model is generic.</w:t>
            </w:r>
          </w:p>
        </w:tc>
        <w:tc>
          <w:tcPr>
            <w:tcW w:type="dxa" w:w="4680"/>
            <w:tcBorders>
              <w:top w:val="single" w:color="AAAAAA" w:sz="4"/>
              <w:left w:val="single" w:color="AAAAAA" w:sz="4"/>
              <w:bottom w:val="single" w:color="AAAAAA" w:sz="4"/>
              <w:right w:val="single" w:color="AAAAAA" w:sz="4"/>
            </w:tcBorders>
            <w:shd w:fill="FFF0F0" w:val="clear"/>
            <w:tcMar>
              <w:top w:type="dxa" w:w="60"/>
              <w:left w:type="dxa" w:w="110"/>
              <w:bottom w:type="dxa" w:w="60"/>
              <w:right w:type="dxa" w:w="110"/>
            </w:tcMar>
            <w:vAlign w:val="top"/>
          </w:tcPr>
          <w:p>
            <w:pPr>
              <w:spacing w:after="30" w:before="0"/>
            </w:pPr>
            <w:r>
              <w:rPr>
                <w:rFonts w:ascii="Arial" w:cs="Arial" w:eastAsia="Arial" w:hAnsi="Arial"/>
                <w:b w:val="false"/>
                <w:bCs w:val="false"/>
                <w:color w:val="C00000"/>
                <w:sz w:val="20"/>
                <w:szCs w:val="20"/>
              </w:rPr>
              <w:t xml:space="preserve">✘  We are live at a reference plant already.</w:t>
            </w:r>
          </w:p>
        </w:tc>
      </w:tr>
    </w:tbl>
    <w:p>
      <w:pPr>
        <w:spacing w:after="0" w:before="80"/>
      </w:pPr>
      <w:r>
        <w:t xml:space="preserve"/>
      </w:r>
    </w:p>
    <w:p>
      <w:pPr>
        <w:pStyle w:val="Heading3"/>
        <w:spacing w:after="100" w:before="240"/>
      </w:pPr>
      <w:r>
        <w:rPr>
          <w:rFonts w:ascii="Arial" w:cs="Arial" w:eastAsia="Arial" w:hAnsi="Arial"/>
          <w:b/>
          <w:bCs/>
          <w:color w:val="2F2F2F"/>
          <w:sz w:val="24"/>
          <w:szCs w:val="24"/>
        </w:rPr>
        <w:t xml:space="preserve">Risk if Stage Is Rushed or Skipped</w:t>
      </w:r>
    </w:p>
    <w:p>
      <w:pPr>
        <w:pStyle w:val="ListParagraph"/>
        <w:numPr>
          <w:ilvl w:val="0"/>
          <w:numId w:val="2"/>
        </w:numPr>
        <w:spacing w:after="40" w:before="40"/>
      </w:pPr>
      <w:r>
        <w:rPr>
          <w:rFonts w:ascii="Arial" w:cs="Arial" w:eastAsia="Arial" w:hAnsi="Arial"/>
          <w:b w:val="false"/>
          <w:bCs w:val="false"/>
          <w:sz w:val="22"/>
          <w:szCs w:val="22"/>
        </w:rPr>
        <w:t xml:space="preserve">Showing the demo without synthetic data that tells a clear story will make the product look trivial.</w:t>
      </w:r>
    </w:p>
    <w:p>
      <w:pPr>
        <w:pStyle w:val="ListParagraph"/>
        <w:numPr>
          <w:ilvl w:val="0"/>
          <w:numId w:val="2"/>
        </w:numPr>
        <w:spacing w:after="40" w:before="40"/>
      </w:pPr>
      <w:r>
        <w:rPr>
          <w:rFonts w:ascii="Arial" w:cs="Arial" w:eastAsia="Arial" w:hAnsi="Arial"/>
          <w:b w:val="false"/>
          <w:bCs w:val="false"/>
          <w:sz w:val="22"/>
          <w:szCs w:val="22"/>
        </w:rPr>
        <w:t xml:space="preserve">Not having the Admin area shell will leave the 'how does my data get in?' question unanswered, destroying credibility.</w:t>
      </w:r>
    </w:p>
    <w:p>
      <w:pPr>
        <w:pStyle w:val="ListParagraph"/>
        <w:numPr>
          <w:ilvl w:val="0"/>
          <w:numId w:val="2"/>
        </w:numPr>
        <w:spacing w:after="40" w:before="40"/>
      </w:pPr>
      <w:r>
        <w:rPr>
          <w:rFonts w:ascii="Arial" w:cs="Arial" w:eastAsia="Arial" w:hAnsi="Arial"/>
          <w:b w:val="false"/>
          <w:bCs w:val="false"/>
          <w:sz w:val="22"/>
          <w:szCs w:val="22"/>
        </w:rPr>
        <w:t xml:space="preserve">Running discovery without a structured questionnaire will produce vague feedback that cannot be actioned.</w:t>
      </w:r>
    </w:p>
    <w:p>
      <w:pPr>
        <w:spacing w:after="0" w:before="80"/>
      </w:pPr>
      <w:r>
        <w:t xml:space="preserve"/>
      </w:r>
    </w:p>
    <w:p>
      <w:pPr>
        <w:pStyle w:val="Heading3"/>
        <w:spacing w:after="100" w:before="240"/>
      </w:pPr>
      <w:r>
        <w:rPr>
          <w:rFonts w:ascii="Arial" w:cs="Arial" w:eastAsia="Arial" w:hAnsi="Arial"/>
          <w:b/>
          <w:bCs/>
          <w:color w:val="2F2F2F"/>
          <w:sz w:val="24"/>
          <w:szCs w:val="24"/>
        </w:rPr>
        <w:t xml:space="preserve">Exit Criteria — When You Are Ready to Advance</w:t>
      </w:r>
    </w:p>
    <w:p>
      <w:pPr>
        <w:pStyle w:val="ListParagraph"/>
        <w:numPr>
          <w:ilvl w:val="0"/>
          <w:numId w:val="2"/>
        </w:numPr>
        <w:spacing w:after="40" w:before="40"/>
      </w:pPr>
      <w:r>
        <w:rPr>
          <w:rFonts w:ascii="Arial" w:cs="Arial" w:eastAsia="Arial" w:hAnsi="Arial"/>
          <w:b w:val="false"/>
          <w:bCs w:val="false"/>
          <w:sz w:val="22"/>
          <w:szCs w:val="22"/>
        </w:rPr>
        <w:t xml:space="preserve">At least five structured discovery calls have been completed.</w:t>
      </w:r>
    </w:p>
    <w:p>
      <w:pPr>
        <w:pStyle w:val="ListParagraph"/>
        <w:numPr>
          <w:ilvl w:val="0"/>
          <w:numId w:val="2"/>
        </w:numPr>
        <w:spacing w:after="40" w:before="40"/>
      </w:pPr>
      <w:r>
        <w:rPr>
          <w:rFonts w:ascii="Arial" w:cs="Arial" w:eastAsia="Arial" w:hAnsi="Arial"/>
          <w:b w:val="false"/>
          <w:bCs w:val="false"/>
          <w:sz w:val="22"/>
          <w:szCs w:val="22"/>
        </w:rPr>
        <w:t xml:space="preserve">Discovery questionnaire responses collected from at least three qualified prospects.</w:t>
      </w:r>
    </w:p>
    <w:p>
      <w:pPr>
        <w:pStyle w:val="ListParagraph"/>
        <w:numPr>
          <w:ilvl w:val="0"/>
          <w:numId w:val="2"/>
        </w:numPr>
        <w:spacing w:after="40" w:before="40"/>
      </w:pPr>
      <w:r>
        <w:rPr>
          <w:rFonts w:ascii="Arial" w:cs="Arial" w:eastAsia="Arial" w:hAnsi="Arial"/>
          <w:b w:val="false"/>
          <w:bCs w:val="false"/>
          <w:sz w:val="22"/>
          <w:szCs w:val="22"/>
        </w:rPr>
        <w:t xml:space="preserve">UI/HMI feedback checklist filled by at least three prospects.</w:t>
      </w:r>
    </w:p>
    <w:p>
      <w:pPr>
        <w:pStyle w:val="ListParagraph"/>
        <w:numPr>
          <w:ilvl w:val="0"/>
          <w:numId w:val="2"/>
        </w:numPr>
        <w:spacing w:after="40" w:before="40"/>
      </w:pPr>
      <w:r>
        <w:rPr>
          <w:rFonts w:ascii="Arial" w:cs="Arial" w:eastAsia="Arial" w:hAnsi="Arial"/>
          <w:b w:val="false"/>
          <w:bCs w:val="false"/>
          <w:sz w:val="22"/>
          <w:szCs w:val="22"/>
        </w:rPr>
        <w:t xml:space="preserve">At least one prospect has agreed in principle to a readiness assessment.</w:t>
      </w:r>
    </w:p>
    <w:p>
      <w:pPr>
        <w:pStyle w:val="ListParagraph"/>
        <w:numPr>
          <w:ilvl w:val="0"/>
          <w:numId w:val="2"/>
        </w:numPr>
        <w:spacing w:after="40" w:before="40"/>
      </w:pPr>
      <w:r>
        <w:rPr>
          <w:rFonts w:ascii="Arial" w:cs="Arial" w:eastAsia="Arial" w:hAnsi="Arial"/>
          <w:b w:val="false"/>
          <w:bCs w:val="false"/>
          <w:sz w:val="22"/>
          <w:szCs w:val="22"/>
        </w:rPr>
        <w:t xml:space="preserve">Product-story gaps identified from customer feedback are logged as plan tasks.</w:t>
      </w:r>
    </w:p>
    <w:p>
      <w:pPr>
        <w:pBdr>
          <w:bottom w:val="single" w:color="CCCCCC" w:sz="6" w:space="4"/>
        </w:pBdr>
        <w:spacing w:after="80" w:before="80"/>
      </w:pPr>
      <w:r>
        <w:t xml:space="preserve"/>
      </w:r>
    </w:p>
    <w:p>
      <w:pPr>
        <w:pBdr>
          <w:top w:val="single" w:color="2E75B6" w:sz="12"/>
          <w:bottom w:val="single" w:color="2E75B6" w:sz="12"/>
        </w:pBdr>
        <w:shd w:fill="FFC7CE" w:val="clear"/>
        <w:spacing w:after="0" w:before="280"/>
        <w:ind w:left="200" w:right="200"/>
      </w:pPr>
      <w:r>
        <w:rPr>
          <w:rFonts w:ascii="Arial" w:cs="Arial" w:eastAsia="Arial" w:hAnsi="Arial"/>
          <w:b/>
          <w:bCs/>
          <w:color w:val="1F3864"/>
          <w:sz w:val="32"/>
          <w:szCs w:val="32"/>
        </w:rPr>
        <w:t xml:space="preserve">Stage 3  </w:t>
      </w:r>
      <w:r>
        <w:rPr>
          <w:rFonts w:ascii="Arial" w:cs="Arial" w:eastAsia="Arial" w:hAnsi="Arial"/>
          <w:b/>
          <w:bCs/>
          <w:color w:val="2E75B6"/>
          <w:sz w:val="32"/>
          <w:szCs w:val="32"/>
        </w:rPr>
        <w:t xml:space="preserve">Demo-Based Sales</w:t>
      </w:r>
    </w:p>
    <w:p>
      <w:pPr>
        <w:shd w:fill="FFC7CE" w:val="clear"/>
        <w:spacing w:after="200" w:before="0"/>
        <w:ind w:left="200"/>
      </w:pPr>
      <w:r>
        <w:rPr>
          <w:rFonts w:ascii="Arial" w:cs="Arial" w:eastAsia="Arial" w:hAnsi="Arial"/>
          <w:color w:val="505050"/>
          <w:sz w:val="22"/>
          <w:szCs w:val="22"/>
        </w:rPr>
        <w:t xml:space="preserve">Timing: After Phase 3 (Tasks 27–43 core) + Phase 2 (Admin area functional A-01 to A-08) + Phase 4 (Schema Config SC-01 to SC-04 at minimum read-only).</w:t>
      </w:r>
    </w:p>
    <w:p>
      <w:pPr>
        <w:pStyle w:val="Heading3"/>
        <w:spacing w:after="100" w:before="240"/>
      </w:pPr>
      <w:r>
        <w:rPr>
          <w:rFonts w:ascii="Arial" w:cs="Arial" w:eastAsia="Arial" w:hAnsi="Arial"/>
          <w:b/>
          <w:bCs/>
          <w:color w:val="2F2F2F"/>
          <w:sz w:val="24"/>
          <w:szCs w:val="24"/>
        </w:rPr>
        <w:t xml:space="preserve">Business Objective</w:t>
      </w:r>
    </w:p>
    <w:p>
      <w:pPr>
        <w:pStyle w:val="ListParagraph"/>
        <w:numPr>
          <w:ilvl w:val="0"/>
          <w:numId w:val="2"/>
        </w:numPr>
        <w:spacing w:after="40" w:before="40"/>
      </w:pPr>
      <w:r>
        <w:rPr>
          <w:rFonts w:ascii="Arial" w:cs="Arial" w:eastAsia="Arial" w:hAnsi="Arial"/>
          <w:b w:val="false"/>
          <w:bCs w:val="false"/>
          <w:sz w:val="22"/>
          <w:szCs w:val="22"/>
        </w:rPr>
        <w:t xml:space="preserve">Demonstrate a believable, end-to-end product flow to qualified sales prospects.</w:t>
      </w:r>
    </w:p>
    <w:p>
      <w:pPr>
        <w:pStyle w:val="ListParagraph"/>
        <w:numPr>
          <w:ilvl w:val="0"/>
          <w:numId w:val="2"/>
        </w:numPr>
        <w:spacing w:after="40" w:before="40"/>
      </w:pPr>
      <w:r>
        <w:rPr>
          <w:rFonts w:ascii="Arial" w:cs="Arial" w:eastAsia="Arial" w:hAnsi="Arial"/>
          <w:b w:val="false"/>
          <w:bCs w:val="false"/>
          <w:sz w:val="22"/>
          <w:szCs w:val="22"/>
        </w:rPr>
        <w:t xml:space="preserve">Show that the product can ingest an exported dataset, automatically discover its schema, map it to the canonical model, and produce analytics insights in the dashboard.</w:t>
      </w:r>
    </w:p>
    <w:p>
      <w:pPr>
        <w:pStyle w:val="ListParagraph"/>
        <w:numPr>
          <w:ilvl w:val="0"/>
          <w:numId w:val="2"/>
        </w:numPr>
        <w:spacing w:after="40" w:before="40"/>
      </w:pPr>
      <w:r>
        <w:rPr>
          <w:rFonts w:ascii="Arial" w:cs="Arial" w:eastAsia="Arial" w:hAnsi="Arial"/>
          <w:b w:val="false"/>
          <w:bCs w:val="false"/>
          <w:sz w:val="22"/>
          <w:szCs w:val="22"/>
        </w:rPr>
        <w:t xml:space="preserve">Prove that the Admin area allows any plant to configure their own data sources and schema views.</w:t>
      </w:r>
    </w:p>
    <w:p>
      <w:pPr>
        <w:pStyle w:val="ListParagraph"/>
        <w:numPr>
          <w:ilvl w:val="0"/>
          <w:numId w:val="2"/>
        </w:numPr>
        <w:spacing w:after="40" w:before="40"/>
      </w:pPr>
      <w:r>
        <w:rPr>
          <w:rFonts w:ascii="Arial" w:cs="Arial" w:eastAsia="Arial" w:hAnsi="Arial"/>
          <w:b w:val="false"/>
          <w:bCs w:val="false"/>
          <w:sz w:val="22"/>
          <w:szCs w:val="22"/>
        </w:rPr>
        <w:t xml:space="preserve">Qualify prospects for the paid readiness assessment by showing them exactly what a readiness assessment would involve.</w:t>
      </w:r>
    </w:p>
    <w:p>
      <w:pPr>
        <w:pStyle w:val="ListParagraph"/>
        <w:numPr>
          <w:ilvl w:val="0"/>
          <w:numId w:val="2"/>
        </w:numPr>
        <w:spacing w:after="40" w:before="40"/>
      </w:pPr>
      <w:r>
        <w:rPr>
          <w:rFonts w:ascii="Arial" w:cs="Arial" w:eastAsia="Arial" w:hAnsi="Arial"/>
          <w:b w:val="false"/>
          <w:bCs w:val="false"/>
          <w:sz w:val="22"/>
          <w:szCs w:val="22"/>
        </w:rPr>
        <w:t xml:space="preserve">Produce a repeatable 10-minute demo script that any team member can deliver.</w:t>
      </w:r>
    </w:p>
    <w:p>
      <w:pPr>
        <w:spacing w:after="0" w:before="80"/>
      </w:pPr>
      <w:r>
        <w:t xml:space="preserve"/>
      </w:r>
    </w:p>
    <w:p>
      <w:pPr>
        <w:pStyle w:val="Heading3"/>
        <w:spacing w:after="100" w:before="240"/>
      </w:pPr>
      <w:r>
        <w:rPr>
          <w:rFonts w:ascii="Arial" w:cs="Arial" w:eastAsia="Arial" w:hAnsi="Arial"/>
          <w:b/>
          <w:bCs/>
          <w:color w:val="2F2F2F"/>
          <w:sz w:val="24"/>
          <w:szCs w:val="24"/>
        </w:rPr>
        <w:t xml:space="preserve">Prerequisites — What Must Be Done First</w:t>
      </w:r>
    </w:p>
    <w:p>
      <w:pPr>
        <w:pStyle w:val="ListParagraph"/>
        <w:numPr>
          <w:ilvl w:val="0"/>
          <w:numId w:val="2"/>
        </w:numPr>
        <w:spacing w:after="40" w:before="40"/>
      </w:pPr>
      <w:r>
        <w:rPr>
          <w:rFonts w:ascii="Arial" w:cs="Arial" w:eastAsia="Arial" w:hAnsi="Arial"/>
          <w:b w:val="false"/>
          <w:bCs w:val="false"/>
          <w:sz w:val="22"/>
          <w:szCs w:val="22"/>
        </w:rPr>
        <w:t xml:space="preserve">Phase 3 connectors: CSV and Excel connectors are functional (schema discovery, sample preview, staging import).</w:t>
      </w:r>
    </w:p>
    <w:p>
      <w:pPr>
        <w:pStyle w:val="ListParagraph"/>
        <w:numPr>
          <w:ilvl w:val="0"/>
          <w:numId w:val="2"/>
        </w:numPr>
        <w:spacing w:after="40" w:before="40"/>
      </w:pPr>
      <w:r>
        <w:rPr>
          <w:rFonts w:ascii="Arial" w:cs="Arial" w:eastAsia="Arial" w:hAnsi="Arial"/>
          <w:b w:val="false"/>
          <w:bCs w:val="false"/>
          <w:sz w:val="22"/>
          <w:szCs w:val="22"/>
        </w:rPr>
        <w:t xml:space="preserve">Admin area is functional: DB Link Configuration tab shows a configured CSV connection, import job is running, status is visible.</w:t>
      </w:r>
    </w:p>
    <w:p>
      <w:pPr>
        <w:pStyle w:val="ListParagraph"/>
        <w:numPr>
          <w:ilvl w:val="0"/>
          <w:numId w:val="2"/>
        </w:numPr>
        <w:spacing w:after="40" w:before="40"/>
      </w:pPr>
      <w:r>
        <w:rPr>
          <w:rFonts w:ascii="Arial" w:cs="Arial" w:eastAsia="Arial" w:hAnsi="Arial"/>
          <w:b w:val="false"/>
          <w:bCs w:val="false"/>
          <w:sz w:val="22"/>
          <w:szCs w:val="22"/>
        </w:rPr>
        <w:t xml:space="preserve">Schema Configuration page: SQL view editor exists with at least read-only preview of a cross-dump JOIN.</w:t>
      </w:r>
    </w:p>
    <w:p>
      <w:pPr>
        <w:pStyle w:val="ListParagraph"/>
        <w:numPr>
          <w:ilvl w:val="0"/>
          <w:numId w:val="2"/>
        </w:numPr>
        <w:spacing w:after="40" w:before="40"/>
      </w:pPr>
      <w:r>
        <w:rPr>
          <w:rFonts w:ascii="Arial" w:cs="Arial" w:eastAsia="Arial" w:hAnsi="Arial"/>
          <w:b w:val="false"/>
          <w:bCs w:val="false"/>
          <w:sz w:val="22"/>
          <w:szCs w:val="22"/>
        </w:rPr>
        <w:t xml:space="preserve">Mapping workbench (Task 56) is functional: user can map source fields to canonical fields and preview the output.</w:t>
      </w:r>
    </w:p>
    <w:p>
      <w:pPr>
        <w:pStyle w:val="ListParagraph"/>
        <w:numPr>
          <w:ilvl w:val="0"/>
          <w:numId w:val="2"/>
        </w:numPr>
        <w:spacing w:after="40" w:before="40"/>
      </w:pPr>
      <w:r>
        <w:rPr>
          <w:rFonts w:ascii="Arial" w:cs="Arial" w:eastAsia="Arial" w:hAnsi="Arial"/>
          <w:b w:val="false"/>
          <w:bCs w:val="false"/>
          <w:sz w:val="22"/>
          <w:szCs w:val="22"/>
        </w:rPr>
        <w:t xml:space="preserve">Dashboard shows synthetic analytics data with meaningful correlation and risk results.</w:t>
      </w:r>
    </w:p>
    <w:p>
      <w:pPr>
        <w:pStyle w:val="ListParagraph"/>
        <w:numPr>
          <w:ilvl w:val="0"/>
          <w:numId w:val="2"/>
        </w:numPr>
        <w:spacing w:after="40" w:before="40"/>
      </w:pPr>
      <w:r>
        <w:rPr>
          <w:rFonts w:ascii="Arial" w:cs="Arial" w:eastAsia="Arial" w:hAnsi="Arial"/>
          <w:b w:val="false"/>
          <w:bCs w:val="false"/>
          <w:sz w:val="22"/>
          <w:szCs w:val="22"/>
        </w:rPr>
        <w:t xml:space="preserve">10-minute demo script is written and rehearsed.</w:t>
      </w:r>
    </w:p>
    <w:p>
      <w:pPr>
        <w:spacing w:after="0" w:before="80"/>
      </w:pPr>
      <w:r>
        <w:t xml:space="preserve"/>
      </w:r>
    </w:p>
    <w:p>
      <w:pPr>
        <w:pStyle w:val="Heading3"/>
        <w:spacing w:after="100" w:before="240"/>
      </w:pPr>
      <w:r>
        <w:rPr>
          <w:rFonts w:ascii="Arial" w:cs="Arial" w:eastAsia="Arial" w:hAnsi="Arial"/>
          <w:b/>
          <w:bCs/>
          <w:color w:val="2F2F2F"/>
          <w:sz w:val="24"/>
          <w:szCs w:val="24"/>
        </w:rPr>
        <w:t xml:space="preserve">Technical Readiness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2400"/>
        <w:gridCol w:w="3660"/>
      </w:tblGrid>
      <w:tr>
        <w:tc>
          <w:tcPr>
            <w:tcW w:type="dxa" w:w="26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20"/>
                <w:szCs w:val="20"/>
              </w:rPr>
              <w:t xml:space="preserve">Readiness Item</w:t>
            </w:r>
          </w:p>
        </w:tc>
        <w:tc>
          <w:tcPr>
            <w:tcW w:type="dxa" w:w="7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20"/>
                <w:szCs w:val="20"/>
              </w:rPr>
              <w:t xml:space="preserve">Priority</w:t>
            </w:r>
          </w:p>
        </w:tc>
        <w:tc>
          <w:tcPr>
            <w:tcW w:type="dxa" w:w="24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20"/>
                <w:szCs w:val="20"/>
              </w:rPr>
              <w:t xml:space="preserve">Vision-Specific Gate</w:t>
            </w:r>
          </w:p>
        </w:tc>
        <w:tc>
          <w:tcPr>
            <w:tcW w:type="dxa" w:w="366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20"/>
                <w:szCs w:val="20"/>
              </w:rPr>
              <w:t xml:space="preserve">Acceptance Criteria</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CSV connector: schema discovery + sample preview</w:t>
            </w:r>
          </w:p>
        </w:tc>
        <w:tc>
          <w:tcPr>
            <w:tcW w:type="dxa" w:w="70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center"/>
            </w:pPr>
            <w:r>
              <w:rPr>
                <w:rFonts w:ascii="Arial" w:cs="Arial" w:eastAsia="Arial" w:hAnsi="Arial"/>
                <w:b/>
                <w:bCs/>
                <w:color w:val="C00000"/>
                <w:sz w:val="18"/>
                <w:szCs w:val="18"/>
              </w:rPr>
              <w:t xml:space="preserve">Critical</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None new.</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CSV fields discovered, sample rows returned, data staged successfully.</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Excel connector: sheet discovery + preview</w:t>
            </w:r>
          </w:p>
        </w:tc>
        <w:tc>
          <w:tcPr>
            <w:tcW w:type="dxa" w:w="70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bCs/>
                <w:color w:val="C55A11"/>
                <w:sz w:val="18"/>
                <w:szCs w:val="18"/>
              </w:rPr>
              <w:t xml:space="preserve">Important</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None new.</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Excel sheet headers detected and sample rows previewed.</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Connection profile entity + validation</w:t>
            </w:r>
          </w:p>
        </w:tc>
        <w:tc>
          <w:tcPr>
            <w:tcW w:type="dxa" w:w="70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center"/>
            </w:pPr>
            <w:r>
              <w:rPr>
                <w:rFonts w:ascii="Arial" w:cs="Arial" w:eastAsia="Arial" w:hAnsi="Arial"/>
                <w:b/>
                <w:bCs/>
                <w:color w:val="C00000"/>
                <w:sz w:val="18"/>
                <w:szCs w:val="18"/>
              </w:rPr>
              <w:t xml:space="preserve">Critical</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None new.</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Invalid profiles return clear validation errors by provider type.</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Schema discovery API</w:t>
            </w:r>
          </w:p>
        </w:tc>
        <w:tc>
          <w:tcPr>
            <w:tcW w:type="dxa" w:w="70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center"/>
            </w:pPr>
            <w:r>
              <w:rPr>
                <w:rFonts w:ascii="Arial" w:cs="Arial" w:eastAsia="Arial" w:hAnsi="Arial"/>
                <w:b/>
                <w:bCs/>
                <w:color w:val="C00000"/>
                <w:sz w:val="18"/>
                <w:szCs w:val="18"/>
              </w:rPr>
              <w:t xml:space="preserve">Critical</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None new.</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Discovery creates/updates SourceDatasetDefinition and SourceFieldDefinition records.</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Mapping workbench UI</w:t>
            </w:r>
          </w:p>
        </w:tc>
        <w:tc>
          <w:tcPr>
            <w:tcW w:type="dxa" w:w="70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center"/>
            </w:pPr>
            <w:r>
              <w:rPr>
                <w:rFonts w:ascii="Arial" w:cs="Arial" w:eastAsia="Arial" w:hAnsi="Arial"/>
                <w:b/>
                <w:bCs/>
                <w:color w:val="C00000"/>
                <w:sz w:val="18"/>
                <w:szCs w:val="18"/>
              </w:rPr>
              <w:t xml:space="preserve">Critical</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None new.</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User maps source fields to canonical targets, sees preview, activates mapping.</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Admin: DB Link Configuration tab</w:t>
            </w:r>
          </w:p>
        </w:tc>
        <w:tc>
          <w:tcPr>
            <w:tcW w:type="dxa" w:w="70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center"/>
            </w:pPr>
            <w:r>
              <w:rPr>
                <w:rFonts w:ascii="Arial" w:cs="Arial" w:eastAsia="Arial" w:hAnsi="Arial"/>
                <w:b/>
                <w:bCs/>
                <w:color w:val="C00000"/>
                <w:sz w:val="18"/>
                <w:szCs w:val="18"/>
              </w:rPr>
              <w:t xml:space="preserve">Critical</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NEW: Vision §1.2 Admin area. Essential for demo credibility.</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Demo shows a configured connection, running import job, and status indicator.</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Admin: Schema Configuration page (read-only preview)</w:t>
            </w:r>
          </w:p>
        </w:tc>
        <w:tc>
          <w:tcPr>
            <w:tcW w:type="dxa" w:w="70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bCs/>
                <w:color w:val="C55A11"/>
                <w:sz w:val="18"/>
                <w:szCs w:val="18"/>
              </w:rPr>
              <w:t xml:space="preserve">Important</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NEW: Vision §1.4 SQL schema layer.</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Demo shows the SQL editor interface; full execution can be deferred to Stage 4.</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Admin: Jobs Monitor page</w:t>
            </w:r>
          </w:p>
        </w:tc>
        <w:tc>
          <w:tcPr>
            <w:tcW w:type="dxa" w:w="70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bCs/>
                <w:color w:val="C55A11"/>
                <w:sz w:val="18"/>
                <w:szCs w:val="18"/>
              </w:rPr>
              <w:t xml:space="preserve">Important</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NEW: Vision §1.6 Jobs Monitor.</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Jobs Monitor shows at least the DB link import job with last-run time and status.</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Demo script: 10-minute end-to-end</w:t>
            </w:r>
          </w:p>
        </w:tc>
        <w:tc>
          <w:tcPr>
            <w:tcW w:type="dxa" w:w="70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center"/>
            </w:pPr>
            <w:r>
              <w:rPr>
                <w:rFonts w:ascii="Arial" w:cs="Arial" w:eastAsia="Arial" w:hAnsi="Arial"/>
                <w:b/>
                <w:bCs/>
                <w:color w:val="C00000"/>
                <w:sz w:val="18"/>
                <w:szCs w:val="18"/>
              </w:rPr>
              <w:t xml:space="preserve">Critical</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None new.</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Script covers: source setup → schema discovery → mapping → readiness → dashboard → correlation → risk → report.</w:t>
            </w:r>
          </w:p>
        </w:tc>
      </w:tr>
    </w:tbl>
    <w:p>
      <w:pPr>
        <w:spacing w:after="0" w:before="80"/>
      </w:pPr>
      <w:r>
        <w:t xml:space="preserve"/>
      </w:r>
    </w:p>
    <w:p>
      <w:pPr>
        <w:pStyle w:val="Heading3"/>
        <w:spacing w:after="100" w:before="240"/>
      </w:pPr>
      <w:r>
        <w:rPr>
          <w:rFonts w:ascii="Arial" w:cs="Arial" w:eastAsia="Arial" w:hAnsi="Arial"/>
          <w:b/>
          <w:bCs/>
          <w:color w:val="2F2F2F"/>
          <w:sz w:val="24"/>
          <w:szCs w:val="24"/>
        </w:rPr>
        <w:t xml:space="preserve">New Vision-Specific Gates (Updated from Latest Vision)</w:t>
      </w:r>
    </w:p>
    <w:p>
      <w:pPr>
        <w:spacing w:after="60" w:before="60"/>
        <w:jc w:val="both"/>
      </w:pPr>
      <w:r>
        <w:rPr>
          <w:rFonts w:ascii="Arial" w:cs="Arial" w:eastAsia="Arial" w:hAnsi="Arial"/>
          <w:b/>
          <w:bCs/>
          <w:color w:val="000000"/>
          <w:sz w:val="22"/>
          <w:szCs w:val="22"/>
        </w:rPr>
        <w:t xml:space="preserve">Admin area must be functional with a working import job</w:t>
      </w:r>
    </w:p>
    <w:p>
      <w:pPr>
        <w:spacing w:after="60" w:before="60"/>
        <w:jc w:val="both"/>
      </w:pPr>
      <w:r>
        <w:rPr>
          <w:rFonts w:ascii="Arial" w:cs="Arial" w:eastAsia="Arial" w:hAnsi="Arial"/>
          <w:b w:val="false"/>
          <w:bCs w:val="false"/>
          <w:color w:val="333333"/>
          <w:sz w:val="22"/>
          <w:szCs w:val="22"/>
        </w:rPr>
        <w:t xml:space="preserve">At Stage 3, 'we can show you how your data would get in' is no longer sufficient. Customers need to see: a configured source connection, a running import job with a cycle time, and the resulting data appearing in the dashboard. The DB Link Configuration tab must be functional with at least the CSV/Excel connector.</w:t>
      </w:r>
    </w:p>
    <w:p>
      <w:pPr>
        <w:spacing w:after="0" w:before="80"/>
      </w:pPr>
      <w:r>
        <w:t xml:space="preserve"/>
      </w:r>
    </w:p>
    <w:p>
      <w:pPr>
        <w:spacing w:after="60" w:before="60"/>
        <w:jc w:val="both"/>
      </w:pPr>
      <w:r>
        <w:rPr>
          <w:rFonts w:ascii="Arial" w:cs="Arial" w:eastAsia="Arial" w:hAnsi="Arial"/>
          <w:b/>
          <w:bCs/>
          <w:color w:val="000000"/>
          <w:sz w:val="22"/>
          <w:szCs w:val="22"/>
        </w:rPr>
        <w:t xml:space="preserve">Schema Configuration page must exist (even read-only)</w:t>
      </w:r>
    </w:p>
    <w:p>
      <w:pPr>
        <w:spacing w:after="60" w:before="60"/>
        <w:jc w:val="both"/>
      </w:pPr>
      <w:r>
        <w:rPr>
          <w:rFonts w:ascii="Arial" w:cs="Arial" w:eastAsia="Arial" w:hAnsi="Arial"/>
          <w:b w:val="false"/>
          <w:bCs w:val="false"/>
          <w:color w:val="333333"/>
          <w:sz w:val="22"/>
          <w:szCs w:val="22"/>
        </w:rPr>
        <w:t xml:space="preserve">The vision's SQL schema layer is a key differentiator — it means any plant can map any database structure without waiting for the vendor to build a new endpoint. The Schema Configuration page must be visible and show the SQL editor concept, even if full execution is not yet available. This is a critical trust-building element.</w:t>
      </w:r>
    </w:p>
    <w:p>
      <w:pPr>
        <w:spacing w:after="0" w:before="80"/>
      </w:pPr>
      <w:r>
        <w:t xml:space="preserve"/>
      </w:r>
    </w:p>
    <w:p>
      <w:pPr>
        <w:pStyle w:val="Heading3"/>
        <w:spacing w:after="100" w:before="240"/>
      </w:pPr>
      <w:r>
        <w:rPr>
          <w:rFonts w:ascii="Arial" w:cs="Arial" w:eastAsia="Arial" w:hAnsi="Arial"/>
          <w:b/>
          <w:bCs/>
          <w:color w:val="2F2F2F"/>
          <w:sz w:val="24"/>
          <w:szCs w:val="24"/>
        </w:rPr>
        <w:t xml:space="preserve">Commercial Messaging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20"/>
                <w:szCs w:val="20"/>
              </w:rPr>
              <w:t xml:space="preserve">You can say at this stage</w:t>
            </w:r>
          </w:p>
        </w:tc>
        <w:tc>
          <w:tcPr>
            <w:tcW w:type="dxa" w:w="46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20"/>
                <w:szCs w:val="20"/>
              </w:rPr>
              <w:t xml:space="preserve">You must NOT say yet</w:t>
            </w:r>
          </w:p>
        </w:tc>
      </w:tr>
      <w:tr>
        <w:tc>
          <w:tcPr>
            <w:tcW w:type="dxa" w:w="4680"/>
            <w:tcBorders>
              <w:top w:val="single" w:color="AAAAAA" w:sz="4"/>
              <w:left w:val="single" w:color="AAAAAA" w:sz="4"/>
              <w:bottom w:val="single" w:color="AAAAAA" w:sz="4"/>
              <w:right w:val="single" w:color="AAAAAA" w:sz="4"/>
            </w:tcBorders>
            <w:shd w:fill="F0FAF0" w:val="clear"/>
            <w:tcMar>
              <w:top w:type="dxa" w:w="60"/>
              <w:left w:type="dxa" w:w="110"/>
              <w:bottom w:type="dxa" w:w="60"/>
              <w:right w:type="dxa" w:w="110"/>
            </w:tcMar>
            <w:vAlign w:val="top"/>
          </w:tcPr>
          <w:p>
            <w:pPr>
              <w:spacing w:after="30" w:before="0"/>
            </w:pPr>
            <w:r>
              <w:rPr>
                <w:rFonts w:ascii="Arial" w:cs="Arial" w:eastAsia="Arial" w:hAnsi="Arial"/>
                <w:b w:val="false"/>
                <w:bCs w:val="false"/>
                <w:color w:val="375623"/>
                <w:sz w:val="20"/>
                <w:szCs w:val="20"/>
              </w:rPr>
              <w:t xml:space="preserve">✔  We can load your CSV or Excel export, discover its structure automatically, and map it to our model.</w:t>
            </w:r>
          </w:p>
        </w:tc>
        <w:tc>
          <w:tcPr>
            <w:tcW w:type="dxa" w:w="4680"/>
            <w:tcBorders>
              <w:top w:val="single" w:color="AAAAAA" w:sz="4"/>
              <w:left w:val="single" w:color="AAAAAA" w:sz="4"/>
              <w:bottom w:val="single" w:color="AAAAAA" w:sz="4"/>
              <w:right w:val="single" w:color="AAAAAA" w:sz="4"/>
            </w:tcBorders>
            <w:shd w:fill="FFF0F0" w:val="clear"/>
            <w:tcMar>
              <w:top w:type="dxa" w:w="60"/>
              <w:left w:type="dxa" w:w="110"/>
              <w:bottom w:type="dxa" w:w="60"/>
              <w:right w:type="dxa" w:w="110"/>
            </w:tcMar>
            <w:vAlign w:val="top"/>
          </w:tcPr>
          <w:p>
            <w:pPr>
              <w:spacing w:after="30" w:before="0"/>
            </w:pPr>
            <w:r>
              <w:rPr>
                <w:rFonts w:ascii="Arial" w:cs="Arial" w:eastAsia="Arial" w:hAnsi="Arial"/>
                <w:b w:val="false"/>
                <w:bCs w:val="false"/>
                <w:color w:val="C00000"/>
                <w:sz w:val="20"/>
                <w:szCs w:val="20"/>
              </w:rPr>
              <w:t xml:space="preserve">✘  We can connect to your live Oracle or MSSQL today without IT involvement.</w:t>
            </w:r>
          </w:p>
        </w:tc>
      </w:tr>
      <w:tr>
        <w:tc>
          <w:tcPr>
            <w:tcW w:type="dxa" w:w="4680"/>
            <w:tcBorders>
              <w:top w:val="single" w:color="AAAAAA" w:sz="4"/>
              <w:left w:val="single" w:color="AAAAAA" w:sz="4"/>
              <w:bottom w:val="single" w:color="AAAAAA" w:sz="4"/>
              <w:right w:val="single" w:color="AAAAAA" w:sz="4"/>
            </w:tcBorders>
            <w:shd w:fill="F0FAF0" w:val="clear"/>
            <w:tcMar>
              <w:top w:type="dxa" w:w="60"/>
              <w:left w:type="dxa" w:w="110"/>
              <w:bottom w:type="dxa" w:w="60"/>
              <w:right w:type="dxa" w:w="110"/>
            </w:tcMar>
            <w:vAlign w:val="top"/>
          </w:tcPr>
          <w:p>
            <w:pPr>
              <w:spacing w:after="30" w:before="0"/>
            </w:pPr>
            <w:r>
              <w:rPr>
                <w:rFonts w:ascii="Arial" w:cs="Arial" w:eastAsia="Arial" w:hAnsi="Arial"/>
                <w:b w:val="false"/>
                <w:bCs w:val="false"/>
                <w:color w:val="375623"/>
                <w:sz w:val="20"/>
                <w:szCs w:val="20"/>
              </w:rPr>
              <w:t xml:space="preserve">✔  In the Admin area, you configure your own DB links, set import rates, and write schema mapping views.</w:t>
            </w:r>
          </w:p>
        </w:tc>
        <w:tc>
          <w:tcPr>
            <w:tcW w:type="dxa" w:w="4680"/>
            <w:tcBorders>
              <w:top w:val="single" w:color="AAAAAA" w:sz="4"/>
              <w:left w:val="single" w:color="AAAAAA" w:sz="4"/>
              <w:bottom w:val="single" w:color="AAAAAA" w:sz="4"/>
              <w:right w:val="single" w:color="AAAAAA" w:sz="4"/>
            </w:tcBorders>
            <w:shd w:fill="FFF0F0" w:val="clear"/>
            <w:tcMar>
              <w:top w:type="dxa" w:w="60"/>
              <w:left w:type="dxa" w:w="110"/>
              <w:bottom w:type="dxa" w:w="60"/>
              <w:right w:type="dxa" w:w="110"/>
            </w:tcMar>
            <w:vAlign w:val="top"/>
          </w:tcPr>
          <w:p>
            <w:pPr>
              <w:spacing w:after="30" w:before="0"/>
            </w:pPr>
            <w:r>
              <w:rPr>
                <w:rFonts w:ascii="Arial" w:cs="Arial" w:eastAsia="Arial" w:hAnsi="Arial"/>
                <w:b w:val="false"/>
                <w:bCs w:val="false"/>
                <w:color w:val="C00000"/>
                <w:sz w:val="20"/>
                <w:szCs w:val="20"/>
              </w:rPr>
              <w:t xml:space="preserve">✘  Setup is instant — your team will be live in one day.</w:t>
            </w:r>
          </w:p>
        </w:tc>
      </w:tr>
      <w:tr>
        <w:tc>
          <w:tcPr>
            <w:tcW w:type="dxa" w:w="4680"/>
            <w:tcBorders>
              <w:top w:val="single" w:color="AAAAAA" w:sz="4"/>
              <w:left w:val="single" w:color="AAAAAA" w:sz="4"/>
              <w:bottom w:val="single" w:color="AAAAAA" w:sz="4"/>
              <w:right w:val="single" w:color="AAAAAA" w:sz="4"/>
            </w:tcBorders>
            <w:shd w:fill="F0FAF0" w:val="clear"/>
            <w:tcMar>
              <w:top w:type="dxa" w:w="60"/>
              <w:left w:type="dxa" w:w="110"/>
              <w:bottom w:type="dxa" w:w="60"/>
              <w:right w:type="dxa" w:w="110"/>
            </w:tcMar>
            <w:vAlign w:val="top"/>
          </w:tcPr>
          <w:p>
            <w:pPr>
              <w:spacing w:after="30" w:before="0"/>
            </w:pPr>
            <w:r>
              <w:rPr>
                <w:rFonts w:ascii="Arial" w:cs="Arial" w:eastAsia="Arial" w:hAnsi="Arial"/>
                <w:b w:val="false"/>
                <w:bCs w:val="false"/>
                <w:color w:val="375623"/>
                <w:sz w:val="20"/>
                <w:szCs w:val="20"/>
              </w:rPr>
              <w:t xml:space="preserve">✔  The Jobs Monitor shows you the status of every import job in real time.</w:t>
            </w:r>
          </w:p>
        </w:tc>
        <w:tc>
          <w:tcPr>
            <w:tcW w:type="dxa" w:w="4680"/>
            <w:tcBorders>
              <w:top w:val="single" w:color="AAAAAA" w:sz="4"/>
              <w:left w:val="single" w:color="AAAAAA" w:sz="4"/>
              <w:bottom w:val="single" w:color="AAAAAA" w:sz="4"/>
              <w:right w:val="single" w:color="AAAAAA" w:sz="4"/>
            </w:tcBorders>
            <w:shd w:fill="FFF0F0" w:val="clear"/>
            <w:tcMar>
              <w:top w:type="dxa" w:w="60"/>
              <w:left w:type="dxa" w:w="110"/>
              <w:bottom w:type="dxa" w:w="60"/>
              <w:right w:type="dxa" w:w="110"/>
            </w:tcMar>
            <w:vAlign w:val="top"/>
          </w:tcPr>
          <w:p>
            <w:pPr>
              <w:spacing w:after="30" w:before="0"/>
            </w:pPr>
            <w:r>
              <w:rPr>
                <w:rFonts w:ascii="Arial" w:cs="Arial" w:eastAsia="Arial" w:hAnsi="Arial"/>
                <w:b w:val="false"/>
                <w:bCs w:val="false"/>
                <w:color w:val="C00000"/>
                <w:sz w:val="20"/>
                <w:szCs w:val="20"/>
              </w:rPr>
              <w:t xml:space="preserve">✘  The system requires no monitoring — it never fails.</w:t>
            </w:r>
          </w:p>
        </w:tc>
      </w:tr>
    </w:tbl>
    <w:p>
      <w:pPr>
        <w:spacing w:after="0" w:before="80"/>
      </w:pPr>
      <w:r>
        <w:t xml:space="preserve"/>
      </w:r>
    </w:p>
    <w:p>
      <w:pPr>
        <w:pStyle w:val="Heading3"/>
        <w:spacing w:after="100" w:before="240"/>
      </w:pPr>
      <w:r>
        <w:rPr>
          <w:rFonts w:ascii="Arial" w:cs="Arial" w:eastAsia="Arial" w:hAnsi="Arial"/>
          <w:b/>
          <w:bCs/>
          <w:color w:val="2F2F2F"/>
          <w:sz w:val="24"/>
          <w:szCs w:val="24"/>
        </w:rPr>
        <w:t xml:space="preserve">Risk if Stage Is Rushed or Skipped</w:t>
      </w:r>
    </w:p>
    <w:p>
      <w:pPr>
        <w:pStyle w:val="ListParagraph"/>
        <w:numPr>
          <w:ilvl w:val="0"/>
          <w:numId w:val="2"/>
        </w:numPr>
        <w:spacing w:after="40" w:before="40"/>
      </w:pPr>
      <w:r>
        <w:rPr>
          <w:rFonts w:ascii="Arial" w:cs="Arial" w:eastAsia="Arial" w:hAnsi="Arial"/>
          <w:b w:val="false"/>
          <w:bCs w:val="false"/>
          <w:sz w:val="22"/>
          <w:szCs w:val="22"/>
        </w:rPr>
        <w:t xml:space="preserve">Demoing without a working import job makes the data-ingestion story abstract and unbelievable.</w:t>
      </w:r>
    </w:p>
    <w:p>
      <w:pPr>
        <w:pStyle w:val="ListParagraph"/>
        <w:numPr>
          <w:ilvl w:val="0"/>
          <w:numId w:val="2"/>
        </w:numPr>
        <w:spacing w:after="40" w:before="40"/>
      </w:pPr>
      <w:r>
        <w:rPr>
          <w:rFonts w:ascii="Arial" w:cs="Arial" w:eastAsia="Arial" w:hAnsi="Arial"/>
          <w:b w:val="false"/>
          <w:bCs w:val="false"/>
          <w:sz w:val="22"/>
          <w:szCs w:val="22"/>
        </w:rPr>
        <w:t xml:space="preserve">Not having the Schema Configuration page means you cannot answer 'how does my custom data structure get mapped?' in a compelling way.</w:t>
      </w:r>
    </w:p>
    <w:p>
      <w:pPr>
        <w:pStyle w:val="ListParagraph"/>
        <w:numPr>
          <w:ilvl w:val="0"/>
          <w:numId w:val="2"/>
        </w:numPr>
        <w:spacing w:after="40" w:before="40"/>
      </w:pPr>
      <w:r>
        <w:rPr>
          <w:rFonts w:ascii="Arial" w:cs="Arial" w:eastAsia="Arial" w:hAnsi="Arial"/>
          <w:b w:val="false"/>
          <w:bCs w:val="false"/>
          <w:sz w:val="22"/>
          <w:szCs w:val="22"/>
        </w:rPr>
        <w:t xml:space="preserve">A poorly rehearsed demo script will lose qualified prospects who are comparing you to established BI vendors.</w:t>
      </w:r>
    </w:p>
    <w:p>
      <w:pPr>
        <w:spacing w:after="0" w:before="80"/>
      </w:pPr>
      <w:r>
        <w:t xml:space="preserve"/>
      </w:r>
    </w:p>
    <w:p>
      <w:pPr>
        <w:pStyle w:val="Heading3"/>
        <w:spacing w:after="100" w:before="240"/>
      </w:pPr>
      <w:r>
        <w:rPr>
          <w:rFonts w:ascii="Arial" w:cs="Arial" w:eastAsia="Arial" w:hAnsi="Arial"/>
          <w:b/>
          <w:bCs/>
          <w:color w:val="2F2F2F"/>
          <w:sz w:val="24"/>
          <w:szCs w:val="24"/>
        </w:rPr>
        <w:t xml:space="preserve">Exit Criteria — When You Are Ready to Advance</w:t>
      </w:r>
    </w:p>
    <w:p>
      <w:pPr>
        <w:pStyle w:val="ListParagraph"/>
        <w:numPr>
          <w:ilvl w:val="0"/>
          <w:numId w:val="2"/>
        </w:numPr>
        <w:spacing w:after="40" w:before="40"/>
      </w:pPr>
      <w:r>
        <w:rPr>
          <w:rFonts w:ascii="Arial" w:cs="Arial" w:eastAsia="Arial" w:hAnsi="Arial"/>
          <w:b w:val="false"/>
          <w:bCs w:val="false"/>
          <w:sz w:val="22"/>
          <w:szCs w:val="22"/>
        </w:rPr>
        <w:t xml:space="preserve">At least three qualified demo calls completed with a structured 10-minute script.</w:t>
      </w:r>
    </w:p>
    <w:p>
      <w:pPr>
        <w:pStyle w:val="ListParagraph"/>
        <w:numPr>
          <w:ilvl w:val="0"/>
          <w:numId w:val="2"/>
        </w:numPr>
        <w:spacing w:after="40" w:before="40"/>
      </w:pPr>
      <w:r>
        <w:rPr>
          <w:rFonts w:ascii="Arial" w:cs="Arial" w:eastAsia="Arial" w:hAnsi="Arial"/>
          <w:b w:val="false"/>
          <w:bCs w:val="false"/>
          <w:sz w:val="22"/>
          <w:szCs w:val="22"/>
        </w:rPr>
        <w:t xml:space="preserve">At least one prospect has requested a readiness assessment proposal.</w:t>
      </w:r>
    </w:p>
    <w:p>
      <w:pPr>
        <w:pStyle w:val="ListParagraph"/>
        <w:numPr>
          <w:ilvl w:val="0"/>
          <w:numId w:val="2"/>
        </w:numPr>
        <w:spacing w:after="40" w:before="40"/>
      </w:pPr>
      <w:r>
        <w:rPr>
          <w:rFonts w:ascii="Arial" w:cs="Arial" w:eastAsia="Arial" w:hAnsi="Arial"/>
          <w:b w:val="false"/>
          <w:bCs w:val="false"/>
          <w:sz w:val="22"/>
          <w:szCs w:val="22"/>
        </w:rPr>
        <w:t xml:space="preserve">Demo data set produces reproducible, interesting insights on every run.</w:t>
      </w:r>
    </w:p>
    <w:p>
      <w:pPr>
        <w:pStyle w:val="ListParagraph"/>
        <w:numPr>
          <w:ilvl w:val="0"/>
          <w:numId w:val="2"/>
        </w:numPr>
        <w:spacing w:after="40" w:before="40"/>
      </w:pPr>
      <w:r>
        <w:rPr>
          <w:rFonts w:ascii="Arial" w:cs="Arial" w:eastAsia="Arial" w:hAnsi="Arial"/>
          <w:b w:val="false"/>
          <w:bCs w:val="false"/>
          <w:sz w:val="22"/>
          <w:szCs w:val="22"/>
        </w:rPr>
        <w:t xml:space="preserve">CSV and Excel connectors have been tested with real exported data from at least two different source formats.</w:t>
      </w:r>
    </w:p>
    <w:p>
      <w:pPr>
        <w:pBdr>
          <w:bottom w:val="single" w:color="CCCCCC" w:sz="6" w:space="4"/>
        </w:pBdr>
        <w:spacing w:after="80" w:before="80"/>
      </w:pPr>
      <w:r>
        <w:t xml:space="preserve"/>
      </w:r>
    </w:p>
    <w:p>
      <w:pPr>
        <w:pBdr>
          <w:top w:val="single" w:color="2E75B6" w:sz="12"/>
          <w:bottom w:val="single" w:color="2E75B6" w:sz="12"/>
        </w:pBdr>
        <w:shd w:fill="FCE4D6" w:val="clear"/>
        <w:spacing w:after="0" w:before="280"/>
        <w:ind w:left="200" w:right="200"/>
      </w:pPr>
      <w:r>
        <w:rPr>
          <w:rFonts w:ascii="Arial" w:cs="Arial" w:eastAsia="Arial" w:hAnsi="Arial"/>
          <w:b/>
          <w:bCs/>
          <w:color w:val="1F3864"/>
          <w:sz w:val="32"/>
          <w:szCs w:val="32"/>
        </w:rPr>
        <w:t xml:space="preserve">Stage 4  </w:t>
      </w:r>
      <w:r>
        <w:rPr>
          <w:rFonts w:ascii="Arial" w:cs="Arial" w:eastAsia="Arial" w:hAnsi="Arial"/>
          <w:b/>
          <w:bCs/>
          <w:color w:val="2E75B6"/>
          <w:sz w:val="32"/>
          <w:szCs w:val="32"/>
        </w:rPr>
        <w:t xml:space="preserve">Paid Readiness Assessment</w:t>
      </w:r>
    </w:p>
    <w:p>
      <w:pPr>
        <w:shd w:fill="FCE4D6" w:val="clear"/>
        <w:spacing w:after="200" w:before="0"/>
        <w:ind w:left="200"/>
      </w:pPr>
      <w:r>
        <w:rPr>
          <w:rFonts w:ascii="Arial" w:cs="Arial" w:eastAsia="Arial" w:hAnsi="Arial"/>
          <w:color w:val="505050"/>
          <w:sz w:val="22"/>
          <w:szCs w:val="22"/>
        </w:rPr>
        <w:t xml:space="preserve">Timing: After Tasks 57–76 core AND Admin area fully functional (A-01–A-08) AND Schema Config complete (SC-01–SC-04).</w:t>
      </w:r>
    </w:p>
    <w:p>
      <w:pPr>
        <w:pStyle w:val="Heading3"/>
        <w:spacing w:after="100" w:before="240"/>
      </w:pPr>
      <w:r>
        <w:rPr>
          <w:rFonts w:ascii="Arial" w:cs="Arial" w:eastAsia="Arial" w:hAnsi="Arial"/>
          <w:b/>
          <w:bCs/>
          <w:color w:val="2F2F2F"/>
          <w:sz w:val="24"/>
          <w:szCs w:val="24"/>
        </w:rPr>
        <w:t xml:space="preserve">Business Objective</w:t>
      </w:r>
    </w:p>
    <w:p>
      <w:pPr>
        <w:pStyle w:val="ListParagraph"/>
        <w:numPr>
          <w:ilvl w:val="0"/>
          <w:numId w:val="2"/>
        </w:numPr>
        <w:spacing w:after="40" w:before="40"/>
      </w:pPr>
      <w:r>
        <w:rPr>
          <w:rFonts w:ascii="Arial" w:cs="Arial" w:eastAsia="Arial" w:hAnsi="Arial"/>
          <w:b w:val="false"/>
          <w:bCs w:val="false"/>
          <w:sz w:val="22"/>
          <w:szCs w:val="22"/>
        </w:rPr>
        <w:t xml:space="preserve">Sell a low-risk, paid diagnostic service: customer exports a sample of their data, you assess it for quality-intelligence readiness.</w:t>
      </w:r>
    </w:p>
    <w:p>
      <w:pPr>
        <w:pStyle w:val="ListParagraph"/>
        <w:numPr>
          <w:ilvl w:val="0"/>
          <w:numId w:val="2"/>
        </w:numPr>
        <w:spacing w:after="40" w:before="40"/>
      </w:pPr>
      <w:r>
        <w:rPr>
          <w:rFonts w:ascii="Arial" w:cs="Arial" w:eastAsia="Arial" w:hAnsi="Arial"/>
          <w:b w:val="false"/>
          <w:bCs w:val="false"/>
          <w:sz w:val="22"/>
          <w:szCs w:val="22"/>
        </w:rPr>
        <w:t xml:space="preserve">Produce a structured readiness report with dimension-level scores, blockers, pilot feasibility rating, and a prioritized action list.</w:t>
      </w:r>
    </w:p>
    <w:p>
      <w:pPr>
        <w:pStyle w:val="ListParagraph"/>
        <w:numPr>
          <w:ilvl w:val="0"/>
          <w:numId w:val="2"/>
        </w:numPr>
        <w:spacing w:after="40" w:before="40"/>
      </w:pPr>
      <w:r>
        <w:rPr>
          <w:rFonts w:ascii="Arial" w:cs="Arial" w:eastAsia="Arial" w:hAnsi="Arial"/>
          <w:b w:val="false"/>
          <w:bCs w:val="false"/>
          <w:sz w:val="22"/>
          <w:szCs w:val="22"/>
        </w:rPr>
        <w:t xml:space="preserve">Demonstrate the Jobs Monitor with all job types running, showing professional operational control.</w:t>
      </w:r>
    </w:p>
    <w:p>
      <w:pPr>
        <w:pStyle w:val="ListParagraph"/>
        <w:numPr>
          <w:ilvl w:val="0"/>
          <w:numId w:val="2"/>
        </w:numPr>
        <w:spacing w:after="40" w:before="40"/>
      </w:pPr>
      <w:r>
        <w:rPr>
          <w:rFonts w:ascii="Arial" w:cs="Arial" w:eastAsia="Arial" w:hAnsi="Arial"/>
          <w:b w:val="false"/>
          <w:bCs w:val="false"/>
          <w:sz w:val="22"/>
          <w:szCs w:val="22"/>
        </w:rPr>
        <w:t xml:space="preserve">Build trust by showing exactly what a pilot would require before committing the customer to a full pilot.</w:t>
      </w:r>
    </w:p>
    <w:p>
      <w:pPr>
        <w:pStyle w:val="ListParagraph"/>
        <w:numPr>
          <w:ilvl w:val="0"/>
          <w:numId w:val="2"/>
        </w:numPr>
        <w:spacing w:after="40" w:before="40"/>
      </w:pPr>
      <w:r>
        <w:rPr>
          <w:rFonts w:ascii="Arial" w:cs="Arial" w:eastAsia="Arial" w:hAnsi="Arial"/>
          <w:b w:val="false"/>
          <w:bCs w:val="false"/>
          <w:sz w:val="22"/>
          <w:szCs w:val="22"/>
        </w:rPr>
        <w:t xml:space="preserve">Validate whether the customer's data has sufficient quality, coverage, and genealogy linkage for ML correlation to produce useful results.</w:t>
      </w:r>
    </w:p>
    <w:p>
      <w:pPr>
        <w:spacing w:after="0" w:before="80"/>
      </w:pPr>
      <w:r>
        <w:t xml:space="preserve"/>
      </w:r>
    </w:p>
    <w:p>
      <w:pPr>
        <w:pStyle w:val="Heading3"/>
        <w:spacing w:after="100" w:before="240"/>
      </w:pPr>
      <w:r>
        <w:rPr>
          <w:rFonts w:ascii="Arial" w:cs="Arial" w:eastAsia="Arial" w:hAnsi="Arial"/>
          <w:b/>
          <w:bCs/>
          <w:color w:val="2F2F2F"/>
          <w:sz w:val="24"/>
          <w:szCs w:val="24"/>
        </w:rPr>
        <w:t xml:space="preserve">Prerequisites — What Must Be Done First</w:t>
      </w:r>
    </w:p>
    <w:p>
      <w:pPr>
        <w:pStyle w:val="ListParagraph"/>
        <w:numPr>
          <w:ilvl w:val="0"/>
          <w:numId w:val="2"/>
        </w:numPr>
        <w:spacing w:after="40" w:before="40"/>
      </w:pPr>
      <w:r>
        <w:rPr>
          <w:rFonts w:ascii="Arial" w:cs="Arial" w:eastAsia="Arial" w:hAnsi="Arial"/>
          <w:b w:val="false"/>
          <w:bCs w:val="false"/>
          <w:sz w:val="22"/>
          <w:szCs w:val="22"/>
        </w:rPr>
        <w:t xml:space="preserve">Readiness scoring service (Task 72) returns dimension-level scores for source availability, schema, mapping, genealogy, data quality, correlation readiness, and prediction readiness.</w:t>
      </w:r>
    </w:p>
    <w:p>
      <w:pPr>
        <w:pStyle w:val="ListParagraph"/>
        <w:numPr>
          <w:ilvl w:val="0"/>
          <w:numId w:val="2"/>
        </w:numPr>
        <w:spacing w:after="40" w:before="40"/>
      </w:pPr>
      <w:r>
        <w:rPr>
          <w:rFonts w:ascii="Arial" w:cs="Arial" w:eastAsia="Arial" w:hAnsi="Arial"/>
          <w:b w:val="false"/>
          <w:bCs w:val="false"/>
          <w:sz w:val="22"/>
          <w:szCs w:val="22"/>
        </w:rPr>
        <w:t xml:space="preserve">Commercial readiness report endpoint (Task 73) returns structured findings, blockers, pilot feasibility, and next actions.</w:t>
      </w:r>
    </w:p>
    <w:p>
      <w:pPr>
        <w:pStyle w:val="ListParagraph"/>
        <w:numPr>
          <w:ilvl w:val="0"/>
          <w:numId w:val="2"/>
        </w:numPr>
        <w:spacing w:after="40" w:before="40"/>
      </w:pPr>
      <w:r>
        <w:rPr>
          <w:rFonts w:ascii="Arial" w:cs="Arial" w:eastAsia="Arial" w:hAnsi="Arial"/>
          <w:b w:val="false"/>
          <w:bCs w:val="false"/>
          <w:sz w:val="22"/>
          <w:szCs w:val="22"/>
        </w:rPr>
        <w:t xml:space="preserve">Readiness PDF export (Task 74) produces a customer-grade formatted report.</w:t>
      </w:r>
    </w:p>
    <w:p>
      <w:pPr>
        <w:pStyle w:val="ListParagraph"/>
        <w:numPr>
          <w:ilvl w:val="0"/>
          <w:numId w:val="2"/>
        </w:numPr>
        <w:spacing w:after="40" w:before="40"/>
      </w:pPr>
      <w:r>
        <w:rPr>
          <w:rFonts w:ascii="Arial" w:cs="Arial" w:eastAsia="Arial" w:hAnsi="Arial"/>
          <w:b w:val="false"/>
          <w:bCs w:val="false"/>
          <w:sz w:val="22"/>
          <w:szCs w:val="22"/>
        </w:rPr>
        <w:t xml:space="preserve">Jobs Monitor page is operational with all current job types.</w:t>
      </w:r>
    </w:p>
    <w:p>
      <w:pPr>
        <w:pStyle w:val="ListParagraph"/>
        <w:numPr>
          <w:ilvl w:val="0"/>
          <w:numId w:val="2"/>
        </w:numPr>
        <w:spacing w:after="40" w:before="40"/>
      </w:pPr>
      <w:r>
        <w:rPr>
          <w:rFonts w:ascii="Arial" w:cs="Arial" w:eastAsia="Arial" w:hAnsi="Arial"/>
          <w:b w:val="false"/>
          <w:bCs w:val="false"/>
          <w:sz w:val="22"/>
          <w:szCs w:val="22"/>
        </w:rPr>
        <w:t xml:space="preserve">Schema Configuration page supports user-defined SQL views with validation and preview.</w:t>
      </w:r>
    </w:p>
    <w:p>
      <w:pPr>
        <w:pStyle w:val="ListParagraph"/>
        <w:numPr>
          <w:ilvl w:val="0"/>
          <w:numId w:val="2"/>
        </w:numPr>
        <w:spacing w:after="40" w:before="40"/>
      </w:pPr>
      <w:r>
        <w:rPr>
          <w:rFonts w:ascii="Arial" w:cs="Arial" w:eastAsia="Arial" w:hAnsi="Arial"/>
          <w:b w:val="false"/>
          <w:bCs w:val="false"/>
          <w:sz w:val="22"/>
          <w:szCs w:val="22"/>
        </w:rPr>
        <w:t xml:space="preserve">Importing Data tab shows second-stage canonical refresh job configuration.</w:t>
      </w:r>
    </w:p>
    <w:p>
      <w:pPr>
        <w:spacing w:after="0" w:before="80"/>
      </w:pPr>
      <w:r>
        <w:t xml:space="preserve"/>
      </w:r>
    </w:p>
    <w:p>
      <w:pPr>
        <w:pStyle w:val="Heading3"/>
        <w:spacing w:after="100" w:before="240"/>
      </w:pPr>
      <w:r>
        <w:rPr>
          <w:rFonts w:ascii="Arial" w:cs="Arial" w:eastAsia="Arial" w:hAnsi="Arial"/>
          <w:b/>
          <w:bCs/>
          <w:color w:val="2F2F2F"/>
          <w:sz w:val="24"/>
          <w:szCs w:val="24"/>
        </w:rPr>
        <w:t xml:space="preserve">Technical Readiness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2400"/>
        <w:gridCol w:w="3660"/>
      </w:tblGrid>
      <w:tr>
        <w:tc>
          <w:tcPr>
            <w:tcW w:type="dxa" w:w="26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20"/>
                <w:szCs w:val="20"/>
              </w:rPr>
              <w:t xml:space="preserve">Readiness Item</w:t>
            </w:r>
          </w:p>
        </w:tc>
        <w:tc>
          <w:tcPr>
            <w:tcW w:type="dxa" w:w="7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20"/>
                <w:szCs w:val="20"/>
              </w:rPr>
              <w:t xml:space="preserve">Priority</w:t>
            </w:r>
          </w:p>
        </w:tc>
        <w:tc>
          <w:tcPr>
            <w:tcW w:type="dxa" w:w="24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20"/>
                <w:szCs w:val="20"/>
              </w:rPr>
              <w:t xml:space="preserve">Vision-Specific Gate</w:t>
            </w:r>
          </w:p>
        </w:tc>
        <w:tc>
          <w:tcPr>
            <w:tcW w:type="dxa" w:w="366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20"/>
                <w:szCs w:val="20"/>
              </w:rPr>
              <w:t xml:space="preserve">Acceptance Criteria</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Readiness scoring — dimension level</w:t>
            </w:r>
          </w:p>
        </w:tc>
        <w:tc>
          <w:tcPr>
            <w:tcW w:type="dxa" w:w="70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center"/>
            </w:pPr>
            <w:r>
              <w:rPr>
                <w:rFonts w:ascii="Arial" w:cs="Arial" w:eastAsia="Arial" w:hAnsi="Arial"/>
                <w:b/>
                <w:bCs/>
                <w:color w:val="C00000"/>
                <w:sz w:val="18"/>
                <w:szCs w:val="18"/>
              </w:rPr>
              <w:t xml:space="preserve">Critical</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None new.</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API returns scores for 7 dimensions with reasons for each.</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Commercial readiness report endpoint</w:t>
            </w:r>
          </w:p>
        </w:tc>
        <w:tc>
          <w:tcPr>
            <w:tcW w:type="dxa" w:w="70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center"/>
            </w:pPr>
            <w:r>
              <w:rPr>
                <w:rFonts w:ascii="Arial" w:cs="Arial" w:eastAsia="Arial" w:hAnsi="Arial"/>
                <w:b/>
                <w:bCs/>
                <w:color w:val="C00000"/>
                <w:sz w:val="18"/>
                <w:szCs w:val="18"/>
              </w:rPr>
              <w:t xml:space="preserve">Critical</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None new.</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Report includes findings, blockers, pilot feasibility, and prioritized next actions.</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Readiness PDF export</w:t>
            </w:r>
          </w:p>
        </w:tc>
        <w:tc>
          <w:tcPr>
            <w:tcW w:type="dxa" w:w="70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bCs/>
                <w:color w:val="C55A11"/>
                <w:sz w:val="18"/>
                <w:szCs w:val="18"/>
              </w:rPr>
              <w:t xml:space="preserve">Important</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None new.</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PDF is branded, readable, and suitable for customer delivery.</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Data-quality scan and issues UI</w:t>
            </w:r>
          </w:p>
        </w:tc>
        <w:tc>
          <w:tcPr>
            <w:tcW w:type="dxa" w:w="70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center"/>
            </w:pPr>
            <w:r>
              <w:rPr>
                <w:rFonts w:ascii="Arial" w:cs="Arial" w:eastAsia="Arial" w:hAnsi="Arial"/>
                <w:b/>
                <w:bCs/>
                <w:color w:val="C00000"/>
                <w:sz w:val="18"/>
                <w:szCs w:val="18"/>
              </w:rPr>
              <w:t xml:space="preserve">Critical</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None new.</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Customer can see data quality issues detected in their sample data.</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Admin: Jobs Monitor — all job types</w:t>
            </w:r>
          </w:p>
        </w:tc>
        <w:tc>
          <w:tcPr>
            <w:tcW w:type="dxa" w:w="70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center"/>
            </w:pPr>
            <w:r>
              <w:rPr>
                <w:rFonts w:ascii="Arial" w:cs="Arial" w:eastAsia="Arial" w:hAnsi="Arial"/>
                <w:b/>
                <w:bCs/>
                <w:color w:val="C00000"/>
                <w:sz w:val="18"/>
                <w:szCs w:val="18"/>
              </w:rPr>
              <w:t xml:space="preserve">Critical</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NEW: Vision §1.6 Jobs Monitor. Customers will judge operational maturity.</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Jobs Monitor shows DB link, canonical refresh, and any ML jobs that are configured.</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Admin: Schema Config — SQL views execution</w:t>
            </w:r>
          </w:p>
        </w:tc>
        <w:tc>
          <w:tcPr>
            <w:tcW w:type="dxa" w:w="70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bCs/>
                <w:color w:val="C55A11"/>
                <w:sz w:val="18"/>
                <w:szCs w:val="18"/>
              </w:rPr>
              <w:t xml:space="preserve">Important</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NEW: Vision §1.4 SQL schema layer.</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User can write a JOIN view across two dump files and see the result preview.</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Admin: Importing Data tab — canonical refresh config</w:t>
            </w:r>
          </w:p>
        </w:tc>
        <w:tc>
          <w:tcPr>
            <w:tcW w:type="dxa" w:w="70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bCs/>
                <w:color w:val="C55A11"/>
                <w:sz w:val="18"/>
                <w:szCs w:val="18"/>
              </w:rPr>
              <w:t xml:space="preserve">Important</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NEW: Vision §1.5 second-stage import.</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Second-stage canonical refresh job is configurable and visible in Jobs Monitor.</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Investigation report with full context</w:t>
            </w:r>
          </w:p>
        </w:tc>
        <w:tc>
          <w:tcPr>
            <w:tcW w:type="dxa" w:w="70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bCs/>
                <w:color w:val="C55A11"/>
                <w:sz w:val="18"/>
                <w:szCs w:val="18"/>
              </w:rPr>
              <w:t xml:space="preserve">Important</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None new.</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Report includes genealogy, process timeline, parameter analysis, risk contributors, and data quality issues.</w:t>
            </w:r>
          </w:p>
        </w:tc>
      </w:tr>
    </w:tbl>
    <w:p>
      <w:pPr>
        <w:spacing w:after="0" w:before="80"/>
      </w:pPr>
      <w:r>
        <w:t xml:space="preserve"/>
      </w:r>
    </w:p>
    <w:p>
      <w:pPr>
        <w:pStyle w:val="Heading3"/>
        <w:spacing w:after="100" w:before="240"/>
      </w:pPr>
      <w:r>
        <w:rPr>
          <w:rFonts w:ascii="Arial" w:cs="Arial" w:eastAsia="Arial" w:hAnsi="Arial"/>
          <w:b/>
          <w:bCs/>
          <w:color w:val="2F2F2F"/>
          <w:sz w:val="24"/>
          <w:szCs w:val="24"/>
        </w:rPr>
        <w:t xml:space="preserve">New Vision-Specific Gates (Updated from Latest Vision)</w:t>
      </w:r>
    </w:p>
    <w:p>
      <w:pPr>
        <w:spacing w:after="60" w:before="60"/>
        <w:jc w:val="both"/>
      </w:pPr>
      <w:r>
        <w:rPr>
          <w:rFonts w:ascii="Arial" w:cs="Arial" w:eastAsia="Arial" w:hAnsi="Arial"/>
          <w:b/>
          <w:bCs/>
          <w:color w:val="000000"/>
          <w:sz w:val="22"/>
          <w:szCs w:val="22"/>
        </w:rPr>
        <w:t xml:space="preserve">Jobs Monitor must demonstrate professional operational control</w:t>
      </w:r>
    </w:p>
    <w:p>
      <w:pPr>
        <w:spacing w:after="60" w:before="60"/>
        <w:jc w:val="both"/>
      </w:pPr>
      <w:r>
        <w:rPr>
          <w:rFonts w:ascii="Arial" w:cs="Arial" w:eastAsia="Arial" w:hAnsi="Arial"/>
          <w:b w:val="false"/>
          <w:bCs w:val="false"/>
          <w:color w:val="333333"/>
          <w:sz w:val="22"/>
          <w:szCs w:val="22"/>
        </w:rPr>
        <w:t xml:space="preserve">At Stage 4, the customer is paying for a diagnostic. They will scrutinize the product's operational maturity. The Jobs Monitor must be functional, showing at minimum the DB link import job and the canonical refresh job with correct last-run times, durations, and statuses. Any job failure must appear clearly with a reason — not a blank status.</w:t>
      </w:r>
    </w:p>
    <w:p>
      <w:pPr>
        <w:spacing w:after="0" w:before="80"/>
      </w:pPr>
      <w:r>
        <w:t xml:space="preserve"/>
      </w:r>
    </w:p>
    <w:p>
      <w:pPr>
        <w:spacing w:after="60" w:before="60"/>
        <w:jc w:val="both"/>
      </w:pPr>
      <w:r>
        <w:rPr>
          <w:rFonts w:ascii="Arial" w:cs="Arial" w:eastAsia="Arial" w:hAnsi="Arial"/>
          <w:b/>
          <w:bCs/>
          <w:color w:val="000000"/>
          <w:sz w:val="22"/>
          <w:szCs w:val="22"/>
        </w:rPr>
        <w:t xml:space="preserve">Schema Configuration must support SQL view execution</w:t>
      </w:r>
    </w:p>
    <w:p>
      <w:pPr>
        <w:spacing w:after="60" w:before="60"/>
        <w:jc w:val="both"/>
      </w:pPr>
      <w:r>
        <w:rPr>
          <w:rFonts w:ascii="Arial" w:cs="Arial" w:eastAsia="Arial" w:hAnsi="Arial"/>
          <w:b w:val="false"/>
          <w:bCs w:val="false"/>
          <w:color w:val="333333"/>
          <w:sz w:val="22"/>
          <w:szCs w:val="22"/>
        </w:rPr>
        <w:t xml:space="preserve">The paid readiness assessment will often reveal that a customer's data is in a non-standard structure requiring a SQL JOIN view to map correctly. The Schema Configuration page must allow the consultant to write this view during the assessment session, not require offline development work. Full SQL execution with sandboxed read-only access to dump files must be working.</w:t>
      </w:r>
    </w:p>
    <w:p>
      <w:pPr>
        <w:spacing w:after="0" w:before="80"/>
      </w:pPr>
      <w:r>
        <w:t xml:space="preserve"/>
      </w:r>
    </w:p>
    <w:p>
      <w:pPr>
        <w:spacing w:after="60" w:before="60"/>
        <w:jc w:val="both"/>
      </w:pPr>
      <w:r>
        <w:rPr>
          <w:rFonts w:ascii="Arial" w:cs="Arial" w:eastAsia="Arial" w:hAnsi="Arial"/>
          <w:b/>
          <w:bCs/>
          <w:color w:val="000000"/>
          <w:sz w:val="22"/>
          <w:szCs w:val="22"/>
        </w:rPr>
        <w:t xml:space="preserve">Importing Data tab clarifies the two-stage model to the customer</w:t>
      </w:r>
    </w:p>
    <w:p>
      <w:pPr>
        <w:spacing w:after="60" w:before="60"/>
        <w:jc w:val="both"/>
      </w:pPr>
      <w:r>
        <w:rPr>
          <w:rFonts w:ascii="Arial" w:cs="Arial" w:eastAsia="Arial" w:hAnsi="Arial"/>
          <w:b w:val="false"/>
          <w:bCs w:val="false"/>
          <w:color w:val="333333"/>
          <w:sz w:val="22"/>
          <w:szCs w:val="22"/>
        </w:rPr>
        <w:t xml:space="preserve">During a readiness assessment, customers frequently ask: 'when does new data appear in the dashboard?' The Importing Data tab must be present to explain: first, the DB link import brings data into dump files at one rate; second, the canonical refresh reads from dump files at a separate, configurable rate. This two-stage model is a key trust and transparency element.</w:t>
      </w:r>
    </w:p>
    <w:p>
      <w:pPr>
        <w:spacing w:after="0" w:before="80"/>
      </w:pPr>
      <w:r>
        <w:t xml:space="preserve"/>
      </w:r>
    </w:p>
    <w:p>
      <w:pPr>
        <w:pStyle w:val="Heading3"/>
        <w:spacing w:after="100" w:before="240"/>
      </w:pPr>
      <w:r>
        <w:rPr>
          <w:rFonts w:ascii="Arial" w:cs="Arial" w:eastAsia="Arial" w:hAnsi="Arial"/>
          <w:b/>
          <w:bCs/>
          <w:color w:val="2F2F2F"/>
          <w:sz w:val="24"/>
          <w:szCs w:val="24"/>
        </w:rPr>
        <w:t xml:space="preserve">Commercial Messaging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20"/>
                <w:szCs w:val="20"/>
              </w:rPr>
              <w:t xml:space="preserve">You can say at this stage</w:t>
            </w:r>
          </w:p>
        </w:tc>
        <w:tc>
          <w:tcPr>
            <w:tcW w:type="dxa" w:w="46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20"/>
                <w:szCs w:val="20"/>
              </w:rPr>
              <w:t xml:space="preserve">You must NOT say yet</w:t>
            </w:r>
          </w:p>
        </w:tc>
      </w:tr>
      <w:tr>
        <w:tc>
          <w:tcPr>
            <w:tcW w:type="dxa" w:w="4680"/>
            <w:tcBorders>
              <w:top w:val="single" w:color="AAAAAA" w:sz="4"/>
              <w:left w:val="single" w:color="AAAAAA" w:sz="4"/>
              <w:bottom w:val="single" w:color="AAAAAA" w:sz="4"/>
              <w:right w:val="single" w:color="AAAAAA" w:sz="4"/>
            </w:tcBorders>
            <w:shd w:fill="F0FAF0" w:val="clear"/>
            <w:tcMar>
              <w:top w:type="dxa" w:w="60"/>
              <w:left w:type="dxa" w:w="110"/>
              <w:bottom w:type="dxa" w:w="60"/>
              <w:right w:type="dxa" w:w="110"/>
            </w:tcMar>
            <w:vAlign w:val="top"/>
          </w:tcPr>
          <w:p>
            <w:pPr>
              <w:spacing w:after="30" w:before="0"/>
            </w:pPr>
            <w:r>
              <w:rPr>
                <w:rFonts w:ascii="Arial" w:cs="Arial" w:eastAsia="Arial" w:hAnsi="Arial"/>
                <w:b w:val="false"/>
                <w:bCs w:val="false"/>
                <w:color w:val="375623"/>
                <w:sz w:val="20"/>
                <w:szCs w:val="20"/>
              </w:rPr>
              <w:t xml:space="preserve">✔  We can assess whether your data is ready for quality correlation and pilot, and tell you exactly what needs to be fixed first.</w:t>
            </w:r>
          </w:p>
        </w:tc>
        <w:tc>
          <w:tcPr>
            <w:tcW w:type="dxa" w:w="4680"/>
            <w:tcBorders>
              <w:top w:val="single" w:color="AAAAAA" w:sz="4"/>
              <w:left w:val="single" w:color="AAAAAA" w:sz="4"/>
              <w:bottom w:val="single" w:color="AAAAAA" w:sz="4"/>
              <w:right w:val="single" w:color="AAAAAA" w:sz="4"/>
            </w:tcBorders>
            <w:shd w:fill="FFF0F0" w:val="clear"/>
            <w:tcMar>
              <w:top w:type="dxa" w:w="60"/>
              <w:left w:type="dxa" w:w="110"/>
              <w:bottom w:type="dxa" w:w="60"/>
              <w:right w:type="dxa" w:w="110"/>
            </w:tcMar>
            <w:vAlign w:val="top"/>
          </w:tcPr>
          <w:p>
            <w:pPr>
              <w:spacing w:after="30" w:before="0"/>
            </w:pPr>
            <w:r>
              <w:rPr>
                <w:rFonts w:ascii="Arial" w:cs="Arial" w:eastAsia="Arial" w:hAnsi="Arial"/>
                <w:b w:val="false"/>
                <w:bCs w:val="false"/>
                <w:color w:val="C00000"/>
                <w:sz w:val="20"/>
                <w:szCs w:val="20"/>
              </w:rPr>
              <w:t xml:space="preserve">✘  We guarantee a correlation result from your data before seeing it.</w:t>
            </w:r>
          </w:p>
        </w:tc>
      </w:tr>
      <w:tr>
        <w:tc>
          <w:tcPr>
            <w:tcW w:type="dxa" w:w="4680"/>
            <w:tcBorders>
              <w:top w:val="single" w:color="AAAAAA" w:sz="4"/>
              <w:left w:val="single" w:color="AAAAAA" w:sz="4"/>
              <w:bottom w:val="single" w:color="AAAAAA" w:sz="4"/>
              <w:right w:val="single" w:color="AAAAAA" w:sz="4"/>
            </w:tcBorders>
            <w:shd w:fill="F0FAF0" w:val="clear"/>
            <w:tcMar>
              <w:top w:type="dxa" w:w="60"/>
              <w:left w:type="dxa" w:w="110"/>
              <w:bottom w:type="dxa" w:w="60"/>
              <w:right w:type="dxa" w:w="110"/>
            </w:tcMar>
            <w:vAlign w:val="top"/>
          </w:tcPr>
          <w:p>
            <w:pPr>
              <w:spacing w:after="30" w:before="0"/>
            </w:pPr>
            <w:r>
              <w:rPr>
                <w:rFonts w:ascii="Arial" w:cs="Arial" w:eastAsia="Arial" w:hAnsi="Arial"/>
                <w:b w:val="false"/>
                <w:bCs w:val="false"/>
                <w:color w:val="375623"/>
                <w:sz w:val="20"/>
                <w:szCs w:val="20"/>
              </w:rPr>
              <w:t xml:space="preserve">✔  Our readiness report includes a pilot feasibility score and a prioritized action list your IT and process teams can act on immediately.</w:t>
            </w:r>
          </w:p>
        </w:tc>
        <w:tc>
          <w:tcPr>
            <w:tcW w:type="dxa" w:w="4680"/>
            <w:tcBorders>
              <w:top w:val="single" w:color="AAAAAA" w:sz="4"/>
              <w:left w:val="single" w:color="AAAAAA" w:sz="4"/>
              <w:bottom w:val="single" w:color="AAAAAA" w:sz="4"/>
              <w:right w:val="single" w:color="AAAAAA" w:sz="4"/>
            </w:tcBorders>
            <w:shd w:fill="FFF0F0" w:val="clear"/>
            <w:tcMar>
              <w:top w:type="dxa" w:w="60"/>
              <w:left w:type="dxa" w:w="110"/>
              <w:bottom w:type="dxa" w:w="60"/>
              <w:right w:type="dxa" w:w="110"/>
            </w:tcMar>
            <w:vAlign w:val="top"/>
          </w:tcPr>
          <w:p>
            <w:pPr>
              <w:spacing w:after="30" w:before="0"/>
            </w:pPr>
            <w:r>
              <w:rPr>
                <w:rFonts w:ascii="Arial" w:cs="Arial" w:eastAsia="Arial" w:hAnsi="Arial"/>
                <w:b w:val="false"/>
                <w:bCs w:val="false"/>
                <w:color w:val="C00000"/>
                <w:sz w:val="20"/>
                <w:szCs w:val="20"/>
              </w:rPr>
              <w:t xml:space="preserve">✘  The assessment is free — we will do it as part of standard onboarding.</w:t>
            </w:r>
          </w:p>
        </w:tc>
      </w:tr>
      <w:tr>
        <w:tc>
          <w:tcPr>
            <w:tcW w:type="dxa" w:w="4680"/>
            <w:tcBorders>
              <w:top w:val="single" w:color="AAAAAA" w:sz="4"/>
              <w:left w:val="single" w:color="AAAAAA" w:sz="4"/>
              <w:bottom w:val="single" w:color="AAAAAA" w:sz="4"/>
              <w:right w:val="single" w:color="AAAAAA" w:sz="4"/>
            </w:tcBorders>
            <w:shd w:fill="F0FAF0" w:val="clear"/>
            <w:tcMar>
              <w:top w:type="dxa" w:w="60"/>
              <w:left w:type="dxa" w:w="110"/>
              <w:bottom w:type="dxa" w:w="60"/>
              <w:right w:type="dxa" w:w="110"/>
            </w:tcMar>
            <w:vAlign w:val="top"/>
          </w:tcPr>
          <w:p>
            <w:pPr>
              <w:spacing w:after="30" w:before="0"/>
            </w:pPr>
            <w:r>
              <w:rPr>
                <w:rFonts w:ascii="Arial" w:cs="Arial" w:eastAsia="Arial" w:hAnsi="Arial"/>
                <w:b w:val="false"/>
                <w:bCs w:val="false"/>
                <w:color w:val="375623"/>
                <w:sz w:val="20"/>
                <w:szCs w:val="20"/>
              </w:rPr>
              <w:t xml:space="preserve">✔  The Jobs Monitor gives you complete visibility into every data import and processing job.</w:t>
            </w:r>
          </w:p>
        </w:tc>
        <w:tc>
          <w:tcPr>
            <w:tcW w:type="dxa" w:w="4680"/>
            <w:tcBorders>
              <w:top w:val="single" w:color="AAAAAA" w:sz="4"/>
              <w:left w:val="single" w:color="AAAAAA" w:sz="4"/>
              <w:bottom w:val="single" w:color="AAAAAA" w:sz="4"/>
              <w:right w:val="single" w:color="AAAAAA" w:sz="4"/>
            </w:tcBorders>
            <w:shd w:fill="FFF0F0" w:val="clear"/>
            <w:tcMar>
              <w:top w:type="dxa" w:w="60"/>
              <w:left w:type="dxa" w:w="110"/>
              <w:bottom w:type="dxa" w:w="60"/>
              <w:right w:type="dxa" w:w="110"/>
            </w:tcMar>
            <w:vAlign w:val="top"/>
          </w:tcPr>
          <w:p>
            <w:pPr>
              <w:spacing w:after="30" w:before="0"/>
            </w:pPr>
            <w:r>
              <w:rPr>
                <w:rFonts w:ascii="Arial" w:cs="Arial" w:eastAsia="Arial" w:hAnsi="Arial"/>
                <w:b w:val="false"/>
                <w:bCs w:val="false"/>
                <w:color w:val="C00000"/>
                <w:sz w:val="20"/>
                <w:szCs w:val="20"/>
              </w:rPr>
              <w:t xml:space="preserve">✘  The system runs without any monitoring or intervention.</w:t>
            </w:r>
          </w:p>
        </w:tc>
      </w:tr>
    </w:tbl>
    <w:p>
      <w:pPr>
        <w:spacing w:after="0" w:before="80"/>
      </w:pPr>
      <w:r>
        <w:t xml:space="preserve"/>
      </w:r>
    </w:p>
    <w:p>
      <w:pPr>
        <w:pStyle w:val="Heading3"/>
        <w:spacing w:after="100" w:before="240"/>
      </w:pPr>
      <w:r>
        <w:rPr>
          <w:rFonts w:ascii="Arial" w:cs="Arial" w:eastAsia="Arial" w:hAnsi="Arial"/>
          <w:b/>
          <w:bCs/>
          <w:color w:val="2F2F2F"/>
          <w:sz w:val="24"/>
          <w:szCs w:val="24"/>
        </w:rPr>
        <w:t xml:space="preserve">Risk if Stage Is Rushed or Skipped</w:t>
      </w:r>
    </w:p>
    <w:p>
      <w:pPr>
        <w:pStyle w:val="ListParagraph"/>
        <w:numPr>
          <w:ilvl w:val="0"/>
          <w:numId w:val="2"/>
        </w:numPr>
        <w:spacing w:after="40" w:before="40"/>
      </w:pPr>
      <w:r>
        <w:rPr>
          <w:rFonts w:ascii="Arial" w:cs="Arial" w:eastAsia="Arial" w:hAnsi="Arial"/>
          <w:b w:val="false"/>
          <w:bCs w:val="false"/>
          <w:sz w:val="22"/>
          <w:szCs w:val="22"/>
        </w:rPr>
        <w:t xml:space="preserve">Delivering a readiness assessment without the readiness report PDF leaves no deliverable for the customer to share internally.</w:t>
      </w:r>
    </w:p>
    <w:p>
      <w:pPr>
        <w:pStyle w:val="ListParagraph"/>
        <w:numPr>
          <w:ilvl w:val="0"/>
          <w:numId w:val="2"/>
        </w:numPr>
        <w:spacing w:after="40" w:before="40"/>
      </w:pPr>
      <w:r>
        <w:rPr>
          <w:rFonts w:ascii="Arial" w:cs="Arial" w:eastAsia="Arial" w:hAnsi="Arial"/>
          <w:b w:val="false"/>
          <w:bCs w:val="false"/>
          <w:sz w:val="22"/>
          <w:szCs w:val="22"/>
        </w:rPr>
        <w:t xml:space="preserve">Not having the Jobs Monitor operational signals low product maturity to IT-focused contacts.</w:t>
      </w:r>
    </w:p>
    <w:p>
      <w:pPr>
        <w:pStyle w:val="ListParagraph"/>
        <w:numPr>
          <w:ilvl w:val="0"/>
          <w:numId w:val="2"/>
        </w:numPr>
        <w:spacing w:after="40" w:before="40"/>
      </w:pPr>
      <w:r>
        <w:rPr>
          <w:rFonts w:ascii="Arial" w:cs="Arial" w:eastAsia="Arial" w:hAnsi="Arial"/>
          <w:b w:val="false"/>
          <w:bCs w:val="false"/>
          <w:sz w:val="22"/>
          <w:szCs w:val="22"/>
        </w:rPr>
        <w:t xml:space="preserve">Incomplete Schema Config forces the consultant to take offline work away from an assessment session, extending the sales cycle.</w:t>
      </w:r>
    </w:p>
    <w:p>
      <w:pPr>
        <w:spacing w:after="0" w:before="80"/>
      </w:pPr>
      <w:r>
        <w:t xml:space="preserve"/>
      </w:r>
    </w:p>
    <w:p>
      <w:pPr>
        <w:pStyle w:val="Heading3"/>
        <w:spacing w:after="100" w:before="240"/>
      </w:pPr>
      <w:r>
        <w:rPr>
          <w:rFonts w:ascii="Arial" w:cs="Arial" w:eastAsia="Arial" w:hAnsi="Arial"/>
          <w:b/>
          <w:bCs/>
          <w:color w:val="2F2F2F"/>
          <w:sz w:val="24"/>
          <w:szCs w:val="24"/>
        </w:rPr>
        <w:t xml:space="preserve">Exit Criteria — When You Are Ready to Advance</w:t>
      </w:r>
    </w:p>
    <w:p>
      <w:pPr>
        <w:pStyle w:val="ListParagraph"/>
        <w:numPr>
          <w:ilvl w:val="0"/>
          <w:numId w:val="2"/>
        </w:numPr>
        <w:spacing w:after="40" w:before="40"/>
      </w:pPr>
      <w:r>
        <w:rPr>
          <w:rFonts w:ascii="Arial" w:cs="Arial" w:eastAsia="Arial" w:hAnsi="Arial"/>
          <w:b w:val="false"/>
          <w:bCs w:val="false"/>
          <w:sz w:val="22"/>
          <w:szCs w:val="22"/>
        </w:rPr>
        <w:t xml:space="preserve">At least two paid readiness assessments have been delivered with a formal PDF report.</w:t>
      </w:r>
    </w:p>
    <w:p>
      <w:pPr>
        <w:pStyle w:val="ListParagraph"/>
        <w:numPr>
          <w:ilvl w:val="0"/>
          <w:numId w:val="2"/>
        </w:numPr>
        <w:spacing w:after="40" w:before="40"/>
      </w:pPr>
      <w:r>
        <w:rPr>
          <w:rFonts w:ascii="Arial" w:cs="Arial" w:eastAsia="Arial" w:hAnsi="Arial"/>
          <w:b w:val="false"/>
          <w:bCs w:val="false"/>
          <w:sz w:val="22"/>
          <w:szCs w:val="22"/>
        </w:rPr>
        <w:t xml:space="preserve">Both customers received a pilot feasibility score and a written action list.</w:t>
      </w:r>
    </w:p>
    <w:p>
      <w:pPr>
        <w:pStyle w:val="ListParagraph"/>
        <w:numPr>
          <w:ilvl w:val="0"/>
          <w:numId w:val="2"/>
        </w:numPr>
        <w:spacing w:after="40" w:before="40"/>
      </w:pPr>
      <w:r>
        <w:rPr>
          <w:rFonts w:ascii="Arial" w:cs="Arial" w:eastAsia="Arial" w:hAnsi="Arial"/>
          <w:b w:val="false"/>
          <w:bCs w:val="false"/>
          <w:sz w:val="22"/>
          <w:szCs w:val="22"/>
        </w:rPr>
        <w:t xml:space="preserve">The readiness report has been reviewed and approved as customer-grade quality.</w:t>
      </w:r>
    </w:p>
    <w:p>
      <w:pPr>
        <w:pStyle w:val="ListParagraph"/>
        <w:numPr>
          <w:ilvl w:val="0"/>
          <w:numId w:val="2"/>
        </w:numPr>
        <w:spacing w:after="40" w:before="40"/>
      </w:pPr>
      <w:r>
        <w:rPr>
          <w:rFonts w:ascii="Arial" w:cs="Arial" w:eastAsia="Arial" w:hAnsi="Arial"/>
          <w:b w:val="false"/>
          <w:bCs w:val="false"/>
          <w:sz w:val="22"/>
          <w:szCs w:val="22"/>
        </w:rPr>
        <w:t xml:space="preserve">At least one readiness assessment customer has progressed to a pilot proposal.</w:t>
      </w:r>
    </w:p>
    <w:p>
      <w:pPr>
        <w:pBdr>
          <w:bottom w:val="single" w:color="CCCCCC" w:sz="6" w:space="4"/>
        </w:pBdr>
        <w:spacing w:after="80" w:before="80"/>
      </w:pPr>
      <w:r>
        <w:t xml:space="preserve"/>
      </w:r>
    </w:p>
    <w:p>
      <w:pPr>
        <w:pBdr>
          <w:top w:val="single" w:color="2E75B6" w:sz="12"/>
          <w:bottom w:val="single" w:color="2E75B6" w:sz="12"/>
        </w:pBdr>
        <w:shd w:fill="E2EFDA" w:val="clear"/>
        <w:spacing w:after="0" w:before="280"/>
        <w:ind w:left="200" w:right="200"/>
      </w:pPr>
      <w:r>
        <w:rPr>
          <w:rFonts w:ascii="Arial" w:cs="Arial" w:eastAsia="Arial" w:hAnsi="Arial"/>
          <w:b/>
          <w:bCs/>
          <w:color w:val="1F3864"/>
          <w:sz w:val="32"/>
          <w:szCs w:val="32"/>
        </w:rPr>
        <w:t xml:space="preserve">Stage 5  </w:t>
      </w:r>
      <w:r>
        <w:rPr>
          <w:rFonts w:ascii="Arial" w:cs="Arial" w:eastAsia="Arial" w:hAnsi="Arial"/>
          <w:b/>
          <w:bCs/>
          <w:color w:val="2E75B6"/>
          <w:sz w:val="32"/>
          <w:szCs w:val="32"/>
        </w:rPr>
        <w:t xml:space="preserve">Pilot Sales</w:t>
      </w:r>
    </w:p>
    <w:p>
      <w:pPr>
        <w:shd w:fill="E2EFDA" w:val="clear"/>
        <w:spacing w:after="200" w:before="0"/>
        <w:ind w:left="200"/>
      </w:pPr>
      <w:r>
        <w:rPr>
          <w:rFonts w:ascii="Arial" w:cs="Arial" w:eastAsia="Arial" w:hAnsi="Arial"/>
          <w:color w:val="505050"/>
          <w:sz w:val="22"/>
          <w:szCs w:val="22"/>
        </w:rPr>
        <w:t xml:space="preserve">Timing: After Tasks 78–90 AND Phase 6 (PM-01–PM-03 dynamic pages) AND Phase 7 (WS-01–WS-03 script layer) AND ML-01–ML-04 scheduled.</w:t>
      </w:r>
    </w:p>
    <w:p>
      <w:pPr>
        <w:pStyle w:val="Heading3"/>
        <w:spacing w:after="100" w:before="240"/>
      </w:pPr>
      <w:r>
        <w:rPr>
          <w:rFonts w:ascii="Arial" w:cs="Arial" w:eastAsia="Arial" w:hAnsi="Arial"/>
          <w:b/>
          <w:bCs/>
          <w:color w:val="2F2F2F"/>
          <w:sz w:val="24"/>
          <w:szCs w:val="24"/>
        </w:rPr>
        <w:t xml:space="preserve">Business Objective</w:t>
      </w:r>
    </w:p>
    <w:p>
      <w:pPr>
        <w:pStyle w:val="ListParagraph"/>
        <w:numPr>
          <w:ilvl w:val="0"/>
          <w:numId w:val="2"/>
        </w:numPr>
        <w:spacing w:after="40" w:before="40"/>
      </w:pPr>
      <w:r>
        <w:rPr>
          <w:rFonts w:ascii="Arial" w:cs="Arial" w:eastAsia="Arial" w:hAnsi="Arial"/>
          <w:b w:val="false"/>
          <w:bCs w:val="false"/>
          <w:sz w:val="22"/>
          <w:szCs w:val="22"/>
        </w:rPr>
        <w:t xml:space="preserve">Run a real, controlled pilot using approved customer data through a secure, authenticated connection.</w:t>
      </w:r>
    </w:p>
    <w:p>
      <w:pPr>
        <w:pStyle w:val="ListParagraph"/>
        <w:numPr>
          <w:ilvl w:val="0"/>
          <w:numId w:val="2"/>
        </w:numPr>
        <w:spacing w:after="40" w:before="40"/>
      </w:pPr>
      <w:r>
        <w:rPr>
          <w:rFonts w:ascii="Arial" w:cs="Arial" w:eastAsia="Arial" w:hAnsi="Arial"/>
          <w:b w:val="false"/>
          <w:bCs w:val="false"/>
          <w:sz w:val="22"/>
          <w:szCs w:val="22"/>
        </w:rPr>
        <w:t xml:space="preserve">Demonstrate that the customer can build and modify their own monitoring pages without vendor involvement.</w:t>
      </w:r>
    </w:p>
    <w:p>
      <w:pPr>
        <w:pStyle w:val="ListParagraph"/>
        <w:numPr>
          <w:ilvl w:val="0"/>
          <w:numId w:val="2"/>
        </w:numPr>
        <w:spacing w:after="40" w:before="40"/>
      </w:pPr>
      <w:r>
        <w:rPr>
          <w:rFonts w:ascii="Arial" w:cs="Arial" w:eastAsia="Arial" w:hAnsi="Arial"/>
          <w:b w:val="false"/>
          <w:bCs w:val="false"/>
          <w:sz w:val="22"/>
          <w:szCs w:val="22"/>
        </w:rPr>
        <w:t xml:space="preserve">Demonstrate the widget script layer — customer engineers compose their own analytics views without needing new backend endpoints.</w:t>
      </w:r>
    </w:p>
    <w:p>
      <w:pPr>
        <w:pStyle w:val="ListParagraph"/>
        <w:numPr>
          <w:ilvl w:val="0"/>
          <w:numId w:val="2"/>
        </w:numPr>
        <w:spacing w:after="40" w:before="40"/>
      </w:pPr>
      <w:r>
        <w:rPr>
          <w:rFonts w:ascii="Arial" w:cs="Arial" w:eastAsia="Arial" w:hAnsi="Arial"/>
          <w:b w:val="false"/>
          <w:bCs w:val="false"/>
          <w:sz w:val="22"/>
          <w:szCs w:val="22"/>
        </w:rPr>
        <w:t xml:space="preserve">Show the Jobs Monitor with ML learning jobs running on schedule, results appearing in the correlation area.</w:t>
      </w:r>
    </w:p>
    <w:p>
      <w:pPr>
        <w:pStyle w:val="ListParagraph"/>
        <w:numPr>
          <w:ilvl w:val="0"/>
          <w:numId w:val="2"/>
        </w:numPr>
        <w:spacing w:after="40" w:before="40"/>
      </w:pPr>
      <w:r>
        <w:rPr>
          <w:rFonts w:ascii="Arial" w:cs="Arial" w:eastAsia="Arial" w:hAnsi="Arial"/>
          <w:b w:val="false"/>
          <w:bCs w:val="false"/>
          <w:sz w:val="22"/>
          <w:szCs w:val="22"/>
        </w:rPr>
        <w:t xml:space="preserve">Produce a pilot scope template that defines: data route, defect family, required fields, timeline, assumptions, and go/no-go criteria.</w:t>
      </w:r>
    </w:p>
    <w:p>
      <w:pPr>
        <w:pStyle w:val="ListParagraph"/>
        <w:numPr>
          <w:ilvl w:val="0"/>
          <w:numId w:val="2"/>
        </w:numPr>
        <w:spacing w:after="40" w:before="40"/>
      </w:pPr>
      <w:r>
        <w:rPr>
          <w:rFonts w:ascii="Arial" w:cs="Arial" w:eastAsia="Arial" w:hAnsi="Arial"/>
          <w:b w:val="false"/>
          <w:bCs w:val="false"/>
          <w:sz w:val="22"/>
          <w:szCs w:val="22"/>
        </w:rPr>
        <w:t xml:space="preserve">Collect evidence (insights, correlation results, risk predictions) for the Stage 6 case-study story.</w:t>
      </w:r>
    </w:p>
    <w:p>
      <w:pPr>
        <w:spacing w:after="0" w:before="80"/>
      </w:pPr>
      <w:r>
        <w:t xml:space="preserve"/>
      </w:r>
    </w:p>
    <w:p>
      <w:pPr>
        <w:pStyle w:val="Heading3"/>
        <w:spacing w:after="100" w:before="240"/>
      </w:pPr>
      <w:r>
        <w:rPr>
          <w:rFonts w:ascii="Arial" w:cs="Arial" w:eastAsia="Arial" w:hAnsi="Arial"/>
          <w:b/>
          <w:bCs/>
          <w:color w:val="2F2F2F"/>
          <w:sz w:val="24"/>
          <w:szCs w:val="24"/>
        </w:rPr>
        <w:t xml:space="preserve">Prerequisites — What Must Be Done First</w:t>
      </w:r>
    </w:p>
    <w:p>
      <w:pPr>
        <w:pStyle w:val="ListParagraph"/>
        <w:numPr>
          <w:ilvl w:val="0"/>
          <w:numId w:val="2"/>
        </w:numPr>
        <w:spacing w:after="40" w:before="40"/>
      </w:pPr>
      <w:r>
        <w:rPr>
          <w:rFonts w:ascii="Arial" w:cs="Arial" w:eastAsia="Arial" w:hAnsi="Arial"/>
          <w:b w:val="false"/>
          <w:bCs w:val="false"/>
          <w:sz w:val="22"/>
          <w:szCs w:val="22"/>
        </w:rPr>
        <w:t xml:space="preserve">Authentication and RBAC (Tasks 78–79): all APIs protected, Admin/DataManager/Engineer/Viewer roles enforced.</w:t>
      </w:r>
    </w:p>
    <w:p>
      <w:pPr>
        <w:pStyle w:val="ListParagraph"/>
        <w:numPr>
          <w:ilvl w:val="0"/>
          <w:numId w:val="2"/>
        </w:numPr>
        <w:spacing w:after="40" w:before="40"/>
      </w:pPr>
      <w:r>
        <w:rPr>
          <w:rFonts w:ascii="Arial" w:cs="Arial" w:eastAsia="Arial" w:hAnsi="Arial"/>
          <w:b w:val="false"/>
          <w:bCs w:val="false"/>
          <w:sz w:val="22"/>
          <w:szCs w:val="22"/>
        </w:rPr>
        <w:t xml:space="preserve">Audit log (Task 81): all critical write operations audited.</w:t>
      </w:r>
    </w:p>
    <w:p>
      <w:pPr>
        <w:pStyle w:val="ListParagraph"/>
        <w:numPr>
          <w:ilvl w:val="0"/>
          <w:numId w:val="2"/>
        </w:numPr>
        <w:spacing w:after="40" w:before="40"/>
      </w:pPr>
      <w:r>
        <w:rPr>
          <w:rFonts w:ascii="Arial" w:cs="Arial" w:eastAsia="Arial" w:hAnsi="Arial"/>
          <w:b w:val="false"/>
          <w:bCs w:val="false"/>
          <w:sz w:val="22"/>
          <w:szCs w:val="22"/>
        </w:rPr>
        <w:t xml:space="preserve">Secret resolution (Task 83): no plain credentials in logs or API responses.</w:t>
      </w:r>
    </w:p>
    <w:p>
      <w:pPr>
        <w:pStyle w:val="ListParagraph"/>
        <w:numPr>
          <w:ilvl w:val="0"/>
          <w:numId w:val="2"/>
        </w:numPr>
        <w:spacing w:after="40" w:before="40"/>
      </w:pPr>
      <w:r>
        <w:rPr>
          <w:rFonts w:ascii="Arial" w:cs="Arial" w:eastAsia="Arial" w:hAnsi="Arial"/>
          <w:b w:val="false"/>
          <w:bCs w:val="false"/>
          <w:sz w:val="22"/>
          <w:szCs w:val="22"/>
        </w:rPr>
        <w:t xml:space="preserve">PostgreSQL connector (Task 39) and SQL Server connector (Task 40) are functional.</w:t>
      </w:r>
    </w:p>
    <w:p>
      <w:pPr>
        <w:pStyle w:val="ListParagraph"/>
        <w:numPr>
          <w:ilvl w:val="0"/>
          <w:numId w:val="2"/>
        </w:numPr>
        <w:spacing w:after="40" w:before="40"/>
      </w:pPr>
      <w:r>
        <w:rPr>
          <w:rFonts w:ascii="Arial" w:cs="Arial" w:eastAsia="Arial" w:hAnsi="Arial"/>
          <w:b w:val="false"/>
          <w:bCs w:val="false"/>
          <w:sz w:val="22"/>
          <w:szCs w:val="22"/>
        </w:rPr>
        <w:t xml:space="preserve">Dynamic page management (PM-01–PM-03): customer can create, edit, and delete their own pages.</w:t>
      </w:r>
    </w:p>
    <w:p>
      <w:pPr>
        <w:pStyle w:val="ListParagraph"/>
        <w:numPr>
          <w:ilvl w:val="0"/>
          <w:numId w:val="2"/>
        </w:numPr>
        <w:spacing w:after="40" w:before="40"/>
      </w:pPr>
      <w:r>
        <w:rPr>
          <w:rFonts w:ascii="Arial" w:cs="Arial" w:eastAsia="Arial" w:hAnsi="Arial"/>
          <w:b w:val="false"/>
          <w:bCs w:val="false"/>
          <w:sz w:val="22"/>
          <w:szCs w:val="22"/>
        </w:rPr>
        <w:t xml:space="preserve">Widget script layer (WS-01–WS-03): generic query expression endpoint is live.</w:t>
      </w:r>
    </w:p>
    <w:p>
      <w:pPr>
        <w:pStyle w:val="ListParagraph"/>
        <w:numPr>
          <w:ilvl w:val="0"/>
          <w:numId w:val="2"/>
        </w:numPr>
        <w:spacing w:after="40" w:before="40"/>
      </w:pPr>
      <w:r>
        <w:rPr>
          <w:rFonts w:ascii="Arial" w:cs="Arial" w:eastAsia="Arial" w:hAnsi="Arial"/>
          <w:b w:val="false"/>
          <w:bCs w:val="false"/>
          <w:sz w:val="22"/>
          <w:szCs w:val="22"/>
        </w:rPr>
        <w:t xml:space="preserve">ML learning jobs ML-01 and ML-02 are scheduled and visible in Jobs Monitor.</w:t>
      </w:r>
    </w:p>
    <w:p>
      <w:pPr>
        <w:spacing w:after="0" w:before="80"/>
      </w:pPr>
      <w:r>
        <w:t xml:space="preserve"/>
      </w:r>
    </w:p>
    <w:p>
      <w:pPr>
        <w:pStyle w:val="Heading3"/>
        <w:spacing w:after="100" w:before="240"/>
      </w:pPr>
      <w:r>
        <w:rPr>
          <w:rFonts w:ascii="Arial" w:cs="Arial" w:eastAsia="Arial" w:hAnsi="Arial"/>
          <w:b/>
          <w:bCs/>
          <w:color w:val="2F2F2F"/>
          <w:sz w:val="24"/>
          <w:szCs w:val="24"/>
        </w:rPr>
        <w:t xml:space="preserve">Technical Readiness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2400"/>
        <w:gridCol w:w="3660"/>
      </w:tblGrid>
      <w:tr>
        <w:tc>
          <w:tcPr>
            <w:tcW w:type="dxa" w:w="26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20"/>
                <w:szCs w:val="20"/>
              </w:rPr>
              <w:t xml:space="preserve">Readiness Item</w:t>
            </w:r>
          </w:p>
        </w:tc>
        <w:tc>
          <w:tcPr>
            <w:tcW w:type="dxa" w:w="7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20"/>
                <w:szCs w:val="20"/>
              </w:rPr>
              <w:t xml:space="preserve">Priority</w:t>
            </w:r>
          </w:p>
        </w:tc>
        <w:tc>
          <w:tcPr>
            <w:tcW w:type="dxa" w:w="24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20"/>
                <w:szCs w:val="20"/>
              </w:rPr>
              <w:t xml:space="preserve">Vision-Specific Gate</w:t>
            </w:r>
          </w:p>
        </w:tc>
        <w:tc>
          <w:tcPr>
            <w:tcW w:type="dxa" w:w="366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20"/>
                <w:szCs w:val="20"/>
              </w:rPr>
              <w:t xml:space="preserve">Acceptance Criteria</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Authentication and RBAC</w:t>
            </w:r>
          </w:p>
        </w:tc>
        <w:tc>
          <w:tcPr>
            <w:tcW w:type="dxa" w:w="70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center"/>
            </w:pPr>
            <w:r>
              <w:rPr>
                <w:rFonts w:ascii="Arial" w:cs="Arial" w:eastAsia="Arial" w:hAnsi="Arial"/>
                <w:b/>
                <w:bCs/>
                <w:color w:val="C00000"/>
                <w:sz w:val="18"/>
                <w:szCs w:val="18"/>
              </w:rPr>
              <w:t xml:space="preserve">Critical</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None new.</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Unauthenticated API calls rejected. Role-based policies enforce access by role.</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Audit log</w:t>
            </w:r>
          </w:p>
        </w:tc>
        <w:tc>
          <w:tcPr>
            <w:tcW w:type="dxa" w:w="70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center"/>
            </w:pPr>
            <w:r>
              <w:rPr>
                <w:rFonts w:ascii="Arial" w:cs="Arial" w:eastAsia="Arial" w:hAnsi="Arial"/>
                <w:b/>
                <w:bCs/>
                <w:color w:val="C00000"/>
                <w:sz w:val="18"/>
                <w:szCs w:val="18"/>
              </w:rPr>
              <w:t xml:space="preserve">Critical</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None new.</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All source, mapping, import, dashboard, and security actions produce audit records.</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Secure secret resolution</w:t>
            </w:r>
          </w:p>
        </w:tc>
        <w:tc>
          <w:tcPr>
            <w:tcW w:type="dxa" w:w="70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center"/>
            </w:pPr>
            <w:r>
              <w:rPr>
                <w:rFonts w:ascii="Arial" w:cs="Arial" w:eastAsia="Arial" w:hAnsi="Arial"/>
                <w:b/>
                <w:bCs/>
                <w:color w:val="C00000"/>
                <w:sz w:val="18"/>
                <w:szCs w:val="18"/>
              </w:rPr>
              <w:t xml:space="preserve">Critical</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None new.</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Credentials resolved from environment/secrets; never logged or returned in API responses.</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Tenant / site isolation</w:t>
            </w:r>
          </w:p>
        </w:tc>
        <w:tc>
          <w:tcPr>
            <w:tcW w:type="dxa" w:w="70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center"/>
            </w:pPr>
            <w:r>
              <w:rPr>
                <w:rFonts w:ascii="Arial" w:cs="Arial" w:eastAsia="Arial" w:hAnsi="Arial"/>
                <w:b/>
                <w:bCs/>
                <w:color w:val="C00000"/>
                <w:sz w:val="18"/>
                <w:szCs w:val="18"/>
              </w:rPr>
              <w:t xml:space="preserve">Critical</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None new.</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All queries and writes are scoped to the correct tenant/site.</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PostgreSQL connector</w:t>
            </w:r>
          </w:p>
        </w:tc>
        <w:tc>
          <w:tcPr>
            <w:tcW w:type="dxa" w:w="70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bCs/>
                <w:color w:val="C55A11"/>
                <w:sz w:val="18"/>
                <w:szCs w:val="18"/>
              </w:rPr>
              <w:t xml:space="preserve">Important</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None new.</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Read-only schema discovery and staging import from an external PostgreSQL source works.</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SQL Server connector</w:t>
            </w:r>
          </w:p>
        </w:tc>
        <w:tc>
          <w:tcPr>
            <w:tcW w:type="dxa" w:w="70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bCs/>
                <w:color w:val="C55A11"/>
                <w:sz w:val="18"/>
                <w:szCs w:val="18"/>
              </w:rPr>
              <w:t xml:space="preserve">Important</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None new.</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Read-only schema discovery and staging import from an external MSSQL source works.</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Dynamic page creation (PM-01–PM-03)</w:t>
            </w:r>
          </w:p>
        </w:tc>
        <w:tc>
          <w:tcPr>
            <w:tcW w:type="dxa" w:w="70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center"/>
            </w:pPr>
            <w:r>
              <w:rPr>
                <w:rFonts w:ascii="Arial" w:cs="Arial" w:eastAsia="Arial" w:hAnsi="Arial"/>
                <w:b/>
                <w:bCs/>
                <w:color w:val="C00000"/>
                <w:sz w:val="18"/>
                <w:szCs w:val="18"/>
              </w:rPr>
              <w:t xml:space="preserve">Critical</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NEW: Vision §2.1. Customer self-service is a key pilot differentiator.</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Customer engineer creates a new named page, adds widgets from library, saves — page persists.</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Widget script layer (WS-01–WS-03)</w:t>
            </w:r>
          </w:p>
        </w:tc>
        <w:tc>
          <w:tcPr>
            <w:tcW w:type="dxa" w:w="70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center"/>
            </w:pPr>
            <w:r>
              <w:rPr>
                <w:rFonts w:ascii="Arial" w:cs="Arial" w:eastAsia="Arial" w:hAnsi="Arial"/>
                <w:b/>
                <w:bCs/>
                <w:color w:val="C00000"/>
                <w:sz w:val="18"/>
                <w:szCs w:val="18"/>
              </w:rPr>
              <w:t xml:space="preserve">Critical</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NEW: Vision §2.2. Enables customer self-service analytics without vendor endpoints.</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Customer sets groupBy and aggregation on a widget via UI; generic endpoint executes it correctly.</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ML learning job: params vs defects</w:t>
            </w:r>
          </w:p>
        </w:tc>
        <w:tc>
          <w:tcPr>
            <w:tcW w:type="dxa" w:w="70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center"/>
            </w:pPr>
            <w:r>
              <w:rPr>
                <w:rFonts w:ascii="Arial" w:cs="Arial" w:eastAsia="Arial" w:hAnsi="Arial"/>
                <w:b/>
                <w:bCs/>
                <w:color w:val="C00000"/>
                <w:sz w:val="18"/>
                <w:szCs w:val="18"/>
              </w:rPr>
              <w:t xml:space="preserve">Critical</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NEW: Vision §3.1.1. Core ML intelligence pilot deliverable.</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Job runs on schedule, output stored in ModelRegistry, results visible in Jobs Monitor.</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ML learning job: params vs downtime</w:t>
            </w:r>
          </w:p>
        </w:tc>
        <w:tc>
          <w:tcPr>
            <w:tcW w:type="dxa" w:w="70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center"/>
            </w:pPr>
            <w:r>
              <w:rPr>
                <w:rFonts w:ascii="Arial" w:cs="Arial" w:eastAsia="Arial" w:hAnsi="Arial"/>
                <w:b/>
                <w:bCs/>
                <w:color w:val="C00000"/>
                <w:sz w:val="18"/>
                <w:szCs w:val="18"/>
              </w:rPr>
              <w:t xml:space="preserve">Critical</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NEW: Vision §3.1.2. Second ML job type required for pilot scope.</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Job runs on schedule, results visible in correlation area and Jobs Monitor.</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Pilot scope template</w:t>
            </w:r>
          </w:p>
        </w:tc>
        <w:tc>
          <w:tcPr>
            <w:tcW w:type="dxa" w:w="70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bCs/>
                <w:color w:val="C55A11"/>
                <w:sz w:val="18"/>
                <w:szCs w:val="18"/>
              </w:rPr>
              <w:t xml:space="preserve">Important</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None new.</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Template defines route, defect family, data sources, fields, timeline, go/no-go criteria.</w:t>
            </w:r>
          </w:p>
        </w:tc>
      </w:tr>
    </w:tbl>
    <w:p>
      <w:pPr>
        <w:spacing w:after="0" w:before="80"/>
      </w:pPr>
      <w:r>
        <w:t xml:space="preserve"/>
      </w:r>
    </w:p>
    <w:p>
      <w:pPr>
        <w:pStyle w:val="Heading3"/>
        <w:spacing w:after="100" w:before="240"/>
      </w:pPr>
      <w:r>
        <w:rPr>
          <w:rFonts w:ascii="Arial" w:cs="Arial" w:eastAsia="Arial" w:hAnsi="Arial"/>
          <w:b/>
          <w:bCs/>
          <w:color w:val="2F2F2F"/>
          <w:sz w:val="24"/>
          <w:szCs w:val="24"/>
        </w:rPr>
        <w:t xml:space="preserve">New Vision-Specific Gates (Updated from Latest Vision)</w:t>
      </w:r>
    </w:p>
    <w:p>
      <w:pPr>
        <w:spacing w:after="60" w:before="60"/>
        <w:jc w:val="both"/>
      </w:pPr>
      <w:r>
        <w:rPr>
          <w:rFonts w:ascii="Arial" w:cs="Arial" w:eastAsia="Arial" w:hAnsi="Arial"/>
          <w:b/>
          <w:bCs/>
          <w:color w:val="000000"/>
          <w:sz w:val="22"/>
          <w:szCs w:val="22"/>
        </w:rPr>
        <w:t xml:space="preserve">Dynamic page management is the key customer autonomy differentiator at Stage 5</w:t>
      </w:r>
    </w:p>
    <w:p>
      <w:pPr>
        <w:spacing w:after="60" w:before="60"/>
        <w:jc w:val="both"/>
      </w:pPr>
      <w:r>
        <w:rPr>
          <w:rFonts w:ascii="Arial" w:cs="Arial" w:eastAsia="Arial" w:hAnsi="Arial"/>
          <w:b w:val="false"/>
          <w:bCs w:val="false"/>
          <w:color w:val="333333"/>
          <w:sz w:val="22"/>
          <w:szCs w:val="22"/>
        </w:rPr>
        <w:t xml:space="preserve">Pilot customers expect to build and modify their own dashboards without raising a ticket with the vendor. The page management UI (PM-01 to PM-03) must allow an engineer to create a page, add charts from the widget library, configure each widget's data binding and script layer, and save it — without any backend code changes. This is what separates PlantProcess IQ from a custom analytics project.</w:t>
      </w:r>
    </w:p>
    <w:p>
      <w:pPr>
        <w:spacing w:after="0" w:before="80"/>
      </w:pPr>
      <w:r>
        <w:t xml:space="preserve"/>
      </w:r>
    </w:p>
    <w:p>
      <w:pPr>
        <w:spacing w:after="60" w:before="60"/>
        <w:jc w:val="both"/>
      </w:pPr>
      <w:r>
        <w:rPr>
          <w:rFonts w:ascii="Arial" w:cs="Arial" w:eastAsia="Arial" w:hAnsi="Arial"/>
          <w:b/>
          <w:bCs/>
          <w:color w:val="000000"/>
          <w:sz w:val="22"/>
          <w:szCs w:val="22"/>
        </w:rPr>
        <w:t xml:space="preserve">Widget script layer enables a genuine 'no new endpoints' promise</w:t>
      </w:r>
    </w:p>
    <w:p>
      <w:pPr>
        <w:spacing w:after="60" w:before="60"/>
        <w:jc w:val="both"/>
      </w:pPr>
      <w:r>
        <w:rPr>
          <w:rFonts w:ascii="Arial" w:cs="Arial" w:eastAsia="Arial" w:hAnsi="Arial"/>
          <w:b w:val="false"/>
          <w:bCs w:val="false"/>
          <w:color w:val="333333"/>
          <w:sz w:val="22"/>
          <w:szCs w:val="22"/>
        </w:rPr>
        <w:t xml:space="preserve">The vision explicitly warns against needing 100k endpoints. At Stage 5, the customer pilot will surface dozens of unique analytics requirements. Without the widget script layer (WS-01 to WS-03), every new groupBy or aggregation variation requires a backend code change and redeployment. The generic query expression endpoint must be live before a pilot starts.</w:t>
      </w:r>
    </w:p>
    <w:p>
      <w:pPr>
        <w:spacing w:after="0" w:before="80"/>
      </w:pPr>
      <w:r>
        <w:t xml:space="preserve"/>
      </w:r>
    </w:p>
    <w:p>
      <w:pPr>
        <w:spacing w:after="60" w:before="60"/>
        <w:jc w:val="both"/>
      </w:pPr>
      <w:r>
        <w:rPr>
          <w:rFonts w:ascii="Arial" w:cs="Arial" w:eastAsia="Arial" w:hAnsi="Arial"/>
          <w:b/>
          <w:bCs/>
          <w:color w:val="000000"/>
          <w:sz w:val="22"/>
          <w:szCs w:val="22"/>
        </w:rPr>
        <w:t xml:space="preserve">ML jobs in Jobs Monitor builds operational trust during pilot</w:t>
      </w:r>
    </w:p>
    <w:p>
      <w:pPr>
        <w:spacing w:after="60" w:before="60"/>
        <w:jc w:val="both"/>
      </w:pPr>
      <w:r>
        <w:rPr>
          <w:rFonts w:ascii="Arial" w:cs="Arial" w:eastAsia="Arial" w:hAnsi="Arial"/>
          <w:b w:val="false"/>
          <w:bCs w:val="false"/>
          <w:color w:val="333333"/>
          <w:sz w:val="22"/>
          <w:szCs w:val="22"/>
        </w:rPr>
        <w:t xml:space="preserve">During the pilot period, process engineers will check whether the ML learning jobs are running correctly. The Jobs Monitor must show ML-01 and ML-02 with their last-run time, duration, and result status. A failed ML job must appear with a clear error — not a silent blank.</w:t>
      </w:r>
    </w:p>
    <w:p>
      <w:pPr>
        <w:spacing w:after="0" w:before="80"/>
      </w:pPr>
      <w:r>
        <w:t xml:space="preserve"/>
      </w:r>
    </w:p>
    <w:p>
      <w:pPr>
        <w:pStyle w:val="Heading3"/>
        <w:spacing w:after="100" w:before="240"/>
      </w:pPr>
      <w:r>
        <w:rPr>
          <w:rFonts w:ascii="Arial" w:cs="Arial" w:eastAsia="Arial" w:hAnsi="Arial"/>
          <w:b/>
          <w:bCs/>
          <w:color w:val="2F2F2F"/>
          <w:sz w:val="24"/>
          <w:szCs w:val="24"/>
        </w:rPr>
        <w:t xml:space="preserve">Commercial Messaging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20"/>
                <w:szCs w:val="20"/>
              </w:rPr>
              <w:t xml:space="preserve">You can say at this stage</w:t>
            </w:r>
          </w:p>
        </w:tc>
        <w:tc>
          <w:tcPr>
            <w:tcW w:type="dxa" w:w="46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20"/>
                <w:szCs w:val="20"/>
              </w:rPr>
              <w:t xml:space="preserve">You must NOT say yet</w:t>
            </w:r>
          </w:p>
        </w:tc>
      </w:tr>
      <w:tr>
        <w:tc>
          <w:tcPr>
            <w:tcW w:type="dxa" w:w="4680"/>
            <w:tcBorders>
              <w:top w:val="single" w:color="AAAAAA" w:sz="4"/>
              <w:left w:val="single" w:color="AAAAAA" w:sz="4"/>
              <w:bottom w:val="single" w:color="AAAAAA" w:sz="4"/>
              <w:right w:val="single" w:color="AAAAAA" w:sz="4"/>
            </w:tcBorders>
            <w:shd w:fill="F0FAF0" w:val="clear"/>
            <w:tcMar>
              <w:top w:type="dxa" w:w="60"/>
              <w:left w:type="dxa" w:w="110"/>
              <w:bottom w:type="dxa" w:w="60"/>
              <w:right w:type="dxa" w:w="110"/>
            </w:tcMar>
            <w:vAlign w:val="top"/>
          </w:tcPr>
          <w:p>
            <w:pPr>
              <w:spacing w:after="30" w:before="0"/>
            </w:pPr>
            <w:r>
              <w:rPr>
                <w:rFonts w:ascii="Arial" w:cs="Arial" w:eastAsia="Arial" w:hAnsi="Arial"/>
                <w:b w:val="false"/>
                <w:bCs w:val="false"/>
                <w:color w:val="375623"/>
                <w:sz w:val="20"/>
                <w:szCs w:val="20"/>
              </w:rPr>
              <w:t xml:space="preserve">✔  We can run a secure, audited pilot using your approved data with role-based access control.</w:t>
            </w:r>
          </w:p>
        </w:tc>
        <w:tc>
          <w:tcPr>
            <w:tcW w:type="dxa" w:w="4680"/>
            <w:tcBorders>
              <w:top w:val="single" w:color="AAAAAA" w:sz="4"/>
              <w:left w:val="single" w:color="AAAAAA" w:sz="4"/>
              <w:bottom w:val="single" w:color="AAAAAA" w:sz="4"/>
              <w:right w:val="single" w:color="AAAAAA" w:sz="4"/>
            </w:tcBorders>
            <w:shd w:fill="FFF0F0" w:val="clear"/>
            <w:tcMar>
              <w:top w:type="dxa" w:w="60"/>
              <w:left w:type="dxa" w:w="110"/>
              <w:bottom w:type="dxa" w:w="60"/>
              <w:right w:type="dxa" w:w="110"/>
            </w:tcMar>
            <w:vAlign w:val="top"/>
          </w:tcPr>
          <w:p>
            <w:pPr>
              <w:spacing w:after="30" w:before="0"/>
            </w:pPr>
            <w:r>
              <w:rPr>
                <w:rFonts w:ascii="Arial" w:cs="Arial" w:eastAsia="Arial" w:hAnsi="Arial"/>
                <w:b w:val="false"/>
                <w:bCs w:val="false"/>
                <w:color w:val="C00000"/>
                <w:sz w:val="20"/>
                <w:szCs w:val="20"/>
              </w:rPr>
              <w:t xml:space="preserve">✘  This is a production-ready enterprise deployment for all your sites.</w:t>
            </w:r>
          </w:p>
        </w:tc>
      </w:tr>
      <w:tr>
        <w:tc>
          <w:tcPr>
            <w:tcW w:type="dxa" w:w="4680"/>
            <w:tcBorders>
              <w:top w:val="single" w:color="AAAAAA" w:sz="4"/>
              <w:left w:val="single" w:color="AAAAAA" w:sz="4"/>
              <w:bottom w:val="single" w:color="AAAAAA" w:sz="4"/>
              <w:right w:val="single" w:color="AAAAAA" w:sz="4"/>
            </w:tcBorders>
            <w:shd w:fill="F0FAF0" w:val="clear"/>
            <w:tcMar>
              <w:top w:type="dxa" w:w="60"/>
              <w:left w:type="dxa" w:w="110"/>
              <w:bottom w:type="dxa" w:w="60"/>
              <w:right w:type="dxa" w:w="110"/>
            </w:tcMar>
            <w:vAlign w:val="top"/>
          </w:tcPr>
          <w:p>
            <w:pPr>
              <w:spacing w:after="30" w:before="0"/>
            </w:pPr>
            <w:r>
              <w:rPr>
                <w:rFonts w:ascii="Arial" w:cs="Arial" w:eastAsia="Arial" w:hAnsi="Arial"/>
                <w:b w:val="false"/>
                <w:bCs w:val="false"/>
                <w:color w:val="375623"/>
                <w:sz w:val="20"/>
                <w:szCs w:val="20"/>
              </w:rPr>
              <w:t xml:space="preserve">✔  Your process engineers can create and modify their own monitoring pages without involving our team.</w:t>
            </w:r>
          </w:p>
        </w:tc>
        <w:tc>
          <w:tcPr>
            <w:tcW w:type="dxa" w:w="4680"/>
            <w:tcBorders>
              <w:top w:val="single" w:color="AAAAAA" w:sz="4"/>
              <w:left w:val="single" w:color="AAAAAA" w:sz="4"/>
              <w:bottom w:val="single" w:color="AAAAAA" w:sz="4"/>
              <w:right w:val="single" w:color="AAAAAA" w:sz="4"/>
            </w:tcBorders>
            <w:shd w:fill="FFF0F0" w:val="clear"/>
            <w:tcMar>
              <w:top w:type="dxa" w:w="60"/>
              <w:left w:type="dxa" w:w="110"/>
              <w:bottom w:type="dxa" w:w="60"/>
              <w:right w:type="dxa" w:w="110"/>
            </w:tcMar>
            <w:vAlign w:val="top"/>
          </w:tcPr>
          <w:p>
            <w:pPr>
              <w:spacing w:after="30" w:before="0"/>
            </w:pPr>
            <w:r>
              <w:rPr>
                <w:rFonts w:ascii="Arial" w:cs="Arial" w:eastAsia="Arial" w:hAnsi="Arial"/>
                <w:b w:val="false"/>
                <w:bCs w:val="false"/>
                <w:color w:val="C00000"/>
                <w:sz w:val="20"/>
                <w:szCs w:val="20"/>
              </w:rPr>
              <w:t xml:space="preserve">✘  We will configure every page and widget for you as part of the service.</w:t>
            </w:r>
          </w:p>
        </w:tc>
      </w:tr>
      <w:tr>
        <w:tc>
          <w:tcPr>
            <w:tcW w:type="dxa" w:w="4680"/>
            <w:tcBorders>
              <w:top w:val="single" w:color="AAAAAA" w:sz="4"/>
              <w:left w:val="single" w:color="AAAAAA" w:sz="4"/>
              <w:bottom w:val="single" w:color="AAAAAA" w:sz="4"/>
              <w:right w:val="single" w:color="AAAAAA" w:sz="4"/>
            </w:tcBorders>
            <w:shd w:fill="F0FAF0" w:val="clear"/>
            <w:tcMar>
              <w:top w:type="dxa" w:w="60"/>
              <w:left w:type="dxa" w:w="110"/>
              <w:bottom w:type="dxa" w:w="60"/>
              <w:right w:type="dxa" w:w="110"/>
            </w:tcMar>
            <w:vAlign w:val="top"/>
          </w:tcPr>
          <w:p>
            <w:pPr>
              <w:spacing w:after="30" w:before="0"/>
            </w:pPr>
            <w:r>
              <w:rPr>
                <w:rFonts w:ascii="Arial" w:cs="Arial" w:eastAsia="Arial" w:hAnsi="Arial"/>
                <w:b w:val="false"/>
                <w:bCs w:val="false"/>
                <w:color w:val="375623"/>
                <w:sz w:val="20"/>
                <w:szCs w:val="20"/>
              </w:rPr>
              <w:t xml:space="preserve">✔  The ML learning jobs run on your configured schedule and their results appear in the correlation area and Jobs Monitor.</w:t>
            </w:r>
          </w:p>
        </w:tc>
        <w:tc>
          <w:tcPr>
            <w:tcW w:type="dxa" w:w="4680"/>
            <w:tcBorders>
              <w:top w:val="single" w:color="AAAAAA" w:sz="4"/>
              <w:left w:val="single" w:color="AAAAAA" w:sz="4"/>
              <w:bottom w:val="single" w:color="AAAAAA" w:sz="4"/>
              <w:right w:val="single" w:color="AAAAAA" w:sz="4"/>
            </w:tcBorders>
            <w:shd w:fill="FFF0F0" w:val="clear"/>
            <w:tcMar>
              <w:top w:type="dxa" w:w="60"/>
              <w:left w:type="dxa" w:w="110"/>
              <w:bottom w:type="dxa" w:w="60"/>
              <w:right w:type="dxa" w:w="110"/>
            </w:tcMar>
            <w:vAlign w:val="top"/>
          </w:tcPr>
          <w:p>
            <w:pPr>
              <w:spacing w:after="30" w:before="0"/>
            </w:pPr>
            <w:r>
              <w:rPr>
                <w:rFonts w:ascii="Arial" w:cs="Arial" w:eastAsia="Arial" w:hAnsi="Arial"/>
                <w:b w:val="false"/>
                <w:bCs w:val="false"/>
                <w:color w:val="C00000"/>
                <w:sz w:val="20"/>
                <w:szCs w:val="20"/>
              </w:rPr>
              <w:t xml:space="preserve">✘  The ML models are pre-trained — no learning period is needed.</w:t>
            </w:r>
          </w:p>
        </w:tc>
      </w:tr>
    </w:tbl>
    <w:p>
      <w:pPr>
        <w:spacing w:after="0" w:before="80"/>
      </w:pPr>
      <w:r>
        <w:t xml:space="preserve"/>
      </w:r>
    </w:p>
    <w:p>
      <w:pPr>
        <w:pStyle w:val="Heading3"/>
        <w:spacing w:after="100" w:before="240"/>
      </w:pPr>
      <w:r>
        <w:rPr>
          <w:rFonts w:ascii="Arial" w:cs="Arial" w:eastAsia="Arial" w:hAnsi="Arial"/>
          <w:b/>
          <w:bCs/>
          <w:color w:val="2F2F2F"/>
          <w:sz w:val="24"/>
          <w:szCs w:val="24"/>
        </w:rPr>
        <w:t xml:space="preserve">Risk if Stage Is Rushed or Skipped</w:t>
      </w:r>
    </w:p>
    <w:p>
      <w:pPr>
        <w:pStyle w:val="ListParagraph"/>
        <w:numPr>
          <w:ilvl w:val="0"/>
          <w:numId w:val="2"/>
        </w:numPr>
        <w:spacing w:after="40" w:before="40"/>
      </w:pPr>
      <w:r>
        <w:rPr>
          <w:rFonts w:ascii="Arial" w:cs="Arial" w:eastAsia="Arial" w:hAnsi="Arial"/>
          <w:b w:val="false"/>
          <w:bCs w:val="false"/>
          <w:sz w:val="22"/>
          <w:szCs w:val="22"/>
        </w:rPr>
        <w:t xml:space="preserve">Running a pilot without RBAC means any user can modify or delete source configurations — a serious risk with customer data.</w:t>
      </w:r>
    </w:p>
    <w:p>
      <w:pPr>
        <w:pStyle w:val="ListParagraph"/>
        <w:numPr>
          <w:ilvl w:val="0"/>
          <w:numId w:val="2"/>
        </w:numPr>
        <w:spacing w:after="40" w:before="40"/>
      </w:pPr>
      <w:r>
        <w:rPr>
          <w:rFonts w:ascii="Arial" w:cs="Arial" w:eastAsia="Arial" w:hAnsi="Arial"/>
          <w:b w:val="false"/>
          <w:bCs w:val="false"/>
          <w:sz w:val="22"/>
          <w:szCs w:val="22"/>
        </w:rPr>
        <w:t xml:space="preserve">Not having dynamic page management means the vendor must be involved in every dashboard change, creating a dependency that slows the pilot and irritates the customer.</w:t>
      </w:r>
    </w:p>
    <w:p>
      <w:pPr>
        <w:pStyle w:val="ListParagraph"/>
        <w:numPr>
          <w:ilvl w:val="0"/>
          <w:numId w:val="2"/>
        </w:numPr>
        <w:spacing w:after="40" w:before="40"/>
      </w:pPr>
      <w:r>
        <w:rPr>
          <w:rFonts w:ascii="Arial" w:cs="Arial" w:eastAsia="Arial" w:hAnsi="Arial"/>
          <w:b w:val="false"/>
          <w:bCs w:val="false"/>
          <w:sz w:val="22"/>
          <w:szCs w:val="22"/>
        </w:rPr>
        <w:t xml:space="preserve">Running a pilot without the widget script layer means every new analytics question requires a code change and redeployment, destroying the 'self-service intelligence' value proposition.</w:t>
      </w:r>
    </w:p>
    <w:p>
      <w:pPr>
        <w:spacing w:after="0" w:before="80"/>
      </w:pPr>
      <w:r>
        <w:t xml:space="preserve"/>
      </w:r>
    </w:p>
    <w:p>
      <w:pPr>
        <w:pStyle w:val="Heading3"/>
        <w:spacing w:after="100" w:before="240"/>
      </w:pPr>
      <w:r>
        <w:rPr>
          <w:rFonts w:ascii="Arial" w:cs="Arial" w:eastAsia="Arial" w:hAnsi="Arial"/>
          <w:b/>
          <w:bCs/>
          <w:color w:val="2F2F2F"/>
          <w:sz w:val="24"/>
          <w:szCs w:val="24"/>
        </w:rPr>
        <w:t xml:space="preserve">Exit Criteria — When You Are Ready to Advance</w:t>
      </w:r>
    </w:p>
    <w:p>
      <w:pPr>
        <w:pStyle w:val="ListParagraph"/>
        <w:numPr>
          <w:ilvl w:val="0"/>
          <w:numId w:val="2"/>
        </w:numPr>
        <w:spacing w:after="40" w:before="40"/>
      </w:pPr>
      <w:r>
        <w:rPr>
          <w:rFonts w:ascii="Arial" w:cs="Arial" w:eastAsia="Arial" w:hAnsi="Arial"/>
          <w:b w:val="false"/>
          <w:bCs w:val="false"/>
          <w:sz w:val="22"/>
          <w:szCs w:val="22"/>
        </w:rPr>
        <w:t xml:space="preserve">At least one pilot has started with a signed pilot scope agreement.</w:t>
      </w:r>
    </w:p>
    <w:p>
      <w:pPr>
        <w:pStyle w:val="ListParagraph"/>
        <w:numPr>
          <w:ilvl w:val="0"/>
          <w:numId w:val="2"/>
        </w:numPr>
        <w:spacing w:after="40" w:before="40"/>
      </w:pPr>
      <w:r>
        <w:rPr>
          <w:rFonts w:ascii="Arial" w:cs="Arial" w:eastAsia="Arial" w:hAnsi="Arial"/>
          <w:b w:val="false"/>
          <w:bCs w:val="false"/>
          <w:sz w:val="22"/>
          <w:szCs w:val="22"/>
        </w:rPr>
        <w:t xml:space="preserve">The customer has successfully created at least one monitoring page without vendor assistance.</w:t>
      </w:r>
    </w:p>
    <w:p>
      <w:pPr>
        <w:pStyle w:val="ListParagraph"/>
        <w:numPr>
          <w:ilvl w:val="0"/>
          <w:numId w:val="2"/>
        </w:numPr>
        <w:spacing w:after="40" w:before="40"/>
      </w:pPr>
      <w:r>
        <w:rPr>
          <w:rFonts w:ascii="Arial" w:cs="Arial" w:eastAsia="Arial" w:hAnsi="Arial"/>
          <w:b w:val="false"/>
          <w:bCs w:val="false"/>
          <w:sz w:val="22"/>
          <w:szCs w:val="22"/>
        </w:rPr>
        <w:t xml:space="preserve">ML learning jobs are running on schedule and producing results the customer's process team finds useful.</w:t>
      </w:r>
    </w:p>
    <w:p>
      <w:pPr>
        <w:pStyle w:val="ListParagraph"/>
        <w:numPr>
          <w:ilvl w:val="0"/>
          <w:numId w:val="2"/>
        </w:numPr>
        <w:spacing w:after="40" w:before="40"/>
      </w:pPr>
      <w:r>
        <w:rPr>
          <w:rFonts w:ascii="Arial" w:cs="Arial" w:eastAsia="Arial" w:hAnsi="Arial"/>
          <w:b w:val="false"/>
          <w:bCs w:val="false"/>
          <w:sz w:val="22"/>
          <w:szCs w:val="22"/>
        </w:rPr>
        <w:t xml:space="preserve">Pilot progress is documented in a weekly status report format.</w:t>
      </w:r>
    </w:p>
    <w:p>
      <w:pPr>
        <w:pStyle w:val="ListParagraph"/>
        <w:numPr>
          <w:ilvl w:val="0"/>
          <w:numId w:val="2"/>
        </w:numPr>
        <w:spacing w:after="40" w:before="40"/>
      </w:pPr>
      <w:r>
        <w:rPr>
          <w:rFonts w:ascii="Arial" w:cs="Arial" w:eastAsia="Arial" w:hAnsi="Arial"/>
          <w:b w:val="false"/>
          <w:bCs w:val="false"/>
          <w:sz w:val="22"/>
          <w:szCs w:val="22"/>
        </w:rPr>
        <w:t xml:space="preserve">Initial correlation or risk findings from the pilot are suitable for use as a Stage 6 case-study story.</w:t>
      </w:r>
    </w:p>
    <w:p>
      <w:pPr>
        <w:pBdr>
          <w:bottom w:val="single" w:color="CCCCCC" w:sz="6" w:space="4"/>
        </w:pBdr>
        <w:spacing w:after="80" w:before="80"/>
      </w:pPr>
      <w:r>
        <w:t xml:space="preserve"/>
      </w:r>
    </w:p>
    <w:p>
      <w:pPr>
        <w:pBdr>
          <w:top w:val="single" w:color="2E75B6" w:sz="12"/>
          <w:bottom w:val="single" w:color="2E75B6" w:sz="12"/>
        </w:pBdr>
        <w:shd w:fill="E8D5F5" w:val="clear"/>
        <w:spacing w:after="0" w:before="280"/>
        <w:ind w:left="200" w:right="200"/>
      </w:pPr>
      <w:r>
        <w:rPr>
          <w:rFonts w:ascii="Arial" w:cs="Arial" w:eastAsia="Arial" w:hAnsi="Arial"/>
          <w:b/>
          <w:bCs/>
          <w:color w:val="1F3864"/>
          <w:sz w:val="32"/>
          <w:szCs w:val="32"/>
        </w:rPr>
        <w:t xml:space="preserve">Stage 6  </w:t>
      </w:r>
      <w:r>
        <w:rPr>
          <w:rFonts w:ascii="Arial" w:cs="Arial" w:eastAsia="Arial" w:hAnsi="Arial"/>
          <w:b/>
          <w:bCs/>
          <w:color w:val="2E75B6"/>
          <w:sz w:val="32"/>
          <w:szCs w:val="32"/>
        </w:rPr>
        <w:t xml:space="preserve">Full Product Marketing</w:t>
      </w:r>
    </w:p>
    <w:p>
      <w:pPr>
        <w:shd w:fill="E8D5F5" w:val="clear"/>
        <w:spacing w:after="200" w:before="0"/>
        <w:ind w:left="200"/>
      </w:pPr>
      <w:r>
        <w:rPr>
          <w:rFonts w:ascii="Arial" w:cs="Arial" w:eastAsia="Arial" w:hAnsi="Arial"/>
          <w:color w:val="505050"/>
          <w:sz w:val="22"/>
          <w:szCs w:val="22"/>
        </w:rPr>
        <w:t xml:space="preserve">Timing: After all phases complete (Tasks 1–123) including full ML Area (MA-01–MA-05).</w:t>
      </w:r>
    </w:p>
    <w:p>
      <w:pPr>
        <w:pStyle w:val="Heading3"/>
        <w:spacing w:after="100" w:before="240"/>
      </w:pPr>
      <w:r>
        <w:rPr>
          <w:rFonts w:ascii="Arial" w:cs="Arial" w:eastAsia="Arial" w:hAnsi="Arial"/>
          <w:b/>
          <w:bCs/>
          <w:color w:val="2F2F2F"/>
          <w:sz w:val="24"/>
          <w:szCs w:val="24"/>
        </w:rPr>
        <w:t xml:space="preserve">Business Objective</w:t>
      </w:r>
    </w:p>
    <w:p>
      <w:pPr>
        <w:pStyle w:val="ListParagraph"/>
        <w:numPr>
          <w:ilvl w:val="0"/>
          <w:numId w:val="2"/>
        </w:numPr>
        <w:spacing w:after="40" w:before="40"/>
      </w:pPr>
      <w:r>
        <w:rPr>
          <w:rFonts w:ascii="Arial" w:cs="Arial" w:eastAsia="Arial" w:hAnsi="Arial"/>
          <w:b w:val="false"/>
          <w:bCs w:val="false"/>
          <w:sz w:val="22"/>
          <w:szCs w:val="22"/>
        </w:rPr>
        <w:t xml:space="preserve">Launch public product marketing with a repeatable, documented onboarding process.</w:t>
      </w:r>
    </w:p>
    <w:p>
      <w:pPr>
        <w:pStyle w:val="ListParagraph"/>
        <w:numPr>
          <w:ilvl w:val="0"/>
          <w:numId w:val="2"/>
        </w:numPr>
        <w:spacing w:after="40" w:before="40"/>
      </w:pPr>
      <w:r>
        <w:rPr>
          <w:rFonts w:ascii="Arial" w:cs="Arial" w:eastAsia="Arial" w:hAnsi="Arial"/>
          <w:b w:val="false"/>
          <w:bCs w:val="false"/>
          <w:sz w:val="22"/>
          <w:szCs w:val="22"/>
        </w:rPr>
        <w:t xml:space="preserve">Release the full ML Area: ML Correlation Page with inspection-job tabs and Suggestion and Recommendation page.</w:t>
      </w:r>
    </w:p>
    <w:p>
      <w:pPr>
        <w:pStyle w:val="ListParagraph"/>
        <w:numPr>
          <w:ilvl w:val="0"/>
          <w:numId w:val="2"/>
        </w:numPr>
        <w:spacing w:after="40" w:before="40"/>
      </w:pPr>
      <w:r>
        <w:rPr>
          <w:rFonts w:ascii="Arial" w:cs="Arial" w:eastAsia="Arial" w:hAnsi="Arial"/>
          <w:b w:val="false"/>
          <w:bCs w:val="false"/>
          <w:sz w:val="22"/>
          <w:szCs w:val="22"/>
        </w:rPr>
        <w:t xml:space="preserve">Produce a customer-safe synthetic dataset pack that reproduces known hidden patterns for any demo.</w:t>
      </w:r>
    </w:p>
    <w:p>
      <w:pPr>
        <w:pStyle w:val="ListParagraph"/>
        <w:numPr>
          <w:ilvl w:val="0"/>
          <w:numId w:val="2"/>
        </w:numPr>
        <w:spacing w:after="40" w:before="40"/>
      </w:pPr>
      <w:r>
        <w:rPr>
          <w:rFonts w:ascii="Arial" w:cs="Arial" w:eastAsia="Arial" w:hAnsi="Arial"/>
          <w:b w:val="false"/>
          <w:bCs w:val="false"/>
          <w:sz w:val="22"/>
          <w:szCs w:val="22"/>
        </w:rPr>
        <w:t xml:space="preserve">Publish a case-study-style story from the Stage 5 pilot evidence.</w:t>
      </w:r>
    </w:p>
    <w:p>
      <w:pPr>
        <w:pStyle w:val="ListParagraph"/>
        <w:numPr>
          <w:ilvl w:val="0"/>
          <w:numId w:val="2"/>
        </w:numPr>
        <w:spacing w:after="40" w:before="40"/>
      </w:pPr>
      <w:r>
        <w:rPr>
          <w:rFonts w:ascii="Arial" w:cs="Arial" w:eastAsia="Arial" w:hAnsi="Arial"/>
          <w:b w:val="false"/>
          <w:bCs w:val="false"/>
          <w:sz w:val="22"/>
          <w:szCs w:val="22"/>
        </w:rPr>
        <w:t xml:space="preserve">Establish CI/CD pipeline, frontend component tests, and integration test suite for engineering credibility.</w:t>
      </w:r>
    </w:p>
    <w:p>
      <w:pPr>
        <w:pStyle w:val="ListParagraph"/>
        <w:numPr>
          <w:ilvl w:val="0"/>
          <w:numId w:val="2"/>
        </w:numPr>
        <w:spacing w:after="40" w:before="40"/>
      </w:pPr>
      <w:r>
        <w:rPr>
          <w:rFonts w:ascii="Arial" w:cs="Arial" w:eastAsia="Arial" w:hAnsi="Arial"/>
          <w:b w:val="false"/>
          <w:bCs w:val="false"/>
          <w:sz w:val="22"/>
          <w:szCs w:val="22"/>
        </w:rPr>
        <w:t xml:space="preserve">Create industry-specific pages for the public website: steel, aluminum, pharma, tire, paper, food, automotive, chemicals.</w:t>
      </w:r>
    </w:p>
    <w:p>
      <w:pPr>
        <w:pStyle w:val="ListParagraph"/>
        <w:numPr>
          <w:ilvl w:val="0"/>
          <w:numId w:val="2"/>
        </w:numPr>
        <w:spacing w:after="40" w:before="40"/>
      </w:pPr>
      <w:r>
        <w:rPr>
          <w:rFonts w:ascii="Arial" w:cs="Arial" w:eastAsia="Arial" w:hAnsi="Arial"/>
          <w:b w:val="false"/>
          <w:bCs w:val="false"/>
          <w:sz w:val="22"/>
          <w:szCs w:val="22"/>
        </w:rPr>
        <w:t xml:space="preserve">Define pricing and offer ladder for standard, professional, and enterprise tiers.</w:t>
      </w:r>
    </w:p>
    <w:p>
      <w:pPr>
        <w:spacing w:after="0" w:before="80"/>
      </w:pPr>
      <w:r>
        <w:t xml:space="preserve"/>
      </w:r>
    </w:p>
    <w:p>
      <w:pPr>
        <w:pStyle w:val="Heading3"/>
        <w:spacing w:after="100" w:before="240"/>
      </w:pPr>
      <w:r>
        <w:rPr>
          <w:rFonts w:ascii="Arial" w:cs="Arial" w:eastAsia="Arial" w:hAnsi="Arial"/>
          <w:b/>
          <w:bCs/>
          <w:color w:val="2F2F2F"/>
          <w:sz w:val="24"/>
          <w:szCs w:val="24"/>
        </w:rPr>
        <w:t xml:space="preserve">Prerequisites — What Must Be Done First</w:t>
      </w:r>
    </w:p>
    <w:p>
      <w:pPr>
        <w:pStyle w:val="ListParagraph"/>
        <w:numPr>
          <w:ilvl w:val="0"/>
          <w:numId w:val="2"/>
        </w:numPr>
        <w:spacing w:after="40" w:before="40"/>
      </w:pPr>
      <w:r>
        <w:rPr>
          <w:rFonts w:ascii="Arial" w:cs="Arial" w:eastAsia="Arial" w:hAnsi="Arial"/>
          <w:b w:val="false"/>
          <w:bCs w:val="false"/>
          <w:sz w:val="22"/>
          <w:szCs w:val="22"/>
        </w:rPr>
        <w:t xml:space="preserve">All Phase 9–10 ML tasks complete: all four ML learning jobs (ML-01–ML-04) running, ML Correlation Page (MA-03) functional with per-job tabs, Suggestion and Recommendation page (MA-05) live.</w:t>
      </w:r>
    </w:p>
    <w:p>
      <w:pPr>
        <w:pStyle w:val="ListParagraph"/>
        <w:numPr>
          <w:ilvl w:val="0"/>
          <w:numId w:val="2"/>
        </w:numPr>
        <w:spacing w:after="40" w:before="40"/>
      </w:pPr>
      <w:r>
        <w:rPr>
          <w:rFonts w:ascii="Arial" w:cs="Arial" w:eastAsia="Arial" w:hAnsi="Arial"/>
          <w:b w:val="false"/>
          <w:bCs w:val="false"/>
          <w:sz w:val="22"/>
          <w:szCs w:val="22"/>
        </w:rPr>
        <w:t xml:space="preserve">CI/CD pipeline (Task 87) runs backend build, frontend build, tests, and migration validation on every commit.</w:t>
      </w:r>
    </w:p>
    <w:p>
      <w:pPr>
        <w:pStyle w:val="ListParagraph"/>
        <w:numPr>
          <w:ilvl w:val="0"/>
          <w:numId w:val="2"/>
        </w:numPr>
        <w:spacing w:after="40" w:before="40"/>
      </w:pPr>
      <w:r>
        <w:rPr>
          <w:rFonts w:ascii="Arial" w:cs="Arial" w:eastAsia="Arial" w:hAnsi="Arial"/>
          <w:b w:val="false"/>
          <w:bCs w:val="false"/>
          <w:sz w:val="22"/>
          <w:szCs w:val="22"/>
        </w:rPr>
        <w:t xml:space="preserve">Synthetic dataset pack (Task 88) produces reproducible demo insights on a fresh database.</w:t>
      </w:r>
    </w:p>
    <w:p>
      <w:pPr>
        <w:pStyle w:val="ListParagraph"/>
        <w:numPr>
          <w:ilvl w:val="0"/>
          <w:numId w:val="2"/>
        </w:numPr>
        <w:spacing w:after="40" w:before="40"/>
      </w:pPr>
      <w:r>
        <w:rPr>
          <w:rFonts w:ascii="Arial" w:cs="Arial" w:eastAsia="Arial" w:hAnsi="Arial"/>
          <w:b w:val="false"/>
          <w:bCs w:val="false"/>
          <w:sz w:val="22"/>
          <w:szCs w:val="22"/>
        </w:rPr>
        <w:t xml:space="preserve">Demo video (FPM-01) and sales deck (FPM-02) are produced and approved.</w:t>
      </w:r>
    </w:p>
    <w:p>
      <w:pPr>
        <w:pStyle w:val="ListParagraph"/>
        <w:numPr>
          <w:ilvl w:val="0"/>
          <w:numId w:val="2"/>
        </w:numPr>
        <w:spacing w:after="40" w:before="40"/>
      </w:pPr>
      <w:r>
        <w:rPr>
          <w:rFonts w:ascii="Arial" w:cs="Arial" w:eastAsia="Arial" w:hAnsi="Arial"/>
          <w:b w:val="false"/>
          <w:bCs w:val="false"/>
          <w:sz w:val="22"/>
          <w:szCs w:val="22"/>
        </w:rPr>
        <w:t xml:space="preserve">Oracle connector (Task 41) is beyond a skeleton — must support full schema discovery.</w:t>
      </w:r>
    </w:p>
    <w:p>
      <w:pPr>
        <w:spacing w:after="0" w:before="80"/>
      </w:pPr>
      <w:r>
        <w:t xml:space="preserve"/>
      </w:r>
    </w:p>
    <w:p>
      <w:pPr>
        <w:pStyle w:val="Heading3"/>
        <w:spacing w:after="100" w:before="240"/>
      </w:pPr>
      <w:r>
        <w:rPr>
          <w:rFonts w:ascii="Arial" w:cs="Arial" w:eastAsia="Arial" w:hAnsi="Arial"/>
          <w:b/>
          <w:bCs/>
          <w:color w:val="2F2F2F"/>
          <w:sz w:val="24"/>
          <w:szCs w:val="24"/>
        </w:rPr>
        <w:t xml:space="preserve">Technical Readiness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2400"/>
        <w:gridCol w:w="3660"/>
      </w:tblGrid>
      <w:tr>
        <w:tc>
          <w:tcPr>
            <w:tcW w:type="dxa" w:w="26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20"/>
                <w:szCs w:val="20"/>
              </w:rPr>
              <w:t xml:space="preserve">Readiness Item</w:t>
            </w:r>
          </w:p>
        </w:tc>
        <w:tc>
          <w:tcPr>
            <w:tcW w:type="dxa" w:w="7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20"/>
                <w:szCs w:val="20"/>
              </w:rPr>
              <w:t xml:space="preserve">Priority</w:t>
            </w:r>
          </w:p>
        </w:tc>
        <w:tc>
          <w:tcPr>
            <w:tcW w:type="dxa" w:w="24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20"/>
                <w:szCs w:val="20"/>
              </w:rPr>
              <w:t xml:space="preserve">Vision-Specific Gate</w:t>
            </w:r>
          </w:p>
        </w:tc>
        <w:tc>
          <w:tcPr>
            <w:tcW w:type="dxa" w:w="366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20"/>
                <w:szCs w:val="20"/>
              </w:rPr>
              <w:t xml:space="preserve">Acceptance Criteria</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Full ML Area — all 4 learning jobs</w:t>
            </w:r>
          </w:p>
        </w:tc>
        <w:tc>
          <w:tcPr>
            <w:tcW w:type="dxa" w:w="70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center"/>
            </w:pPr>
            <w:r>
              <w:rPr>
                <w:rFonts w:ascii="Arial" w:cs="Arial" w:eastAsia="Arial" w:hAnsi="Arial"/>
                <w:b/>
                <w:bCs/>
                <w:color w:val="C00000"/>
                <w:sz w:val="18"/>
                <w:szCs w:val="18"/>
              </w:rPr>
              <w:t xml:space="preserve">Critical</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NEW: Vision §3.1. The intelligence layer is the core product value.</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All four jobs run on schedule; results are stored in ModelRegistry and visible in Jobs Monitor.</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ML Correlation Page — inspection job tabs</w:t>
            </w:r>
          </w:p>
        </w:tc>
        <w:tc>
          <w:tcPr>
            <w:tcW w:type="dxa" w:w="70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center"/>
            </w:pPr>
            <w:r>
              <w:rPr>
                <w:rFonts w:ascii="Arial" w:cs="Arial" w:eastAsia="Arial" w:hAnsi="Arial"/>
                <w:b/>
                <w:bCs/>
                <w:color w:val="C00000"/>
                <w:sz w:val="18"/>
                <w:szCs w:val="18"/>
              </w:rPr>
              <w:t xml:space="preserve">Critical</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NEW: Vision §3.2. The primary user-facing ML feature.</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User creates inspection job, job runs, result tab appears with parameter influence charts.</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Inspection job save + periodic run</w:t>
            </w:r>
          </w:p>
        </w:tc>
        <w:tc>
          <w:tcPr>
            <w:tcW w:type="dxa" w:w="70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bCs/>
                <w:color w:val="C55A11"/>
                <w:sz w:val="18"/>
                <w:szCs w:val="18"/>
              </w:rPr>
              <w:t xml:space="preserve">Important</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NEW: Vision §3.2. Enables self-service continuous monitoring.</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Saved inspection job runs on configured schedule; new tab result replaces previous.</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Suggestion &amp; Recommendation page</w:t>
            </w:r>
          </w:p>
        </w:tc>
        <w:tc>
          <w:tcPr>
            <w:tcW w:type="dxa" w:w="70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bCs/>
                <w:color w:val="C55A11"/>
                <w:sz w:val="18"/>
                <w:szCs w:val="18"/>
              </w:rPr>
              <w:t xml:space="preserve">Important</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NEW: Vision §3.3. Differentiates from pure BI.</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Page aggregates ML learning outputs; shows ranked recommendations with process parameters and confidence indicators.</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CI/CD pipeline</w:t>
            </w:r>
          </w:p>
        </w:tc>
        <w:tc>
          <w:tcPr>
            <w:tcW w:type="dxa" w:w="70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bCs/>
                <w:color w:val="C55A11"/>
                <w:sz w:val="18"/>
                <w:szCs w:val="18"/>
              </w:rPr>
              <w:t xml:space="preserve">Important</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None new.</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Pipeline runs on every commit: backend build, frontend build, tests, migration validation.</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Frontend component tests</w:t>
            </w:r>
          </w:p>
        </w:tc>
        <w:tc>
          <w:tcPr>
            <w:tcW w:type="dxa" w:w="700"/>
            <w:tcBorders>
              <w:top w:val="single" w:color="AAAAAA" w:sz="4"/>
              <w:left w:val="single" w:color="AAAAAA" w:sz="4"/>
              <w:bottom w:val="single" w:color="AAAAAA" w:sz="4"/>
              <w:right w:val="single" w:color="AAAAAA" w:sz="4"/>
            </w:tcBorders>
            <w:shd w:fill="F2F2F2" w:val="clear"/>
            <w:tcMar>
              <w:top w:type="dxa" w:w="60"/>
              <w:left w:type="dxa" w:w="110"/>
              <w:bottom w:type="dxa" w:w="60"/>
              <w:right w:type="dxa" w:w="110"/>
            </w:tcMar>
            <w:vAlign w:val="top"/>
          </w:tcPr>
          <w:p>
            <w:pPr>
              <w:spacing w:after="0" w:before="0"/>
              <w:jc w:val="center"/>
            </w:pPr>
            <w:r>
              <w:rPr>
                <w:rFonts w:ascii="Arial" w:cs="Arial" w:eastAsia="Arial" w:hAnsi="Arial"/>
                <w:b/>
                <w:bCs/>
                <w:color w:val="505050"/>
                <w:sz w:val="18"/>
                <w:szCs w:val="18"/>
              </w:rPr>
              <w:t xml:space="preserve">Normal</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None new.</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Wizard navigation, filter, dashboard layout, preview error tests pass.</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Integration test suite</w:t>
            </w:r>
          </w:p>
        </w:tc>
        <w:tc>
          <w:tcPr>
            <w:tcW w:type="dxa" w:w="70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bCs/>
                <w:color w:val="C55A11"/>
                <w:sz w:val="18"/>
                <w:szCs w:val="18"/>
              </w:rPr>
              <w:t xml:space="preserve">Important</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None new.</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Import → staging → mapping → canonical → dashboard/correlation/report integration tests pass.</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Synthetic dataset pack</w:t>
            </w:r>
          </w:p>
        </w:tc>
        <w:tc>
          <w:tcPr>
            <w:tcW w:type="dxa" w:w="70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center"/>
            </w:pPr>
            <w:r>
              <w:rPr>
                <w:rFonts w:ascii="Arial" w:cs="Arial" w:eastAsia="Arial" w:hAnsi="Arial"/>
                <w:b/>
                <w:bCs/>
                <w:color w:val="C00000"/>
                <w:sz w:val="18"/>
                <w:szCs w:val="18"/>
              </w:rPr>
              <w:t xml:space="preserve">Critical</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None new.</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Fresh DB produces meaningful correlation, risk, and inspection job insights on demand.</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Demo video</w:t>
            </w:r>
          </w:p>
        </w:tc>
        <w:tc>
          <w:tcPr>
            <w:tcW w:type="dxa" w:w="70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center"/>
            </w:pPr>
            <w:r>
              <w:rPr>
                <w:rFonts w:ascii="Arial" w:cs="Arial" w:eastAsia="Arial" w:hAnsi="Arial"/>
                <w:b/>
                <w:bCs/>
                <w:color w:val="C00000"/>
                <w:sz w:val="18"/>
                <w:szCs w:val="18"/>
              </w:rPr>
              <w:t xml:space="preserve">Critical</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None new.</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10-minute video covers full product story from source setup to suggestion page.</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Public website + industry pages</w:t>
            </w:r>
          </w:p>
        </w:tc>
        <w:tc>
          <w:tcPr>
            <w:tcW w:type="dxa" w:w="70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bCs/>
                <w:color w:val="C55A11"/>
                <w:sz w:val="18"/>
                <w:szCs w:val="18"/>
              </w:rPr>
              <w:t xml:space="preserve">Important</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None new.</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Website live with pages for at least steel, aluminum, pharma, and tire industries.</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Oracle connector — full discovery</w:t>
            </w:r>
          </w:p>
        </w:tc>
        <w:tc>
          <w:tcPr>
            <w:tcW w:type="dxa" w:w="70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bCs/>
                <w:color w:val="C55A11"/>
                <w:sz w:val="18"/>
                <w:szCs w:val="18"/>
              </w:rPr>
              <w:t xml:space="preserve">Important</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444444"/>
                <w:sz w:val="18"/>
                <w:szCs w:val="18"/>
              </w:rPr>
              <w:t xml:space="preserve">None new.</w:t>
            </w:r>
          </w:p>
        </w:tc>
        <w:tc>
          <w:tcPr>
            <w:tcW w:type="dxa" w:w="36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000000"/>
                <w:sz w:val="18"/>
                <w:szCs w:val="18"/>
              </w:rPr>
              <w:t xml:space="preserve">Oracle connector supports schema discovery and staging import beyond skeleton.</w:t>
            </w:r>
          </w:p>
        </w:tc>
      </w:tr>
    </w:tbl>
    <w:p>
      <w:pPr>
        <w:spacing w:after="0" w:before="80"/>
      </w:pPr>
      <w:r>
        <w:t xml:space="preserve"/>
      </w:r>
    </w:p>
    <w:p>
      <w:pPr>
        <w:pStyle w:val="Heading3"/>
        <w:spacing w:after="100" w:before="240"/>
      </w:pPr>
      <w:r>
        <w:rPr>
          <w:rFonts w:ascii="Arial" w:cs="Arial" w:eastAsia="Arial" w:hAnsi="Arial"/>
          <w:b/>
          <w:bCs/>
          <w:color w:val="2F2F2F"/>
          <w:sz w:val="24"/>
          <w:szCs w:val="24"/>
        </w:rPr>
        <w:t xml:space="preserve">New Vision-Specific Gates (Updated from Latest Vision)</w:t>
      </w:r>
    </w:p>
    <w:p>
      <w:pPr>
        <w:spacing w:after="60" w:before="60"/>
        <w:jc w:val="both"/>
      </w:pPr>
      <w:r>
        <w:rPr>
          <w:rFonts w:ascii="Arial" w:cs="Arial" w:eastAsia="Arial" w:hAnsi="Arial"/>
          <w:b/>
          <w:bCs/>
          <w:color w:val="000000"/>
          <w:sz w:val="22"/>
          <w:szCs w:val="22"/>
        </w:rPr>
        <w:t xml:space="preserve">Suggestion and Recommendation page is the most visible ML differentiator at Stage 6</w:t>
      </w:r>
    </w:p>
    <w:p>
      <w:pPr>
        <w:spacing w:after="60" w:before="60"/>
        <w:jc w:val="both"/>
      </w:pPr>
      <w:r>
        <w:rPr>
          <w:rFonts w:ascii="Arial" w:cs="Arial" w:eastAsia="Arial" w:hAnsi="Arial"/>
          <w:b w:val="false"/>
          <w:bCs w:val="false"/>
          <w:color w:val="333333"/>
          <w:sz w:val="22"/>
          <w:szCs w:val="22"/>
        </w:rPr>
        <w:t xml:space="preserve">This page is what separates PlantProcess IQ from a correlation analytics tool. It must aggregate insights from all four ML learning jobs and present them as actionable recommendations — 'Parameter X on Equipment Y has the strongest correlation with defect type Z over the last 30 days; consider reviewing its control limits.' The page must refresh automatically after each learning cycle and show a confidence indicator per recommendation.</w:t>
      </w:r>
    </w:p>
    <w:p>
      <w:pPr>
        <w:spacing w:after="0" w:before="80"/>
      </w:pPr>
      <w:r>
        <w:t xml:space="preserve"/>
      </w:r>
    </w:p>
    <w:p>
      <w:pPr>
        <w:spacing w:after="60" w:before="60"/>
        <w:jc w:val="both"/>
      </w:pPr>
      <w:r>
        <w:rPr>
          <w:rFonts w:ascii="Arial" w:cs="Arial" w:eastAsia="Arial" w:hAnsi="Arial"/>
          <w:b/>
          <w:bCs/>
          <w:color w:val="000000"/>
          <w:sz w:val="22"/>
          <w:szCs w:val="22"/>
        </w:rPr>
        <w:t xml:space="preserve">ML Correlation inspection-job tabs enable user-directed intelligence</w:t>
      </w:r>
    </w:p>
    <w:p>
      <w:pPr>
        <w:spacing w:after="60" w:before="60"/>
        <w:jc w:val="both"/>
      </w:pPr>
      <w:r>
        <w:rPr>
          <w:rFonts w:ascii="Arial" w:cs="Arial" w:eastAsia="Arial" w:hAnsi="Arial"/>
          <w:b w:val="false"/>
          <w:bCs w:val="false"/>
          <w:color w:val="333333"/>
          <w:sz w:val="22"/>
          <w:szCs w:val="22"/>
        </w:rPr>
        <w:t xml:space="preserve">The tab-per-job model in the ML Correlation Page means every user-defined investigation becomes a persistent, named asset. A process engineer can create an inspection job called 'Surface defect root cause Q2', run it against the last 90 days, save it, and set it to re-run weekly. This is a subscription-style intelligence product within the platform — it drives continuous engagement and demonstrates ongoing value to the customer.</w:t>
      </w:r>
    </w:p>
    <w:p>
      <w:pPr>
        <w:spacing w:after="0" w:before="80"/>
      </w:pPr>
      <w:r>
        <w:t xml:space="preserve"/>
      </w:r>
    </w:p>
    <w:p>
      <w:pPr>
        <w:pStyle w:val="Heading3"/>
        <w:spacing w:after="100" w:before="240"/>
      </w:pPr>
      <w:r>
        <w:rPr>
          <w:rFonts w:ascii="Arial" w:cs="Arial" w:eastAsia="Arial" w:hAnsi="Arial"/>
          <w:b/>
          <w:bCs/>
          <w:color w:val="2F2F2F"/>
          <w:sz w:val="24"/>
          <w:szCs w:val="24"/>
        </w:rPr>
        <w:t xml:space="preserve">Commercial Messaging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20"/>
                <w:szCs w:val="20"/>
              </w:rPr>
              <w:t xml:space="preserve">You can say at this stage</w:t>
            </w:r>
          </w:p>
        </w:tc>
        <w:tc>
          <w:tcPr>
            <w:tcW w:type="dxa" w:w="46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20"/>
                <w:szCs w:val="20"/>
              </w:rPr>
              <w:t xml:space="preserve">You must NOT say yet</w:t>
            </w:r>
          </w:p>
        </w:tc>
      </w:tr>
      <w:tr>
        <w:tc>
          <w:tcPr>
            <w:tcW w:type="dxa" w:w="4680"/>
            <w:tcBorders>
              <w:top w:val="single" w:color="AAAAAA" w:sz="4"/>
              <w:left w:val="single" w:color="AAAAAA" w:sz="4"/>
              <w:bottom w:val="single" w:color="AAAAAA" w:sz="4"/>
              <w:right w:val="single" w:color="AAAAAA" w:sz="4"/>
            </w:tcBorders>
            <w:shd w:fill="F0FAF0" w:val="clear"/>
            <w:tcMar>
              <w:top w:type="dxa" w:w="60"/>
              <w:left w:type="dxa" w:w="110"/>
              <w:bottom w:type="dxa" w:w="60"/>
              <w:right w:type="dxa" w:w="110"/>
            </w:tcMar>
            <w:vAlign w:val="top"/>
          </w:tcPr>
          <w:p>
            <w:pPr>
              <w:spacing w:after="30" w:before="0"/>
            </w:pPr>
            <w:r>
              <w:rPr>
                <w:rFonts w:ascii="Arial" w:cs="Arial" w:eastAsia="Arial" w:hAnsi="Arial"/>
                <w:b w:val="false"/>
                <w:bCs w:val="false"/>
                <w:color w:val="375623"/>
                <w:sz w:val="20"/>
                <w:szCs w:val="20"/>
              </w:rPr>
              <w:t xml:space="preserve">✔  PlantProcess IQ is publicly available with a full ML intelligence layer, dynamic page creation, and a proven onboarding process.</w:t>
            </w:r>
          </w:p>
        </w:tc>
        <w:tc>
          <w:tcPr>
            <w:tcW w:type="dxa" w:w="4680"/>
            <w:tcBorders>
              <w:top w:val="single" w:color="AAAAAA" w:sz="4"/>
              <w:left w:val="single" w:color="AAAAAA" w:sz="4"/>
              <w:bottom w:val="single" w:color="AAAAAA" w:sz="4"/>
              <w:right w:val="single" w:color="AAAAAA" w:sz="4"/>
            </w:tcBorders>
            <w:shd w:fill="FFF0F0" w:val="clear"/>
            <w:tcMar>
              <w:top w:type="dxa" w:w="60"/>
              <w:left w:type="dxa" w:w="110"/>
              <w:bottom w:type="dxa" w:w="60"/>
              <w:right w:type="dxa" w:w="110"/>
            </w:tcMar>
            <w:vAlign w:val="top"/>
          </w:tcPr>
          <w:p>
            <w:pPr>
              <w:spacing w:after="30" w:before="0"/>
            </w:pPr>
            <w:r>
              <w:rPr>
                <w:rFonts w:ascii="Arial" w:cs="Arial" w:eastAsia="Arial" w:hAnsi="Arial"/>
                <w:b w:val="false"/>
                <w:bCs w:val="false"/>
                <w:color w:val="C00000"/>
                <w:sz w:val="20"/>
                <w:szCs w:val="20"/>
              </w:rPr>
              <w:t xml:space="preserve">✘  Every customer goes live on day one without configuration or data preparation work.</w:t>
            </w:r>
          </w:p>
        </w:tc>
      </w:tr>
      <w:tr>
        <w:tc>
          <w:tcPr>
            <w:tcW w:type="dxa" w:w="4680"/>
            <w:tcBorders>
              <w:top w:val="single" w:color="AAAAAA" w:sz="4"/>
              <w:left w:val="single" w:color="AAAAAA" w:sz="4"/>
              <w:bottom w:val="single" w:color="AAAAAA" w:sz="4"/>
              <w:right w:val="single" w:color="AAAAAA" w:sz="4"/>
            </w:tcBorders>
            <w:shd w:fill="F0FAF0" w:val="clear"/>
            <w:tcMar>
              <w:top w:type="dxa" w:w="60"/>
              <w:left w:type="dxa" w:w="110"/>
              <w:bottom w:type="dxa" w:w="60"/>
              <w:right w:type="dxa" w:w="110"/>
            </w:tcMar>
            <w:vAlign w:val="top"/>
          </w:tcPr>
          <w:p>
            <w:pPr>
              <w:spacing w:after="30" w:before="0"/>
            </w:pPr>
            <w:r>
              <w:rPr>
                <w:rFonts w:ascii="Arial" w:cs="Arial" w:eastAsia="Arial" w:hAnsi="Arial"/>
                <w:b w:val="false"/>
                <w:bCs w:val="false"/>
                <w:color w:val="375623"/>
                <w:sz w:val="20"/>
                <w:szCs w:val="20"/>
              </w:rPr>
              <w:t xml:space="preserve">✔  The Suggestion and Recommendation page gives process engineers actionable process improvement opportunities from continuous ML learning.</w:t>
            </w:r>
          </w:p>
        </w:tc>
        <w:tc>
          <w:tcPr>
            <w:tcW w:type="dxa" w:w="4680"/>
            <w:tcBorders>
              <w:top w:val="single" w:color="AAAAAA" w:sz="4"/>
              <w:left w:val="single" w:color="AAAAAA" w:sz="4"/>
              <w:bottom w:val="single" w:color="AAAAAA" w:sz="4"/>
              <w:right w:val="single" w:color="AAAAAA" w:sz="4"/>
            </w:tcBorders>
            <w:shd w:fill="FFF0F0" w:val="clear"/>
            <w:tcMar>
              <w:top w:type="dxa" w:w="60"/>
              <w:left w:type="dxa" w:w="110"/>
              <w:bottom w:type="dxa" w:w="60"/>
              <w:right w:type="dxa" w:w="110"/>
            </w:tcMar>
            <w:vAlign w:val="top"/>
          </w:tcPr>
          <w:p>
            <w:pPr>
              <w:spacing w:after="30" w:before="0"/>
            </w:pPr>
            <w:r>
              <w:rPr>
                <w:rFonts w:ascii="Arial" w:cs="Arial" w:eastAsia="Arial" w:hAnsi="Arial"/>
                <w:b w:val="false"/>
                <w:bCs w:val="false"/>
                <w:color w:val="C00000"/>
                <w:sz w:val="20"/>
                <w:szCs w:val="20"/>
              </w:rPr>
              <w:t xml:space="preserve">✘  The ML models never need retraining — they are always accurate regardless of plant changes.</w:t>
            </w:r>
          </w:p>
        </w:tc>
      </w:tr>
      <w:tr>
        <w:tc>
          <w:tcPr>
            <w:tcW w:type="dxa" w:w="4680"/>
            <w:tcBorders>
              <w:top w:val="single" w:color="AAAAAA" w:sz="4"/>
              <w:left w:val="single" w:color="AAAAAA" w:sz="4"/>
              <w:bottom w:val="single" w:color="AAAAAA" w:sz="4"/>
              <w:right w:val="single" w:color="AAAAAA" w:sz="4"/>
            </w:tcBorders>
            <w:shd w:fill="F0FAF0" w:val="clear"/>
            <w:tcMar>
              <w:top w:type="dxa" w:w="60"/>
              <w:left w:type="dxa" w:w="110"/>
              <w:bottom w:type="dxa" w:w="60"/>
              <w:right w:type="dxa" w:w="110"/>
            </w:tcMar>
            <w:vAlign w:val="top"/>
          </w:tcPr>
          <w:p>
            <w:pPr>
              <w:spacing w:after="30" w:before="0"/>
            </w:pPr>
            <w:r>
              <w:rPr>
                <w:rFonts w:ascii="Arial" w:cs="Arial" w:eastAsia="Arial" w:hAnsi="Arial"/>
                <w:b w:val="false"/>
                <w:bCs w:val="false"/>
                <w:color w:val="375623"/>
                <w:sz w:val="20"/>
                <w:szCs w:val="20"/>
              </w:rPr>
              <w:t xml:space="preserve">✔  We have delivered successful pilots and have a repeatable, documented onboarding methodology.</w:t>
            </w:r>
          </w:p>
        </w:tc>
        <w:tc>
          <w:tcPr>
            <w:tcW w:type="dxa" w:w="4680"/>
            <w:tcBorders>
              <w:top w:val="single" w:color="AAAAAA" w:sz="4"/>
              <w:left w:val="single" w:color="AAAAAA" w:sz="4"/>
              <w:bottom w:val="single" w:color="AAAAAA" w:sz="4"/>
              <w:right w:val="single" w:color="AAAAAA" w:sz="4"/>
            </w:tcBorders>
            <w:shd w:fill="FFF0F0" w:val="clear"/>
            <w:tcMar>
              <w:top w:type="dxa" w:w="60"/>
              <w:left w:type="dxa" w:w="110"/>
              <w:bottom w:type="dxa" w:w="60"/>
              <w:right w:type="dxa" w:w="110"/>
            </w:tcMar>
            <w:vAlign w:val="top"/>
          </w:tcPr>
          <w:p>
            <w:pPr>
              <w:spacing w:after="30" w:before="0"/>
            </w:pPr>
            <w:r>
              <w:rPr>
                <w:rFonts w:ascii="Arial" w:cs="Arial" w:eastAsia="Arial" w:hAnsi="Arial"/>
                <w:b w:val="false"/>
                <w:bCs w:val="false"/>
                <w:color w:val="C00000"/>
                <w:sz w:val="20"/>
                <w:szCs w:val="20"/>
              </w:rPr>
              <w:t xml:space="preserve">✘  We can guarantee specific ROI figures before starting an engagement.</w:t>
            </w:r>
          </w:p>
        </w:tc>
      </w:tr>
    </w:tbl>
    <w:p>
      <w:pPr>
        <w:spacing w:after="0" w:before="80"/>
      </w:pPr>
      <w:r>
        <w:t xml:space="preserve"/>
      </w:r>
    </w:p>
    <w:p>
      <w:pPr>
        <w:pStyle w:val="Heading3"/>
        <w:spacing w:after="100" w:before="240"/>
      </w:pPr>
      <w:r>
        <w:rPr>
          <w:rFonts w:ascii="Arial" w:cs="Arial" w:eastAsia="Arial" w:hAnsi="Arial"/>
          <w:b/>
          <w:bCs/>
          <w:color w:val="2F2F2F"/>
          <w:sz w:val="24"/>
          <w:szCs w:val="24"/>
        </w:rPr>
        <w:t xml:space="preserve">Risk if Stage Is Rushed or Skipped</w:t>
      </w:r>
    </w:p>
    <w:p>
      <w:pPr>
        <w:pStyle w:val="ListParagraph"/>
        <w:numPr>
          <w:ilvl w:val="0"/>
          <w:numId w:val="2"/>
        </w:numPr>
        <w:spacing w:after="40" w:before="40"/>
      </w:pPr>
      <w:r>
        <w:rPr>
          <w:rFonts w:ascii="Arial" w:cs="Arial" w:eastAsia="Arial" w:hAnsi="Arial"/>
          <w:b w:val="false"/>
          <w:bCs w:val="false"/>
          <w:sz w:val="22"/>
          <w:szCs w:val="22"/>
        </w:rPr>
        <w:t xml:space="preserve">Launching public marketing without the Suggestion page means the product looks like a BI dashboard with added correlation — not a differentiated intelligence layer.</w:t>
      </w:r>
    </w:p>
    <w:p>
      <w:pPr>
        <w:pStyle w:val="ListParagraph"/>
        <w:numPr>
          <w:ilvl w:val="0"/>
          <w:numId w:val="2"/>
        </w:numPr>
        <w:spacing w:after="40" w:before="40"/>
      </w:pPr>
      <w:r>
        <w:rPr>
          <w:rFonts w:ascii="Arial" w:cs="Arial" w:eastAsia="Arial" w:hAnsi="Arial"/>
          <w:b w:val="false"/>
          <w:bCs w:val="false"/>
          <w:sz w:val="22"/>
          <w:szCs w:val="22"/>
        </w:rPr>
        <w:t xml:space="preserve">Launching without CI/CD or tests means any marketing success that drives onboarding attempts will expose engineering fragility.</w:t>
      </w:r>
    </w:p>
    <w:p>
      <w:pPr>
        <w:pStyle w:val="ListParagraph"/>
        <w:numPr>
          <w:ilvl w:val="0"/>
          <w:numId w:val="2"/>
        </w:numPr>
        <w:spacing w:after="40" w:before="40"/>
      </w:pPr>
      <w:r>
        <w:rPr>
          <w:rFonts w:ascii="Arial" w:cs="Arial" w:eastAsia="Arial" w:hAnsi="Arial"/>
          <w:b w:val="false"/>
          <w:bCs w:val="false"/>
          <w:sz w:val="22"/>
          <w:szCs w:val="22"/>
        </w:rPr>
        <w:t xml:space="preserve">Launching without a synthetic dataset pack means every demo requires manual data setup, making it impossible to scale sales activities.</w:t>
      </w:r>
    </w:p>
    <w:p>
      <w:pPr>
        <w:spacing w:after="0" w:before="80"/>
      </w:pPr>
      <w:r>
        <w:t xml:space="preserve"/>
      </w:r>
    </w:p>
    <w:p>
      <w:pPr>
        <w:pStyle w:val="Heading3"/>
        <w:spacing w:after="100" w:before="240"/>
      </w:pPr>
      <w:r>
        <w:rPr>
          <w:rFonts w:ascii="Arial" w:cs="Arial" w:eastAsia="Arial" w:hAnsi="Arial"/>
          <w:b/>
          <w:bCs/>
          <w:color w:val="2F2F2F"/>
          <w:sz w:val="24"/>
          <w:szCs w:val="24"/>
        </w:rPr>
        <w:t xml:space="preserve">Exit Criteria — When You Are Ready to Advance</w:t>
      </w:r>
    </w:p>
    <w:p>
      <w:pPr>
        <w:pStyle w:val="ListParagraph"/>
        <w:numPr>
          <w:ilvl w:val="0"/>
          <w:numId w:val="2"/>
        </w:numPr>
        <w:spacing w:after="40" w:before="40"/>
      </w:pPr>
      <w:r>
        <w:rPr>
          <w:rFonts w:ascii="Arial" w:cs="Arial" w:eastAsia="Arial" w:hAnsi="Arial"/>
          <w:b w:val="false"/>
          <w:bCs w:val="false"/>
          <w:sz w:val="22"/>
          <w:szCs w:val="22"/>
        </w:rPr>
        <w:t xml:space="preserve">All 123 plan tasks are complete and validated.</w:t>
      </w:r>
    </w:p>
    <w:p>
      <w:pPr>
        <w:pStyle w:val="ListParagraph"/>
        <w:numPr>
          <w:ilvl w:val="0"/>
          <w:numId w:val="2"/>
        </w:numPr>
        <w:spacing w:after="40" w:before="40"/>
      </w:pPr>
      <w:r>
        <w:rPr>
          <w:rFonts w:ascii="Arial" w:cs="Arial" w:eastAsia="Arial" w:hAnsi="Arial"/>
          <w:b w:val="false"/>
          <w:bCs w:val="false"/>
          <w:sz w:val="22"/>
          <w:szCs w:val="22"/>
        </w:rPr>
        <w:t xml:space="preserve">Synthetic dataset pack has been tested on at least three fresh database instances.</w:t>
      </w:r>
    </w:p>
    <w:p>
      <w:pPr>
        <w:pStyle w:val="ListParagraph"/>
        <w:numPr>
          <w:ilvl w:val="0"/>
          <w:numId w:val="2"/>
        </w:numPr>
        <w:spacing w:after="40" w:before="40"/>
      </w:pPr>
      <w:r>
        <w:rPr>
          <w:rFonts w:ascii="Arial" w:cs="Arial" w:eastAsia="Arial" w:hAnsi="Arial"/>
          <w:b w:val="false"/>
          <w:bCs w:val="false"/>
          <w:sz w:val="22"/>
          <w:szCs w:val="22"/>
        </w:rPr>
        <w:t xml:space="preserve">Demo video has been reviewed by at least two non-technical stakeholders.</w:t>
      </w:r>
    </w:p>
    <w:p>
      <w:pPr>
        <w:pStyle w:val="ListParagraph"/>
        <w:numPr>
          <w:ilvl w:val="0"/>
          <w:numId w:val="2"/>
        </w:numPr>
        <w:spacing w:after="40" w:before="40"/>
      </w:pPr>
      <w:r>
        <w:rPr>
          <w:rFonts w:ascii="Arial" w:cs="Arial" w:eastAsia="Arial" w:hAnsi="Arial"/>
          <w:b w:val="false"/>
          <w:bCs w:val="false"/>
          <w:sz w:val="22"/>
          <w:szCs w:val="22"/>
        </w:rPr>
        <w:t xml:space="preserve">At least one public industry page is live and indexed.</w:t>
      </w:r>
    </w:p>
    <w:p>
      <w:pPr>
        <w:pStyle w:val="ListParagraph"/>
        <w:numPr>
          <w:ilvl w:val="0"/>
          <w:numId w:val="2"/>
        </w:numPr>
        <w:spacing w:after="40" w:before="40"/>
      </w:pPr>
      <w:r>
        <w:rPr>
          <w:rFonts w:ascii="Arial" w:cs="Arial" w:eastAsia="Arial" w:hAnsi="Arial"/>
          <w:b w:val="false"/>
          <w:bCs w:val="false"/>
          <w:sz w:val="22"/>
          <w:szCs w:val="22"/>
        </w:rPr>
        <w:t xml:space="preserve">At least one additional pilot is in progress or signed based on Stage 6 materials.</w:t>
      </w:r>
    </w:p>
    <w:p>
      <w:pPr>
        <w:pBdr>
          <w:bottom w:val="single" w:color="CCCCCC" w:sz="6" w:space="4"/>
        </w:pBdr>
        <w:spacing w:after="80" w:before="80"/>
      </w:pPr>
      <w:r>
        <w:t xml:space="preserve"/>
      </w:r>
    </w:p>
    <w:p>
      <w:r>
        <w:br w:type="page"/>
      </w:r>
    </w:p>
    <w:p>
      <w:pPr>
        <w:pStyle w:val="Heading1"/>
        <w:pBdr>
          <w:bottom w:val="single" w:color="2E75B6" w:sz="16" w:space="8"/>
        </w:pBdr>
        <w:spacing w:after="240" w:before="480"/>
      </w:pPr>
      <w:r>
        <w:rPr>
          <w:rFonts w:ascii="Arial" w:cs="Arial" w:eastAsia="Arial" w:hAnsi="Arial"/>
          <w:b/>
          <w:bCs/>
          <w:color w:val="1F3864"/>
          <w:sz w:val="38"/>
          <w:szCs w:val="38"/>
        </w:rPr>
        <w:t xml:space="preserve">Section 4: Updated Development Plan — 123 Tasks Across 13 Phases</w:t>
      </w:r>
    </w:p>
    <w:p>
      <w:pPr>
        <w:spacing w:after="60" w:before="60"/>
        <w:jc w:val="both"/>
      </w:pPr>
      <w:r>
        <w:rPr>
          <w:rFonts w:ascii="Arial" w:cs="Arial" w:eastAsia="Arial" w:hAnsi="Arial"/>
          <w:b w:val="false"/>
          <w:bCs w:val="false"/>
          <w:color w:val="000000"/>
          <w:sz w:val="22"/>
          <w:szCs w:val="22"/>
        </w:rPr>
        <w:t xml:space="preserve">This plan incorporates all 94 tasks from the original Plan_11May2026.txt, plus 29 new tasks derived directly from the latest vision. New tasks are marked with a green background and a ▲ New Task indicator. Existing task numbers and descriptions are preserved and enhanced with additional detail. The plan is organized into 13 phases aligned to the six commercial roadmap stages.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3120"/>
      </w:tblGrid>
      <w:tr>
        <w:tc>
          <w:tcPr>
            <w:tcW w:type="dxa" w:w="936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20"/>
                <w:szCs w:val="20"/>
              </w:rPr>
              <w:t xml:space="preserve">Priority Legend</w:t>
            </w:r>
          </w:p>
        </w:tc>
      </w:tr>
      <w:tr>
        <w:tc>
          <w:tcPr>
            <w:tcW w:type="dxa" w:w="156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0" w:before="0"/>
              <w:jc w:val="center"/>
            </w:pPr>
            <w:r>
              <w:rPr>
                <w:rFonts w:ascii="Arial" w:cs="Arial" w:eastAsia="Arial" w:hAnsi="Arial"/>
                <w:b/>
                <w:bCs/>
                <w:color w:val="C00000"/>
                <w:sz w:val="19"/>
                <w:szCs w:val="19"/>
              </w:rPr>
              <w:t xml:space="preserve">Critical</w:t>
            </w:r>
          </w:p>
        </w:tc>
        <w:tc>
          <w:tcPr>
            <w:tcW w:type="dxa" w:w="156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0" w:before="0"/>
              <w:jc w:val="center"/>
            </w:pPr>
            <w:r>
              <w:rPr>
                <w:rFonts w:ascii="Arial" w:cs="Arial" w:eastAsia="Arial" w:hAnsi="Arial"/>
                <w:b/>
                <w:bCs/>
                <w:color w:val="C55A11"/>
                <w:sz w:val="19"/>
                <w:szCs w:val="19"/>
              </w:rPr>
              <w:t xml:space="preserve">Important</w:t>
            </w:r>
          </w:p>
        </w:tc>
        <w:tc>
          <w:tcPr>
            <w:tcW w:type="dxa" w:w="1560"/>
            <w:tcBorders>
              <w:top w:val="single" w:color="AAAAAA" w:sz="4"/>
              <w:left w:val="single" w:color="AAAAAA" w:sz="4"/>
              <w:bottom w:val="single" w:color="AAAAAA" w:sz="4"/>
              <w:right w:val="single" w:color="AAAAAA" w:sz="4"/>
            </w:tcBorders>
            <w:shd w:fill="F2F2F2" w:val="clear"/>
            <w:tcMar>
              <w:top w:type="dxa" w:w="60"/>
              <w:left w:type="dxa" w:w="110"/>
              <w:bottom w:type="dxa" w:w="60"/>
              <w:right w:type="dxa" w:w="110"/>
            </w:tcMar>
            <w:vAlign w:val="top"/>
          </w:tcPr>
          <w:p>
            <w:pPr>
              <w:spacing w:after="0" w:before="0"/>
              <w:jc w:val="center"/>
            </w:pPr>
            <w:r>
              <w:rPr>
                <w:rFonts w:ascii="Arial" w:cs="Arial" w:eastAsia="Arial" w:hAnsi="Arial"/>
                <w:b/>
                <w:bCs/>
                <w:color w:val="505050"/>
                <w:sz w:val="19"/>
                <w:szCs w:val="19"/>
              </w:rPr>
              <w:t xml:space="preserve">Normal</w:t>
            </w:r>
          </w:p>
        </w:tc>
        <w:tc>
          <w:tcPr>
            <w:tcW w:type="dxa" w:w="156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0" w:before="0"/>
              <w:jc w:val="center"/>
            </w:pPr>
            <w:r>
              <w:rPr>
                <w:rFonts w:ascii="Arial" w:cs="Arial" w:eastAsia="Arial" w:hAnsi="Arial"/>
                <w:b/>
                <w:bCs/>
                <w:color w:val="375623"/>
                <w:sz w:val="19"/>
                <w:szCs w:val="19"/>
              </w:rPr>
              <w:t xml:space="preserve">▲ New Task</w:t>
            </w:r>
          </w:p>
        </w:tc>
        <w:tc>
          <w:tcPr>
            <w:tcW w:type="dxa" w:w="31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0" w:before="0"/>
              <w:jc w:val="left"/>
            </w:pPr>
            <w:r>
              <w:rPr>
                <w:rFonts w:ascii="Arial" w:cs="Arial" w:eastAsia="Arial" w:hAnsi="Arial"/>
                <w:b w:val="false"/>
                <w:bCs w:val="false"/>
                <w:color w:val="333333"/>
                <w:sz w:val="18"/>
                <w:szCs w:val="18"/>
              </w:rPr>
              <w:t xml:space="preserve">Existing tasks retain their original numbers. New tasks use phase-prefix IDs (A-01, SC-01, etc.)</w:t>
            </w:r>
          </w:p>
        </w:tc>
      </w:tr>
    </w:tbl>
    <w:p>
      <w:pPr>
        <w:spacing w:after="0" w:before="80"/>
      </w:pPr>
      <w:r>
        <w:t xml:space="preserve"/>
      </w:r>
    </w:p>
    <w:p>
      <w:pPr>
        <w:pBdr>
          <w:top w:val="single" w:color="1F3864" w:sz="8"/>
          <w:bottom w:val="single" w:color="2E75B6" w:sz="4"/>
        </w:pBdr>
        <w:shd w:fill="DEEAF1" w:val="clear"/>
        <w:spacing w:after="0" w:before="360"/>
        <w:ind w:left="200"/>
      </w:pPr>
      <w:r>
        <w:rPr>
          <w:rFonts w:ascii="Arial" w:cs="Arial" w:eastAsia="Arial" w:hAnsi="Arial"/>
          <w:b/>
          <w:bCs/>
          <w:color w:val="1F3864"/>
          <w:sz w:val="28"/>
          <w:szCs w:val="28"/>
        </w:rPr>
        <w:t xml:space="preserve">Phase 0:  </w:t>
      </w:r>
      <w:r>
        <w:rPr>
          <w:rFonts w:ascii="Arial" w:cs="Arial" w:eastAsia="Arial" w:hAnsi="Arial"/>
          <w:b/>
          <w:bCs/>
          <w:color w:val="2E75B6"/>
          <w:sz w:val="28"/>
          <w:szCs w:val="28"/>
        </w:rPr>
        <w:t xml:space="preserve">Build Validation Gate</w:t>
      </w:r>
    </w:p>
    <w:p>
      <w:pPr>
        <w:shd w:fill="DEEAF1" w:val="clear"/>
        <w:spacing w:after="120" w:before="0"/>
        <w:ind w:left="200"/>
      </w:pPr>
      <w:r>
        <w:rPr>
          <w:rFonts w:ascii="Arial" w:cs="Arial" w:eastAsia="Arial" w:hAnsi="Arial"/>
          <w:b/>
          <w:bCs/>
          <w:color w:val="1F3864"/>
          <w:sz w:val="22"/>
          <w:szCs w:val="22"/>
        </w:rPr>
        <w:t xml:space="preserve">Commercial Gate: </w:t>
      </w:r>
      <w:r>
        <w:rPr>
          <w:rFonts w:ascii="Arial" w:cs="Arial" w:eastAsia="Arial" w:hAnsi="Arial"/>
          <w:color w:val="505050"/>
          <w:sz w:val="22"/>
          <w:szCs w:val="22"/>
        </w:rPr>
        <w:t xml:space="preserve">IMMEDIATE — Must complete before any new feature work</w:t>
      </w:r>
    </w:p>
    <w:p>
      <w:pPr>
        <w:spacing w:after="60" w:before="60"/>
        <w:jc w:val="both"/>
      </w:pPr>
      <w:r>
        <w:rPr>
          <w:rFonts w:ascii="Arial" w:cs="Arial" w:eastAsia="Arial" w:hAnsi="Arial"/>
          <w:b w:val="false"/>
          <w:bCs w:val="false"/>
          <w:color w:val="333333"/>
          <w:sz w:val="22"/>
          <w:szCs w:val="22"/>
        </w:rPr>
        <w:t xml:space="preserve">Every task in this phase is a prerequisite gate. No new feature work, no connector development, and no customer-facing demo preparation should begin until all Phase 0 tasks pass. A failed build or broken smoke test invalidates the entire codebase as a development baseline.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00"/>
        <w:gridCol w:w="680"/>
        <w:gridCol w:w="680"/>
        <w:gridCol w:w="1700"/>
        <w:gridCol w:w="2720"/>
        <w:gridCol w:w="1500"/>
      </w:tblGrid>
      <w:tr>
        <w:tc>
          <w:tcPr>
            <w:tcW w:type="dxa" w:w="4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8"/>
                <w:szCs w:val="18"/>
              </w:rPr>
              <w:t xml:space="preserve">#</w:t>
            </w:r>
          </w:p>
        </w:tc>
        <w:tc>
          <w:tcPr>
            <w:tcW w:type="dxa" w:w="16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Task Name</w:t>
            </w:r>
          </w:p>
        </w:tc>
        <w:tc>
          <w:tcPr>
            <w:tcW w:type="dxa" w:w="6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8"/>
                <w:szCs w:val="18"/>
              </w:rPr>
              <w:t xml:space="preserve">Priority</w:t>
            </w:r>
          </w:p>
        </w:tc>
        <w:tc>
          <w:tcPr>
            <w:tcW w:type="dxa" w:w="6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8"/>
                <w:szCs w:val="18"/>
              </w:rPr>
              <w:t xml:space="preserve">Scope</w:t>
            </w:r>
          </w:p>
        </w:tc>
        <w:tc>
          <w:tcPr>
            <w:tcW w:type="dxa" w:w="17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Brief Description</w:t>
            </w:r>
          </w:p>
        </w:tc>
        <w:tc>
          <w:tcPr>
            <w:tcW w:type="dxa" w:w="272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Detailed Description &amp; Implementation Notes</w:t>
            </w:r>
          </w:p>
        </w:tc>
        <w:tc>
          <w:tcPr>
            <w:tcW w:type="dxa" w:w="15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Validation Criteria</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1</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Run backend build — zero errors</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Confirm full solution compiles.</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Run dotnet build on the full solution and confirm all five projects (Domain, Application, Infrastructure, Api, Workers) compile cleanly with zero errors. Fix any broken references, missing using directives, or version conflicts before proceeding. This is the absolute first gate — no new feature work begins until this passes.</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dotnet build reports 0 errors, 0 warnings on all projects.</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2</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Run frontend build — zero errors</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Frontend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Confirm React/Vite app compiles.</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Run npm run build and fix all TypeScript type errors, missing imports, and component-level errors introduced by the WidgetBuilderWizard and recent grid layout additions. A production build failure means any customer demo environment would also fail to build. TypeScript strict mode must pass cleanly.</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npm run build succeeds with zero TypeScript errors; dist folder produced.</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3</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Apply migrations and verify schema alignment</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Confirm DB matches EF model.</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Apply all 19 EF Core migrations including the latest DashboardDefinitions migration. Start the API and confirm that no EF schema mismatch appears in startup logs. Verify the /db-health endpoint returns OK. If any migration fails, diagnose the failure before any other work proceeds — a broken migration means all backend services are running against an incorrect schema.</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All migrations apply cleanly; /db-health returns 200 OK; no schema mismatch in startup logs.</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4</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Smoke test critical API endpoints</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Prove runtime API behavior.</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Systematically test each endpoint group using Swagger, curl, or a Postman collection: health, dashboard workspace, dashboard metadata, widget query, correlation analysis, material investigation, PDF report generation, and data quality scan. Each endpoint must return a valid HTTP 200 or 201 with a well-formed response body. Note any endpoints that return 500 errors or empty responses — these must be fixed before demo preparation.</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All listed endpoint groups return valid responses. Zero unhandled 500 errors.</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5</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Smoke test dashboard UI in browser</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Frontend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Prove dashboard runs visually.</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Open the React app with the backend running. Navigate to each of the five pages: DashboardPage, CorrelationPage, DataQualityPage, MaterialInvestigationPage, and RiskDashboardPage. Open the WidgetBuilderWizard and navigate all wizard steps. Verify routing, loading states, and error boundaries. Check the browser console for uncaught JavaScript errors or failed API calls.</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No critical browser console errors. All five pages load and render. Wizard opens and all steps are navigable.</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6</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Validate drag, resize, and layout reflow</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Frontend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Confirm dashboard layout behavior.</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Test widget drag-and-drop positioning, resize handles at multiple widths, responsive breakpoint behavior, full-row expansion, fullscreen mode, collapse, and hidden states. Test at desktop widths of 1280px, 1440px, and 1920px. Verify that layout state is correctly serialized and restored after a page refresh using whatever storage mechanism is currently in place.</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Layout operations complete without visual glitches. All resize and drag operations persist correctly.</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7</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Validate global filter interaction</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Frontend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Confirm filter updates data.</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Apply each filter type available in the DashboardFilterBar: date range, site, area, equipment, material type, and defect type. Verify that applying a filter updates the affected charts and tables in the dashboard. Verify that filter state is reflected in the SelectionBreadcrumb component and that clearing filters returns the dashboard to its unfiltered state without a page reload.</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All filter types update dashboard data. Breadcrumb reflects active filters. Clearing filters restores full data view.</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8</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Validate dark/light theme consistency</w:t>
            </w:r>
          </w:p>
        </w:tc>
        <w:tc>
          <w:tcPr>
            <w:tcW w:type="dxa" w:w="68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30" w:before="0"/>
            </w:pPr>
            <w:r>
              <w:rPr>
                <w:rFonts w:ascii="Arial" w:cs="Arial" w:eastAsia="Arial" w:hAnsi="Arial"/>
                <w:b/>
                <w:bCs/>
                <w:color w:val="C55A11"/>
                <w:sz w:val="18"/>
                <w:szCs w:val="18"/>
              </w:rPr>
              <w:t xml:space="preserve">Important</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Frontend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Confirm theme toggle stability.</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Toggle between dark (default) and light themes. Verify that all five pages, all chart types, the wizard, the filter bar, status badges, and the data table render correctly in both themes. Verify that the selected theme is persisted to localStorage and survives a browser refresh. Check for any hard-coded color values that do not respond to the theme context.</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Theme toggle works. localStorage persists selection. All pages readable in both themes.</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9</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Validate worker startup and scheduled jobs</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Confirm Workers project runs.</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Start the PlantProcess.Workers project separately and verify that the TelemetryIngestionWorker and the main scheduled Worker start without configuration errors. Check startup logs for any missing service registrations, connection errors, or null reference exceptions. Verify that the ImportBatchQueueProcessorService log entries appear at the expected interval.</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Worker starts and logs confirm scheduled job execution at expected intervals.</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10–12</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Verify API, frontend, and DB port configuration</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Both</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Remove hardcoded port assumptions.</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Validate that the API runs on a port configured via ASPNETCORE_URLS or environment variable. Validate that the frontend Vite dev server and production build respect the VITE_API_BASE_URL environment variable. Validate that the database connection string is fully environment-driven (host, port, database name, username, password) with no hardcoded values in development JSON files.</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All three components start successfully with non-default port values configured only through environment variables.</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13</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Confirm CORS origins are configurable</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Validate deployment-safe CORS.</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Ensure allowed CORS origins are configurable via appsettings and environment variable. Add a startup validation check that rejects empty or wildcard origins in non-development environments. The StartupConfigurationValidator should log a clear error and refuse to start if CORS is not properly configured for the target environment.</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Startup validation catches missing or unsafe CORS configuration and logs a clear error.</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14</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Verify no hidden frontend localhost fallback</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Frontend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Prevent wrong API target silently.</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Confirm that VITE_API_BASE_URL is a required variable and that the frontend application shows a clear configuration error screen — not a silent fallback to localhost — if the variable is missing or empty. This prevents a production-deployed frontend from silently calling a non-existent localhost backend.</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Missing VITE_API_BASE_URL shows a clear configuration error at startup. No silent localhost fallback.</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15</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Create full-stack .env.example</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Both</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Make setup repeatable.</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Create a comprehensive .env.example file covering all required variables: API base URL, backend ports, database host/port/name/user/password, CORS origins, logging level, and any feature flags. This file is the authoritative reference for setting up a new development, demo, or Docker environment. It must be kept updated whenever a new environment variable is introduced.</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A new developer can complete full-stack environment setup using only .env.example as a reference.</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16</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Validate Docker Compose environment variables</w:t>
            </w:r>
          </w:p>
        </w:tc>
        <w:tc>
          <w:tcPr>
            <w:tcW w:type="dxa" w:w="68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30" w:before="0"/>
            </w:pPr>
            <w:r>
              <w:rPr>
                <w:rFonts w:ascii="Arial" w:cs="Arial" w:eastAsia="Arial" w:hAnsi="Arial"/>
                <w:b/>
                <w:bCs/>
                <w:color w:val="C55A11"/>
                <w:sz w:val="18"/>
                <w:szCs w:val="18"/>
              </w:rPr>
              <w:t xml:space="preserve">Important</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Both</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Make Docker portable.</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Update docker-compose.yml to consume environment variables for all service configurations: API URLs, ports, PostgreSQL credentials, and allowed CORS origins. Test that the Docker Compose stack starts correctly when .env is populated from .env.example. Verify that changing any variable in .env takes effect without modifying docker-compose.yml.</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Docker Compose stack starts with custom env values. No hardcoded values in compose file.</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17</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Swagger/OpenAPI examples</w:t>
            </w:r>
          </w:p>
        </w:tc>
        <w:tc>
          <w:tcPr>
            <w:tcW w:type="dxa" w:w="68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30" w:before="0"/>
            </w:pPr>
            <w:r>
              <w:rPr>
                <w:rFonts w:ascii="Arial" w:cs="Arial" w:eastAsia="Arial" w:hAnsi="Arial"/>
                <w:b/>
                <w:bCs/>
                <w:color w:val="C55A11"/>
                <w:sz w:val="18"/>
                <w:szCs w:val="18"/>
              </w:rPr>
              <w:t xml:space="preserve">Important</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Improve API developer experience.</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Add useful request and response examples in Swagger for the most important endpoint groups: dashboard query with filter, widget query with expression, source registration, mapping preview, import batch, readiness report, and investigation report. Examples should include realistic field values that match the synthetic demo data. This dramatically speeds up API integration work and impresses technical evaluators during demos.</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Swagger UI shows grouped endpoints with at least one realistic example per key endpoint group.</w:t>
            </w:r>
          </w:p>
        </w:tc>
      </w:tr>
    </w:tbl>
    <w:p>
      <w:pPr>
        <w:spacing w:after="0" w:before="80"/>
      </w:pPr>
      <w:r>
        <w:t xml:space="preserve"/>
      </w:r>
    </w:p>
    <w:p>
      <w:pPr>
        <w:pBdr>
          <w:top w:val="single" w:color="1F3864" w:sz="8"/>
          <w:bottom w:val="single" w:color="2E75B6" w:sz="4"/>
        </w:pBdr>
        <w:shd w:fill="DEEAF1" w:val="clear"/>
        <w:spacing w:after="0" w:before="360"/>
        <w:ind w:left="200"/>
      </w:pPr>
      <w:r>
        <w:rPr>
          <w:rFonts w:ascii="Arial" w:cs="Arial" w:eastAsia="Arial" w:hAnsi="Arial"/>
          <w:b/>
          <w:bCs/>
          <w:color w:val="1F3864"/>
          <w:sz w:val="28"/>
          <w:szCs w:val="28"/>
        </w:rPr>
        <w:t xml:space="preserve">Phase 1:  </w:t>
      </w:r>
      <w:r>
        <w:rPr>
          <w:rFonts w:ascii="Arial" w:cs="Arial" w:eastAsia="Arial" w:hAnsi="Arial"/>
          <w:b/>
          <w:bCs/>
          <w:color w:val="2E75B6"/>
          <w:sz w:val="28"/>
          <w:szCs w:val="28"/>
        </w:rPr>
        <w:t xml:space="preserve">Dashboard Builder Completion</w:t>
      </w:r>
    </w:p>
    <w:p>
      <w:pPr>
        <w:shd w:fill="DEEAF1" w:val="clear"/>
        <w:spacing w:after="120" w:before="0"/>
        <w:ind w:left="200"/>
      </w:pPr>
      <w:r>
        <w:rPr>
          <w:rFonts w:ascii="Arial" w:cs="Arial" w:eastAsia="Arial" w:hAnsi="Arial"/>
          <w:b/>
          <w:bCs/>
          <w:color w:val="1F3864"/>
          <w:sz w:val="22"/>
          <w:szCs w:val="22"/>
        </w:rPr>
        <w:t xml:space="preserve">Commercial Gate: </w:t>
      </w:r>
      <w:r>
        <w:rPr>
          <w:rFonts w:ascii="Arial" w:cs="Arial" w:eastAsia="Arial" w:hAnsi="Arial"/>
          <w:color w:val="505050"/>
          <w:sz w:val="22"/>
          <w:szCs w:val="22"/>
        </w:rPr>
        <w:t xml:space="preserve">Stage 2 — Customer Discovery Gate</w:t>
      </w:r>
    </w:p>
    <w:p>
      <w:pPr>
        <w:spacing w:after="60" w:before="60"/>
        <w:jc w:val="both"/>
      </w:pPr>
      <w:r>
        <w:rPr>
          <w:rFonts w:ascii="Arial" w:cs="Arial" w:eastAsia="Arial" w:hAnsi="Arial"/>
          <w:b w:val="false"/>
          <w:bCs w:val="false"/>
          <w:color w:val="333333"/>
          <w:sz w:val="22"/>
          <w:szCs w:val="22"/>
        </w:rPr>
        <w:t xml:space="preserve">All tasks in this phase complete the widget wizard, dashboard persistence, and template system. These are prerequisites for any customer discovery demonstration. The wizard must work end-to-end — chart type selection through save and reload — before any prospect sees the product.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00"/>
        <w:gridCol w:w="680"/>
        <w:gridCol w:w="680"/>
        <w:gridCol w:w="1700"/>
        <w:gridCol w:w="2720"/>
        <w:gridCol w:w="1500"/>
      </w:tblGrid>
      <w:tr>
        <w:tc>
          <w:tcPr>
            <w:tcW w:type="dxa" w:w="4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8"/>
                <w:szCs w:val="18"/>
              </w:rPr>
              <w:t xml:space="preserve">#</w:t>
            </w:r>
          </w:p>
        </w:tc>
        <w:tc>
          <w:tcPr>
            <w:tcW w:type="dxa" w:w="16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Task Name</w:t>
            </w:r>
          </w:p>
        </w:tc>
        <w:tc>
          <w:tcPr>
            <w:tcW w:type="dxa" w:w="6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8"/>
                <w:szCs w:val="18"/>
              </w:rPr>
              <w:t xml:space="preserve">Priority</w:t>
            </w:r>
          </w:p>
        </w:tc>
        <w:tc>
          <w:tcPr>
            <w:tcW w:type="dxa" w:w="6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8"/>
                <w:szCs w:val="18"/>
              </w:rPr>
              <w:t xml:space="preserve">Scope</w:t>
            </w:r>
          </w:p>
        </w:tc>
        <w:tc>
          <w:tcPr>
            <w:tcW w:type="dxa" w:w="17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Brief Description</w:t>
            </w:r>
          </w:p>
        </w:tc>
        <w:tc>
          <w:tcPr>
            <w:tcW w:type="dxa" w:w="272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Detailed Description &amp; Implementation Notes</w:t>
            </w:r>
          </w:p>
        </w:tc>
        <w:tc>
          <w:tcPr>
            <w:tcW w:type="dxa" w:w="15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Validation Criteria</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18</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Complete widget wizard — dimension and measure step</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Frontend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Add wizard step 3.</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Extend the WidgetBuilderWizard to include a step for selecting dimension (x-axis grouping field), measure (y-axis aggregation field), and parameter (for parameter-specific charts like process trend lines). The selectable fields must be populated from the DashboardMetadataService backend endpoint, which returns only metadata-compatible fields for the selected chart type. Include inline validation that prevents continuing if the selected dimension/measure combination is not supported.</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Wizard step 3 shows relevant fields only. Incompatible dimension/measure combinations are blocked with a clear message.</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19</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Complete widget wizard — filter configuration step</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Frontend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Add filter configuration.</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Add a filter configuration step to the wizard that allows the user to pre-configure filters for the widget: site, area, equipment, material type, defect type, risk class, source system, date range offset (last N days/weeks/months), and specific parameter filters. These filters are stored as part of the widget definition and are applied on every widget query execution. The filter state must be serialized into the widget query DTO in the correct format expected by the backend widget query endpoint.</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All filter types serialize correctly into the widget query DTO. Backend receives and applies filters correctly in preview.</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20</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Complete widget wizard — preview step</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Both</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Preview widget before saving.</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In the final wizard step, call the backend widget query endpoint with the fully constructed query DTO (chart type, dimension, measure, filters, expression). Render the preview using the same InteractiveCharts component used in the live dashboard. Display validation errors clearly if the backend rejects the query — include the specific field or rule that failed. The preview must be interactive (tooltip, hover states) so the user can verify data quality before saving.</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Preview renders backend data or shows a specific, actionable validation error. No generic 'something went wrong' messages.</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21</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dashboard/widget save API endpoints</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Persist widgets in DB.</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Implement create, update, delete, and retrieve endpoints for DashboardDefinition and DashboardWidgetDefinition entities using the DashboardDefinitionService. The save operation must validate the widget definition using DashboardWidgetValidationService before persisting. Include optimistic concurrency control for concurrent edits. Return the persisted widget ID on creation so the frontend can navigate to it.</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Saved widgets are stored in the database and reloadable by their ID. Concurrent edit conflicts return a 409 Conflict response.</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22</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Save widget from wizard and refresh workspace</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Frontend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Complete add-widget flow.</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After the preview step, implement the Save button action: POST the widget definition to the save API, receive the new widget ID, close the wizard, and refresh the dashboard workspace to include the new widget in its grid. The new widget must appear in the correct grid position, load its data from the backend, and survive a browser page refresh. Do not rely on client-side state to show the new widget — it must reload from the backend.</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New widget appears in dashboard after save. Survives browser refresh. Data loads correctly from backend.</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23</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Persist dashboard layout to backend</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Both</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Replace localStorage layout dependency.</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Save the grid layout (widget positions, sizes, and visibility states) to the backend DashboardDefinition entity instead of relying exclusively on localStorage. Keep localStorage only as a temporary draft cache for unsaved layout changes. Add a Save Layout button or auto-save on layout change. The layout must survive a browser refresh, a device switch, and a new browser session.</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Dashboard layout survives browser and device change. localStorage is only a draft cache, not the source of truth.</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24</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widget action menu — edit, remove, clone</w:t>
            </w:r>
          </w:p>
        </w:tc>
        <w:tc>
          <w:tcPr>
            <w:tcW w:type="dxa" w:w="68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30" w:before="0"/>
            </w:pPr>
            <w:r>
              <w:rPr>
                <w:rFonts w:ascii="Arial" w:cs="Arial" w:eastAsia="Arial" w:hAnsi="Arial"/>
                <w:b/>
                <w:bCs/>
                <w:color w:val="C55A11"/>
                <w:sz w:val="18"/>
                <w:szCs w:val="18"/>
              </w:rPr>
              <w:t xml:space="preserve">Important</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Both</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Enable widget lifecycle management.</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Add a three-dot or gear action menu to each DashboardWidgetCard with options: Rename, Edit (reopens wizard pre-populated with existing widget definition), Remove (with confirmation dialog), Duplicate/Clone (creates a copy with a new widget ID), Hide (remove from view without deleting), and Fullscreen. The Edit flow must pre-populate every wizard step with the saved widget configuration so the user does not need to reconfigure from scratch.</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All action menu options work correctly. Edit reopens wizard with pre-populated state. Delete removes widget from DB.</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25</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system dashboard templates</w:t>
            </w:r>
          </w:p>
        </w:tc>
        <w:tc>
          <w:tcPr>
            <w:tcW w:type="dxa" w:w="68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30" w:before="0"/>
            </w:pPr>
            <w:r>
              <w:rPr>
                <w:rFonts w:ascii="Arial" w:cs="Arial" w:eastAsia="Arial" w:hAnsi="Arial"/>
                <w:b/>
                <w:bCs/>
                <w:color w:val="C55A11"/>
                <w:sz w:val="18"/>
                <w:szCs w:val="18"/>
              </w:rPr>
              <w:t xml:space="preserve">Important</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Both</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Provide useful starting dashboards.</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Seed the database with at least five system dashboard templates: Quality Overview (defect counts, top defect types, quality event timeline), Risk Dashboard (risk score distribution, high-risk material list, risk trend), Data Quality (completeness, issue counts by source, source freshness), Correlation Explorer (top parameter correlations, genealogy depth view), and Material Investigation Launcher (search by material ID, recent investigations). Templates should use synthetic demo data parameters so they render correctly in a fresh environment.</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Five system templates exist and render correctly against synthetic demo data on a fresh database.</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26</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dashboard performance indexes</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Prevent slow queries at scale.</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Add database indexes on the most frequently queried foreign keys and filter fields: MaterialUnit.SiteId, MaterialUnit.CreatedAt, QualityEvent.MaterialUnitId, QualityEvent.EventDate, ParameterObservation.EquipmentId, ParameterObservation.Timestamp, RiskScore.MaterialUnitId, StagingRecord.SourceSystemDefinitionId, and CorrelationResult.ParameterId. Verify with EXPLAIN ANALYZE that dashboard queries on the synthetic demo dataset (10k+ rows) complete within 500ms.</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EXPLAIN ANALYZE confirms index usage. Dashboard queries on 10k+ row demo dataset complete within 500ms.</w:t>
            </w:r>
          </w:p>
        </w:tc>
      </w:tr>
    </w:tbl>
    <w:p>
      <w:pPr>
        <w:spacing w:after="0" w:before="80"/>
      </w:pPr>
      <w:r>
        <w:t xml:space="preserve"/>
      </w:r>
    </w:p>
    <w:p>
      <w:pPr>
        <w:pBdr>
          <w:top w:val="single" w:color="1F3864" w:sz="8"/>
          <w:bottom w:val="single" w:color="2E75B6" w:sz="4"/>
        </w:pBdr>
        <w:shd w:fill="DEEAF1" w:val="clear"/>
        <w:spacing w:after="0" w:before="360"/>
        <w:ind w:left="200"/>
      </w:pPr>
      <w:r>
        <w:rPr>
          <w:rFonts w:ascii="Arial" w:cs="Arial" w:eastAsia="Arial" w:hAnsi="Arial"/>
          <w:b/>
          <w:bCs/>
          <w:color w:val="1F3864"/>
          <w:sz w:val="28"/>
          <w:szCs w:val="28"/>
        </w:rPr>
        <w:t xml:space="preserve">Phase 2:  </w:t>
      </w:r>
      <w:r>
        <w:rPr>
          <w:rFonts w:ascii="Arial" w:cs="Arial" w:eastAsia="Arial" w:hAnsi="Arial"/>
          <w:b/>
          <w:bCs/>
          <w:color w:val="2E75B6"/>
          <w:sz w:val="28"/>
          <w:szCs w:val="28"/>
        </w:rPr>
        <w:t xml:space="preserve">Admin Area Foundation</w:t>
      </w:r>
    </w:p>
    <w:p>
      <w:pPr>
        <w:shd w:fill="DEEAF1" w:val="clear"/>
        <w:spacing w:after="120" w:before="0"/>
        <w:ind w:left="200"/>
      </w:pPr>
      <w:r>
        <w:rPr>
          <w:rFonts w:ascii="Arial" w:cs="Arial" w:eastAsia="Arial" w:hAnsi="Arial"/>
          <w:b/>
          <w:bCs/>
          <w:color w:val="1F3864"/>
          <w:sz w:val="22"/>
          <w:szCs w:val="22"/>
        </w:rPr>
        <w:t xml:space="preserve">Commercial Gate: </w:t>
      </w:r>
      <w:r>
        <w:rPr>
          <w:rFonts w:ascii="Arial" w:cs="Arial" w:eastAsia="Arial" w:hAnsi="Arial"/>
          <w:color w:val="505050"/>
          <w:sz w:val="22"/>
          <w:szCs w:val="22"/>
        </w:rPr>
        <w:t xml:space="preserve">Stage 2 (shell) → Stage 3–4 (functional) — Vision §1 Gate</w:t>
      </w:r>
    </w:p>
    <w:p>
      <w:pPr>
        <w:spacing w:after="60" w:before="60"/>
        <w:jc w:val="both"/>
      </w:pPr>
      <w:r>
        <w:rPr>
          <w:rFonts w:ascii="Arial" w:cs="Arial" w:eastAsia="Arial" w:hAnsi="Arial"/>
          <w:b w:val="false"/>
          <w:bCs w:val="false"/>
          <w:color w:val="333333"/>
          <w:sz w:val="22"/>
          <w:szCs w:val="22"/>
        </w:rPr>
        <w:t xml:space="preserve">This phase creates the entire Administrator section of the application — a requirement from the latest vision that was entirely absent from the original plan. The Admin area is what makes PlantProcess IQ a genuinely configurable product: customers configure their own DB links, define schema mapping views, and monitor all jobs without vendor intervention. The shell must be visible by Stage 2; the functional Admin area must be complete by Stage 3.</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00"/>
        <w:gridCol w:w="680"/>
        <w:gridCol w:w="680"/>
        <w:gridCol w:w="1700"/>
        <w:gridCol w:w="2720"/>
        <w:gridCol w:w="1500"/>
      </w:tblGrid>
      <w:tr>
        <w:tc>
          <w:tcPr>
            <w:tcW w:type="dxa" w:w="4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8"/>
                <w:szCs w:val="18"/>
              </w:rPr>
              <w:t xml:space="preserve">#</w:t>
            </w:r>
          </w:p>
        </w:tc>
        <w:tc>
          <w:tcPr>
            <w:tcW w:type="dxa" w:w="16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Task Name</w:t>
            </w:r>
          </w:p>
        </w:tc>
        <w:tc>
          <w:tcPr>
            <w:tcW w:type="dxa" w:w="6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8"/>
                <w:szCs w:val="18"/>
              </w:rPr>
              <w:t xml:space="preserve">Priority</w:t>
            </w:r>
          </w:p>
        </w:tc>
        <w:tc>
          <w:tcPr>
            <w:tcW w:type="dxa" w:w="6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8"/>
                <w:szCs w:val="18"/>
              </w:rPr>
              <w:t xml:space="preserve">Scope</w:t>
            </w:r>
          </w:p>
        </w:tc>
        <w:tc>
          <w:tcPr>
            <w:tcW w:type="dxa" w:w="17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Brief Description</w:t>
            </w:r>
          </w:p>
        </w:tc>
        <w:tc>
          <w:tcPr>
            <w:tcW w:type="dxa" w:w="272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Detailed Description &amp; Implementation Notes</w:t>
            </w:r>
          </w:p>
        </w:tc>
        <w:tc>
          <w:tcPr>
            <w:tcW w:type="dxa" w:w="15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Validation Criteria</w:t>
            </w:r>
          </w:p>
        </w:tc>
      </w:tr>
      <w:tr>
        <w:tc>
          <w:tcPr>
            <w:tcW w:type="dxa" w:w="4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375623"/>
                <w:sz w:val="18"/>
                <w:szCs w:val="18"/>
              </w:rPr>
              <w:t xml:space="preserve">A-01</w:t>
            </w:r>
          </w:p>
        </w:tc>
        <w:tc>
          <w:tcPr>
            <w:tcW w:type="dxa" w:w="16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Create Admin area navigation shell and routing</w:t>
            </w:r>
          </w:p>
          <w:p>
            <w:pPr>
              <w:spacing w:after="30" w:before="0"/>
            </w:pPr>
            <w:r>
              <w:rPr>
                <w:rFonts w:ascii="Arial" w:cs="Arial" w:eastAsia="Arial" w:hAnsi="Arial"/>
                <w:b w:val="false"/>
                <w:bCs w:val="false"/>
                <w:color w:val="375623"/>
                <w:sz w:val="16"/>
                <w:szCs w:val="16"/>
              </w:rPr>
              <w:t xml:space="preserve">▲ New Task</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Frontend</w:t>
            </w:r>
          </w:p>
        </w:tc>
        <w:tc>
          <w:tcPr>
            <w:tcW w:type="dxa" w:w="17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Admin section structure.</w:t>
            </w:r>
          </w:p>
        </w:tc>
        <w:tc>
          <w:tcPr>
            <w:tcW w:type="dxa" w:w="272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Add an Administrator section to the application navigation with sub-routes for: DB Configuration (DB Link Configuration tab, Importing Data tab), Schema Configuration, and Jobs Monitor. Each page may initially be a placeholder with the correct layout and navigation tabs — the important thing is that the routing works and customers can see the structure during Stage 2 discovery calls. Use the same AppLayout and navigation components as the rest of the application for visual consistency.</w:t>
            </w:r>
          </w:p>
        </w:tc>
        <w:tc>
          <w:tcPr>
            <w:tcW w:type="dxa" w:w="15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Admin section appears in navigation. All sub-routes load without errors. Routing is consistent with rest of app.</w:t>
            </w:r>
          </w:p>
        </w:tc>
      </w:tr>
      <w:tr>
        <w:tc>
          <w:tcPr>
            <w:tcW w:type="dxa" w:w="4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375623"/>
                <w:sz w:val="18"/>
                <w:szCs w:val="18"/>
              </w:rPr>
              <w:t xml:space="preserve">A-02</w:t>
            </w:r>
          </w:p>
        </w:tc>
        <w:tc>
          <w:tcPr>
            <w:tcW w:type="dxa" w:w="16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Define and document the two-stage import model</w:t>
            </w:r>
          </w:p>
          <w:p>
            <w:pPr>
              <w:spacing w:after="30" w:before="0"/>
            </w:pPr>
            <w:r>
              <w:rPr>
                <w:rFonts w:ascii="Arial" w:cs="Arial" w:eastAsia="Arial" w:hAnsi="Arial"/>
                <w:b w:val="false"/>
                <w:bCs w:val="false"/>
                <w:color w:val="375623"/>
                <w:sz w:val="16"/>
                <w:szCs w:val="16"/>
              </w:rPr>
              <w:t xml:space="preserve">▲ New Task</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Clarify dump file concept.</w:t>
            </w:r>
          </w:p>
        </w:tc>
        <w:tc>
          <w:tcPr>
            <w:tcW w:type="dxa" w:w="272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Formalize the two-stage import architecture in code comments, entity naming, and service documentation: Stage 1 is the DB Link Import (raw source data pulled into staging/dump records at the DB link rate), and Stage 2 is the Canonical Refresh (mapped data from staging to canonical entities at the HMI refresh rate). Review the StagingRecord lifecycle and SourceSystemDefinition entity to confirm they correctly represent this model. Update the ApplicationReadinessService to check both stage completion states.</w:t>
            </w:r>
          </w:p>
        </w:tc>
        <w:tc>
          <w:tcPr>
            <w:tcW w:type="dxa" w:w="15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Code comments and entity names clearly reflect the two-stage model. ApplicationReadinessService reports both stage statuses.</w:t>
            </w:r>
          </w:p>
        </w:tc>
      </w:tr>
      <w:tr>
        <w:tc>
          <w:tcPr>
            <w:tcW w:type="dxa" w:w="4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375623"/>
                <w:sz w:val="18"/>
                <w:szCs w:val="18"/>
              </w:rPr>
              <w:t xml:space="preserve">A-03</w:t>
            </w:r>
          </w:p>
        </w:tc>
        <w:tc>
          <w:tcPr>
            <w:tcW w:type="dxa" w:w="16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Admin — DB Link Configuration tab UI</w:t>
            </w:r>
          </w:p>
          <w:p>
            <w:pPr>
              <w:spacing w:after="30" w:before="0"/>
            </w:pPr>
            <w:r>
              <w:rPr>
                <w:rFonts w:ascii="Arial" w:cs="Arial" w:eastAsia="Arial" w:hAnsi="Arial"/>
                <w:b w:val="false"/>
                <w:bCs w:val="false"/>
                <w:color w:val="375623"/>
                <w:sz w:val="16"/>
                <w:szCs w:val="16"/>
              </w:rPr>
              <w:t xml:space="preserve">▲ New Task</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Frontend</w:t>
            </w:r>
          </w:p>
        </w:tc>
        <w:tc>
          <w:tcPr>
            <w:tcW w:type="dxa" w:w="17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Source connection management UI.</w:t>
            </w:r>
          </w:p>
        </w:tc>
        <w:tc>
          <w:tcPr>
            <w:tcW w:type="dxa" w:w="272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Build the DB Link Configuration tab within the Admin DB Configuration page. The tab must allow the user to: create a new DB link (name, provider type, host/port/database, credentials via secret reference, read-only flag), configure which tables/sheets to import from that source, set the import cycle rate (from 2 minutes to several days using a range selector), view the current status of the most recent import job, and deactivate or delete a link. Each configured DB link shows as a card with a status indicator and last-run summary.</w:t>
            </w:r>
          </w:p>
        </w:tc>
        <w:tc>
          <w:tcPr>
            <w:tcW w:type="dxa" w:w="15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User can create, configure, test, and deactivate a DB link entirely through the UI. Import rate persists and takes effect.</w:t>
            </w:r>
          </w:p>
        </w:tc>
      </w:tr>
      <w:tr>
        <w:tc>
          <w:tcPr>
            <w:tcW w:type="dxa" w:w="4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375623"/>
                <w:sz w:val="18"/>
                <w:szCs w:val="18"/>
              </w:rPr>
              <w:t xml:space="preserve">A-04</w:t>
            </w:r>
          </w:p>
        </w:tc>
        <w:tc>
          <w:tcPr>
            <w:tcW w:type="dxa" w:w="16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Create JobDefinition entity and service</w:t>
            </w:r>
          </w:p>
          <w:p>
            <w:pPr>
              <w:spacing w:after="30" w:before="0"/>
            </w:pPr>
            <w:r>
              <w:rPr>
                <w:rFonts w:ascii="Arial" w:cs="Arial" w:eastAsia="Arial" w:hAnsi="Arial"/>
                <w:b w:val="false"/>
                <w:bCs w:val="false"/>
                <w:color w:val="375623"/>
                <w:sz w:val="16"/>
                <w:szCs w:val="16"/>
              </w:rPr>
              <w:t xml:space="preserve">▲ New Task</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Universal job registration.</w:t>
            </w:r>
          </w:p>
        </w:tc>
        <w:tc>
          <w:tcPr>
            <w:tcW w:type="dxa" w:w="272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Create a JobDefinition domain entity with fields: job name, job type (enum: DbLinkImport, CanonicalRefresh, MlParamsVsDefects, MlParamsVsDowntime, MlParamsVsKpis, MlWeeklyFull, Custom), target ID (the ConnectionProfile, MappingDefinition, or ML model ID this job operates on), schedule expression (cron or interval), last run timestamp, last run duration (ms), last run status (Ok, Failed, Timeout, Running, NeverRun), and failure reason (nullable). Create IJobDefinitionService and JobDefinitionService with CRUD and status update operations. Add migration.</w:t>
            </w:r>
          </w:p>
        </w:tc>
        <w:tc>
          <w:tcPr>
            <w:tcW w:type="dxa" w:w="15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JobDefinition records are created for each job type. Status update operations write correctly to the DB. Migration applies cleanly.</w:t>
            </w:r>
          </w:p>
        </w:tc>
      </w:tr>
      <w:tr>
        <w:tc>
          <w:tcPr>
            <w:tcW w:type="dxa" w:w="4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375623"/>
                <w:sz w:val="18"/>
                <w:szCs w:val="18"/>
              </w:rPr>
              <w:t xml:space="preserve">A-05</w:t>
            </w:r>
          </w:p>
        </w:tc>
        <w:tc>
          <w:tcPr>
            <w:tcW w:type="dxa" w:w="16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Implement incremental sync logic (last-index comparison)</w:t>
            </w:r>
          </w:p>
          <w:p>
            <w:pPr>
              <w:spacing w:after="30" w:before="0"/>
            </w:pPr>
            <w:r>
              <w:rPr>
                <w:rFonts w:ascii="Arial" w:cs="Arial" w:eastAsia="Arial" w:hAnsi="Arial"/>
                <w:b w:val="false"/>
                <w:bCs w:val="false"/>
                <w:color w:val="375623"/>
                <w:sz w:val="16"/>
                <w:szCs w:val="16"/>
              </w:rPr>
              <w:t xml:space="preserve">▲ New Task</w:t>
            </w:r>
          </w:p>
        </w:tc>
        <w:tc>
          <w:tcPr>
            <w:tcW w:type="dxa" w:w="68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30" w:before="0"/>
            </w:pPr>
            <w:r>
              <w:rPr>
                <w:rFonts w:ascii="Arial" w:cs="Arial" w:eastAsia="Arial" w:hAnsi="Arial"/>
                <w:b/>
                <w:bCs/>
                <w:color w:val="C55A11"/>
                <w:sz w:val="18"/>
                <w:szCs w:val="18"/>
              </w:rPr>
              <w:t xml:space="preserve">Important</w:t>
            </w:r>
          </w:p>
        </w:tc>
        <w:tc>
          <w:tcPr>
            <w:tcW w:type="dxa" w:w="6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Efficient incremental import.</w:t>
            </w:r>
          </w:p>
        </w:tc>
        <w:tc>
          <w:tcPr>
            <w:tcW w:type="dxa" w:w="272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When a DB link import job runs, compare the maximum primary key (or timestamp) of the most recent record in the staging/dump copy against the maximum key of the source table. Import only records with a key greater than the last imported key. Store the last-imported-key value per SourceDatasetDefinition. This prevents re-importing the entire source table on every cycle, which would be prohibitive for large production databases.</w:t>
            </w:r>
          </w:p>
        </w:tc>
        <w:tc>
          <w:tcPr>
            <w:tcW w:type="dxa" w:w="15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Second import run of the same source only imports records added since the previous run. Last-imported-key persists across restarts.</w:t>
            </w:r>
          </w:p>
        </w:tc>
      </w:tr>
      <w:tr>
        <w:tc>
          <w:tcPr>
            <w:tcW w:type="dxa" w:w="4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375623"/>
                <w:sz w:val="18"/>
                <w:szCs w:val="18"/>
              </w:rPr>
              <w:t xml:space="preserve">A-06</w:t>
            </w:r>
          </w:p>
        </w:tc>
        <w:tc>
          <w:tcPr>
            <w:tcW w:type="dxa" w:w="16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Admin — Importing Data tab (canonical refresh configuration)</w:t>
            </w:r>
          </w:p>
          <w:p>
            <w:pPr>
              <w:spacing w:after="30" w:before="0"/>
            </w:pPr>
            <w:r>
              <w:rPr>
                <w:rFonts w:ascii="Arial" w:cs="Arial" w:eastAsia="Arial" w:hAnsi="Arial"/>
                <w:b w:val="false"/>
                <w:bCs w:val="false"/>
                <w:color w:val="375623"/>
                <w:sz w:val="16"/>
                <w:szCs w:val="16"/>
              </w:rPr>
              <w:t xml:space="preserve">▲ New Task</w:t>
            </w:r>
          </w:p>
        </w:tc>
        <w:tc>
          <w:tcPr>
            <w:tcW w:type="dxa" w:w="68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30" w:before="0"/>
            </w:pPr>
            <w:r>
              <w:rPr>
                <w:rFonts w:ascii="Arial" w:cs="Arial" w:eastAsia="Arial" w:hAnsi="Arial"/>
                <w:b/>
                <w:bCs/>
                <w:color w:val="C55A11"/>
                <w:sz w:val="18"/>
                <w:szCs w:val="18"/>
              </w:rPr>
              <w:t xml:space="preserve">Important</w:t>
            </w:r>
          </w:p>
        </w:tc>
        <w:tc>
          <w:tcPr>
            <w:tcW w:type="dxa" w:w="6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Frontend</w:t>
            </w:r>
          </w:p>
        </w:tc>
        <w:tc>
          <w:tcPr>
            <w:tcW w:type="dxa" w:w="17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Second-stage import rate config.</w:t>
            </w:r>
          </w:p>
        </w:tc>
        <w:tc>
          <w:tcPr>
            <w:tcW w:type="dxa" w:w="272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Build the Importing Data tab within the Admin DB Configuration page. This tab configures the second stage: how frequently mapped data flows from staging/dump records into the canonical database. Each configured MappingDefinition appears as a job with a configurable refresh rate (the 'HMI refresh rate' — e.g., every 5 minutes, 15 minutes, 1 hour). The tab shows the job name, mapping definition name, current rate, last-run time, and status. Users can edit the rate, run manually, and pause the job.</w:t>
            </w:r>
          </w:p>
        </w:tc>
        <w:tc>
          <w:tcPr>
            <w:tcW w:type="dxa" w:w="15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Canonical refresh jobs are configurable via the Importing Data tab. Rate changes take effect on the next scheduled run.</w:t>
            </w:r>
          </w:p>
        </w:tc>
      </w:tr>
      <w:tr>
        <w:tc>
          <w:tcPr>
            <w:tcW w:type="dxa" w:w="4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375623"/>
                <w:sz w:val="18"/>
                <w:szCs w:val="18"/>
              </w:rPr>
              <w:t xml:space="preserve">A-07</w:t>
            </w:r>
          </w:p>
        </w:tc>
        <w:tc>
          <w:tcPr>
            <w:tcW w:type="dxa" w:w="16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Admin — Jobs Monitor page</w:t>
            </w:r>
          </w:p>
          <w:p>
            <w:pPr>
              <w:spacing w:after="30" w:before="0"/>
            </w:pPr>
            <w:r>
              <w:rPr>
                <w:rFonts w:ascii="Arial" w:cs="Arial" w:eastAsia="Arial" w:hAnsi="Arial"/>
                <w:b w:val="false"/>
                <w:bCs w:val="false"/>
                <w:color w:val="375623"/>
                <w:sz w:val="16"/>
                <w:szCs w:val="16"/>
              </w:rPr>
              <w:t xml:space="preserve">▲ New Task</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Frontend</w:t>
            </w:r>
          </w:p>
        </w:tc>
        <w:tc>
          <w:tcPr>
            <w:tcW w:type="dxa" w:w="17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Central job health dashboard.</w:t>
            </w:r>
          </w:p>
        </w:tc>
        <w:tc>
          <w:tcPr>
            <w:tcW w:type="dxa" w:w="272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Build the Jobs Monitor page in the Admin section. The page shows all registered JobDefinition records in a table with columns: Job Name, Job Type, Target, Schedule, Last Run Time, Last Duration, Status (color-coded badge: OK green, Running blue, Failed red, Timeout amber, Never Run gray), and Failure Reason. Include a Refresh button to reload job statuses and a Run Now button per job that triggers an immediate execution. Sort by last-run-time descending by default. Filter by job type. This page is the operational heartbeat of the platform — it must be clear, fast, and reliable.</w:t>
            </w:r>
          </w:p>
        </w:tc>
        <w:tc>
          <w:tcPr>
            <w:tcW w:type="dxa" w:w="15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All registered jobs appear with correct status. Run Now triggers execution. Status updates within one refresh cycle after a job completes.</w:t>
            </w:r>
          </w:p>
        </w:tc>
      </w:tr>
      <w:tr>
        <w:tc>
          <w:tcPr>
            <w:tcW w:type="dxa" w:w="4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375623"/>
                <w:sz w:val="18"/>
                <w:szCs w:val="18"/>
              </w:rPr>
              <w:t xml:space="preserve">A-08</w:t>
            </w:r>
          </w:p>
        </w:tc>
        <w:tc>
          <w:tcPr>
            <w:tcW w:type="dxa" w:w="16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Jobs Monitor backend endpoints</w:t>
            </w:r>
          </w:p>
          <w:p>
            <w:pPr>
              <w:spacing w:after="30" w:before="0"/>
            </w:pPr>
            <w:r>
              <w:rPr>
                <w:rFonts w:ascii="Arial" w:cs="Arial" w:eastAsia="Arial" w:hAnsi="Arial"/>
                <w:b w:val="false"/>
                <w:bCs w:val="false"/>
                <w:color w:val="375623"/>
                <w:sz w:val="16"/>
                <w:szCs w:val="16"/>
              </w:rPr>
              <w:t xml:space="preserve">▲ New Task</w:t>
            </w:r>
          </w:p>
        </w:tc>
        <w:tc>
          <w:tcPr>
            <w:tcW w:type="dxa" w:w="68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30" w:before="0"/>
            </w:pPr>
            <w:r>
              <w:rPr>
                <w:rFonts w:ascii="Arial" w:cs="Arial" w:eastAsia="Arial" w:hAnsi="Arial"/>
                <w:b/>
                <w:bCs/>
                <w:color w:val="C55A11"/>
                <w:sz w:val="18"/>
                <w:szCs w:val="18"/>
              </w:rPr>
              <w:t xml:space="preserve">Important</w:t>
            </w:r>
          </w:p>
        </w:tc>
        <w:tc>
          <w:tcPr>
            <w:tcW w:type="dxa" w:w="6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Jobs Monitor API layer.</w:t>
            </w:r>
          </w:p>
        </w:tc>
        <w:tc>
          <w:tcPr>
            <w:tcW w:type="dxa" w:w="272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Implement the following endpoints for the Jobs Monitor: GET /admin/jobs (paginated list of all JobDefinition records with their latest status), GET /admin/jobs/{id} (single job with full history), GET /admin/jobs/{id}/history (last N run records with timestamps, durations, and statuses), POST /admin/jobs/{id}/run-now (trigger immediate execution). Ensure all endpoints require Admin role once authentication is implemented in Phase 12.</w:t>
            </w:r>
          </w:p>
        </w:tc>
        <w:tc>
          <w:tcPr>
            <w:tcW w:type="dxa" w:w="15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All four endpoints return correct data. Run Now endpoint triggers the corresponding worker service. History endpoint returns at least the last 10 run records.</w:t>
            </w:r>
          </w:p>
        </w:tc>
      </w:tr>
    </w:tbl>
    <w:p>
      <w:pPr>
        <w:spacing w:after="0" w:before="80"/>
      </w:pPr>
      <w:r>
        <w:t xml:space="preserve"/>
      </w:r>
    </w:p>
    <w:p>
      <w:pPr>
        <w:pBdr>
          <w:top w:val="single" w:color="1F3864" w:sz="8"/>
          <w:bottom w:val="single" w:color="2E75B6" w:sz="4"/>
        </w:pBdr>
        <w:shd w:fill="DEEAF1" w:val="clear"/>
        <w:spacing w:after="0" w:before="360"/>
        <w:ind w:left="200"/>
      </w:pPr>
      <w:r>
        <w:rPr>
          <w:rFonts w:ascii="Arial" w:cs="Arial" w:eastAsia="Arial" w:hAnsi="Arial"/>
          <w:b/>
          <w:bCs/>
          <w:color w:val="1F3864"/>
          <w:sz w:val="28"/>
          <w:szCs w:val="28"/>
        </w:rPr>
        <w:t xml:space="preserve">Phase 3:  </w:t>
      </w:r>
      <w:r>
        <w:rPr>
          <w:rFonts w:ascii="Arial" w:cs="Arial" w:eastAsia="Arial" w:hAnsi="Arial"/>
          <w:b/>
          <w:bCs/>
          <w:color w:val="2E75B6"/>
          <w:sz w:val="28"/>
          <w:szCs w:val="28"/>
        </w:rPr>
        <w:t xml:space="preserve">Connector Foundation</w:t>
      </w:r>
    </w:p>
    <w:p>
      <w:pPr>
        <w:shd w:fill="DEEAF1" w:val="clear"/>
        <w:spacing w:after="120" w:before="0"/>
        <w:ind w:left="200"/>
      </w:pPr>
      <w:r>
        <w:rPr>
          <w:rFonts w:ascii="Arial" w:cs="Arial" w:eastAsia="Arial" w:hAnsi="Arial"/>
          <w:b/>
          <w:bCs/>
          <w:color w:val="1F3864"/>
          <w:sz w:val="22"/>
          <w:szCs w:val="22"/>
        </w:rPr>
        <w:t xml:space="preserve">Commercial Gate: </w:t>
      </w:r>
      <w:r>
        <w:rPr>
          <w:rFonts w:ascii="Arial" w:cs="Arial" w:eastAsia="Arial" w:hAnsi="Arial"/>
          <w:color w:val="505050"/>
          <w:sz w:val="22"/>
          <w:szCs w:val="22"/>
        </w:rPr>
        <w:t xml:space="preserve">Stage 3 — Demo-Based Sales Gate</w:t>
      </w:r>
    </w:p>
    <w:p>
      <w:pPr>
        <w:spacing w:after="60" w:before="60"/>
        <w:jc w:val="both"/>
      </w:pPr>
      <w:r>
        <w:rPr>
          <w:rFonts w:ascii="Arial" w:cs="Arial" w:eastAsia="Arial" w:hAnsi="Arial"/>
          <w:b w:val="false"/>
          <w:bCs w:val="false"/>
          <w:color w:val="333333"/>
          <w:sz w:val="22"/>
          <w:szCs w:val="22"/>
        </w:rPr>
        <w:t xml:space="preserve">This phase builds the full connector infrastructure: the ConnectionProfile entity, provider abstraction interfaces, connector factory, and the first safe connector implementations. CSV and Excel connectors are the priority because they allow customer data import without any IT network access — the safest first connector path. PostgreSQL and SQL Server connectors follow for Stage 5 pilot readiness.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00"/>
        <w:gridCol w:w="680"/>
        <w:gridCol w:w="680"/>
        <w:gridCol w:w="1700"/>
        <w:gridCol w:w="2720"/>
        <w:gridCol w:w="1500"/>
      </w:tblGrid>
      <w:tr>
        <w:tc>
          <w:tcPr>
            <w:tcW w:type="dxa" w:w="4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8"/>
                <w:szCs w:val="18"/>
              </w:rPr>
              <w:t xml:space="preserve">#</w:t>
            </w:r>
          </w:p>
        </w:tc>
        <w:tc>
          <w:tcPr>
            <w:tcW w:type="dxa" w:w="16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Task Name</w:t>
            </w:r>
          </w:p>
        </w:tc>
        <w:tc>
          <w:tcPr>
            <w:tcW w:type="dxa" w:w="6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8"/>
                <w:szCs w:val="18"/>
              </w:rPr>
              <w:t xml:space="preserve">Priority</w:t>
            </w:r>
          </w:p>
        </w:tc>
        <w:tc>
          <w:tcPr>
            <w:tcW w:type="dxa" w:w="6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8"/>
                <w:szCs w:val="18"/>
              </w:rPr>
              <w:t xml:space="preserve">Scope</w:t>
            </w:r>
          </w:p>
        </w:tc>
        <w:tc>
          <w:tcPr>
            <w:tcW w:type="dxa" w:w="17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Brief Description</w:t>
            </w:r>
          </w:p>
        </w:tc>
        <w:tc>
          <w:tcPr>
            <w:tcW w:type="dxa" w:w="272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Detailed Description &amp; Implementation Notes</w:t>
            </w:r>
          </w:p>
        </w:tc>
        <w:tc>
          <w:tcPr>
            <w:tcW w:type="dxa" w:w="15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Validation Criteria</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27</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Create ConnectionProfile entity</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Store source connection metadata.</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Create a ConnectionProfile domain entity with fields: profile name, provider type (CSV, Excel, PostgreSQL, SQLServer, Oracle, MySQL, RestApi), connection mode (File, DirectDB, API), host, port, database/schema name, file path, API base URL, active flag, and read-only flag. This entity is the authoritative record of how to connect to a source system. It replaces the simpler SourceSystemDefinition for connection-specific metadata. Add EF Core configuration and migration.</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ConnectionProfile records are created and queried correctly. Migration applies cleanly.</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28</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provider type classification enum</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Normalize provider types.</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Define a comprehensive ProviderType enum: CSV, Excel, PostgreSQL, SQLServer, Oracle, MySQL, and RestApi. Use this enum as the discriminator for connection validation rules, connector factory routing, and UI display. Ensure the enum is serialized as a string in the API and database for forward compatibility.</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ProviderType enum is stored as string in DB. API serializes/deserializes correctly. Factory routes by ProviderType.</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29</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SecretReference strategy for credentials</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Never store plain passwords.</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Implement a SecretReference pattern: credentials are stored as a reference key (e.g., env:DB_PASSWORD or docker-secret:db_cred) rather than a plain value. The ISecretResolver service resolves references from environment variables, Docker secrets, or a future vault integration at connection time. Plain credential values must never be stored in the database, logged, or returned in API responses. The connection test endpoint must confirm resolution succeeds before testing connectivity.</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No plain password values in database or API responses. Resolution from environment variables works. Logs never contain credential values.</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30</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connection validation rules by provider type</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Validate profile fields per provider.</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Implement validation rules that enforce required fields based on provider type: CSV and Excel require a valid file path; PostgreSQL, SQLServer, Oracle require host, port, database, and SecretReference for password; RestApi requires a base URL. Return structured validation errors that identify the specific missing or invalid field. Validation runs on create, on update, and on every connection test — not only on import execution.</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Invalid profiles return structured validation errors naming the specific field. Provider-appropriate fields are enforced.</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31</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Create SourceDatasetDefinition entity</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Represent source tables/files/sheets.</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Create a SourceDatasetDefinition entity linked to a ConnectionProfile. Fields: dataset name, dataset type (Table, View, File, Sheet, API endpoint), source schema name, source table/view/file/sheet name, discovery timestamp, row count estimate, last modified timestamp, and a flag indicating whether the dataset is selected for import. This entity is the schema catalog for a source system and enables the schema discovery UI.</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SourceDatasetDefinition records are created by schema discovery. Multiple datasets per connection profile are supported.</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32</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Create SourceFieldDefinition entity</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Represent source columns.</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Create a SourceFieldDefinition entity linked to a SourceDatasetDefinition. Fields: field name, source data type (string representation of the DB type), inferred canonical type (String, Integer, Decimal, DateTime, Boolean), nullable flag, ordinal position, sample value (first non-null value observed), distinct count estimate, and null count estimate. This metadata is critical for the mapping workbench — it shows the user exactly what each source column contains before mapping.</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SourceFieldDefinition records are populated by schema discovery. Sample values and type inference are accurate.</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33</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Link StagingRecord to SourceDatasetDefinition</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Improve data lineage.</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Add a SourceDatasetDefinitionId foreign key to the StagingRecord entity. Update all staging record creation code paths to populate this field. This provides field-level lineage: every staged row can be traced back to its exact source dataset and, through that, to its source connection profile, import batch, and original field metadata. Update the MappingExecutionService to include this lineage in canonical record creation.</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All new staging records include a SourceDatasetDefinitionId. Canonical records created from mapped staging records include source dataset reference.</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34</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Define connector abstraction interfaces</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Clean connector contract.</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Define three interfaces in the Application project (no Infrastructure dependency): IDataSourceConnector (provider type, test connection, get last error), ISchemaReader (discover datasets, discover fields for a dataset), and IDataSourceReader (read rows with a limit, read rows since a last key for incremental sync). These interfaces must not expose provider-specific types. All connector implementations in Infrastructure will implement these interfaces.</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Interfaces compile in Application project with zero Infrastructure dependencies. All three interface contracts are clear.</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35</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connector factory</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Route by provider type.</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Implement a ConnectorFactory in Infrastructure that resolves the correct IDataSourceConnector, ISchemaReader, and IDataSourceReader implementation based on the ConnectionProfile's ProviderType. Register all connectors with the DI container. The factory must throw a clear exception for unsupported provider types rather than returning null. Log which connector is being resolved for each profile.</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Factory returns the correct connector for each supported ProviderType. Unsupported types throw a descriptive exception.</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36</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connection test endpoint</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Validate source connectivity.</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Add a POST /connections/{profileId}/test endpoint that resolves the SecretReference, instantiates the correct connector, calls IDataSourceConnector.TestConnection(), and returns a structured result: success flag, response time in milliseconds, detected provider version (where available), and a failure reason if the test fails. This endpoint is called from the DB Link Configuration tab Test Connection button.</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Valid source returns success with response time. Invalid credentials return a clear failure reason. Endpoint completes within 10 seconds.</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37</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CSV connector MVP</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First safe source connector.</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Implement CSV connector using the ISchemaReader and IDataSourceReader interfaces. Schema discovery reads the CSV header row and infers column types from the first 100 data rows. Sample preview returns the first 20 rows. Staging import reads all rows in batches and creates StagingRecord entries linked to the correct SourceDatasetDefinition. Handle encoding detection (UTF-8, UTF-16, Latin-1), delimiter detection (comma, semicolon, tab, pipe), and malformed rows gracefully.</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CSV schema discovery detects all columns with inferred types. Sample preview returns correct rows. Full staging import completes without data loss.</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38</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Excel connector MVP</w:t>
            </w:r>
          </w:p>
        </w:tc>
        <w:tc>
          <w:tcPr>
            <w:tcW w:type="dxa" w:w="68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30" w:before="0"/>
            </w:pPr>
            <w:r>
              <w:rPr>
                <w:rFonts w:ascii="Arial" w:cs="Arial" w:eastAsia="Arial" w:hAnsi="Arial"/>
                <w:b/>
                <w:bCs/>
                <w:color w:val="C55A11"/>
                <w:sz w:val="18"/>
                <w:szCs w:val="18"/>
              </w:rPr>
              <w:t xml:space="preserve">Important</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Support spreadsheet exports.</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Implement Excel connector using the ISchemaReader and IDataSourceReader interfaces. Support .xlsx format using a library such as EPPlus or ClosedXML. Sheet discovery lists all non-hidden sheets. For each sheet, detect the header row (first row with non-empty cells), infer column types from the first 100 data rows, and read sample rows. Handle merged cells, empty rows between data, and sheets with multiple header rows by selecting the first populated row.</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Excel sheet list is discovered correctly. Header detection works for standard layouts. Sample preview and staging import complete without data loss.</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39</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PostgreSQL connector MVP</w:t>
            </w:r>
          </w:p>
        </w:tc>
        <w:tc>
          <w:tcPr>
            <w:tcW w:type="dxa" w:w="68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30" w:before="0"/>
            </w:pPr>
            <w:r>
              <w:rPr>
                <w:rFonts w:ascii="Arial" w:cs="Arial" w:eastAsia="Arial" w:hAnsi="Arial"/>
                <w:b/>
                <w:bCs/>
                <w:color w:val="C55A11"/>
                <w:sz w:val="18"/>
                <w:szCs w:val="18"/>
              </w:rPr>
              <w:t xml:space="preserve">Important</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Read external PostgreSQL sources.</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Implement a read-only PostgreSQL connector using Npgsql. Discover tables and views in the target schema, return field metadata with PostgreSQL type names mapped to the canonical inferred type, and read rows in batches using a keyset pagination approach (ORDER BY primary key, WHERE key &gt; lastKey). Use connection pooling. The connector must never execute any write operation — enforce read-only mode at the connection string level.</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External PostgreSQL schema is discovered. Rows are read in batches correctly. No write operations are possible.</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40</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SQL Server connector MVP</w:t>
            </w:r>
          </w:p>
        </w:tc>
        <w:tc>
          <w:tcPr>
            <w:tcW w:type="dxa" w:w="68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30" w:before="0"/>
            </w:pPr>
            <w:r>
              <w:rPr>
                <w:rFonts w:ascii="Arial" w:cs="Arial" w:eastAsia="Arial" w:hAnsi="Arial"/>
                <w:b/>
                <w:bCs/>
                <w:color w:val="C55A11"/>
                <w:sz w:val="18"/>
                <w:szCs w:val="18"/>
              </w:rPr>
              <w:t xml:space="preserve">Important</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Read MES/L2 MSSQL sources.</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Implement a read-only SQL Server connector using Microsoft.Data.SqlClient. Discover tables and views in the target database, return field metadata with SQL Server type names, and read rows using keyset pagination. Support both SQL Server Windows Authentication and SQL Server Authentication via SecretReference. The connector must enforce read-only at the connection level.</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External MSSQL schema discovered. Rows read correctly. Windows auth and SQL auth both work.</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41</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Oracle connector MVP</w:t>
            </w:r>
          </w:p>
        </w:tc>
        <w:tc>
          <w:tcPr>
            <w:tcW w:type="dxa" w:w="68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30" w:before="0"/>
            </w:pPr>
            <w:r>
              <w:rPr>
                <w:rFonts w:ascii="Arial" w:cs="Arial" w:eastAsia="Arial" w:hAnsi="Arial"/>
                <w:b/>
                <w:bCs/>
                <w:color w:val="C55A11"/>
                <w:sz w:val="18"/>
                <w:szCs w:val="18"/>
              </w:rPr>
              <w:t xml:space="preserve">Important</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Read Oracle plant databases.</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Implement an Oracle connector skeleton using Oracle.ManagedDataAccess.Client. Support schema discovery and field metadata retrieval. Row reading can be basic (no incremental sync) for the initial implementation — full keyset pagination can be added in Stage 6. Oracle is common in steel and chemical plants. The connector must handle Oracle's data type mapping (NUMBER, VARCHAR2, DATE, TIMESTAMP) correctly.</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Oracle schema discovery works. Field metadata returns correct Oracle types. Sample preview returns rows.</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42</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schema discovery API endpoint</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Discover and persist source schema.</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Add a POST /connections/{profileId}/discover-schema endpoint that calls ISchemaReader.DiscoverDatasets() and ISchemaReader.DiscoverFields() for the target connection, creates or updates SourceDatasetDefinition and SourceFieldDefinition records, and returns a summary of what was discovered (dataset count, field count, errors encountered). Discovery must be idempotent — running it twice does not create duplicate records but updates existing ones with fresh metadata.</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Discovery creates correct SourceDatasetDefinition and SourceFieldDefinition records. Idempotent re-run updates without creating duplicates.</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43</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sample rows preview API endpoint</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Preview source data before import.</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Add a GET /connections/{profileId}/datasets/{datasetId}/preview endpoint that returns up to 50 sample rows from the source dataset without staging them. Include field names, inferred types, and the raw source values. This is the critical trust-building step before the user commits to a full import: they can see exactly what data they are importing and confirm it looks correct.</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Preview endpoint returns correct rows matching discovered field definitions. Runs within 5 seconds for any supported connector.</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44</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source dataset and field discovery UI</w:t>
            </w:r>
          </w:p>
        </w:tc>
        <w:tc>
          <w:tcPr>
            <w:tcW w:type="dxa" w:w="68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30" w:before="0"/>
            </w:pPr>
            <w:r>
              <w:rPr>
                <w:rFonts w:ascii="Arial" w:cs="Arial" w:eastAsia="Arial" w:hAnsi="Arial"/>
                <w:b/>
                <w:bCs/>
                <w:color w:val="C55A11"/>
                <w:sz w:val="18"/>
                <w:szCs w:val="18"/>
              </w:rPr>
              <w:t xml:space="preserve">Important</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Frontend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Browse discovered source schema.</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Add a frontend page (accessible from the DB Link Configuration tab) that shows the result of schema discovery: a list of discovered datasets/tables with row count estimates, and for each dataset a field list with name, inferred type, nullable flag, and sample value. Include a Discover Schema button that triggers the backend discovery endpoint and refreshes the view. Allow the user to select which datasets to include in the import.</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User can trigger schema discovery from UI. Discovered datasets and fields are displayed clearly. Dataset selection persists.</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45</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source connection management UI</w:t>
            </w:r>
          </w:p>
        </w:tc>
        <w:tc>
          <w:tcPr>
            <w:tcW w:type="dxa" w:w="68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30" w:before="0"/>
            </w:pPr>
            <w:r>
              <w:rPr>
                <w:rFonts w:ascii="Arial" w:cs="Arial" w:eastAsia="Arial" w:hAnsi="Arial"/>
                <w:b/>
                <w:bCs/>
                <w:color w:val="C55A11"/>
                <w:sz w:val="18"/>
                <w:szCs w:val="18"/>
              </w:rPr>
              <w:t xml:space="preserve">Important</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Frontend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Manage connection profiles from UI.</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Add pages to create, edit, test, activate, and deactivate ConnectionProfile records. The create flow uses a provider-type selector that reveals the appropriate input fields for that provider. Credentials are entered as SecretReference keys (not plain values). The Test Connection button calls the backend test endpoint and displays the result inline. Active/inactive toggle is clearly visible. The list view shows all connection profiles with their current status.</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User can complete full connection profile lifecycle — create, test, activate, deactivate, edit — through the UI.</w:t>
            </w:r>
          </w:p>
        </w:tc>
      </w:tr>
    </w:tbl>
    <w:p>
      <w:pPr>
        <w:spacing w:after="0" w:before="80"/>
      </w:pPr>
      <w:r>
        <w:t xml:space="preserve"/>
      </w:r>
    </w:p>
    <w:p>
      <w:pPr>
        <w:pBdr>
          <w:top w:val="single" w:color="1F3864" w:sz="8"/>
          <w:bottom w:val="single" w:color="2E75B6" w:sz="4"/>
        </w:pBdr>
        <w:shd w:fill="DEEAF1" w:val="clear"/>
        <w:spacing w:after="0" w:before="360"/>
        <w:ind w:left="200"/>
      </w:pPr>
      <w:r>
        <w:rPr>
          <w:rFonts w:ascii="Arial" w:cs="Arial" w:eastAsia="Arial" w:hAnsi="Arial"/>
          <w:b/>
          <w:bCs/>
          <w:color w:val="1F3864"/>
          <w:sz w:val="28"/>
          <w:szCs w:val="28"/>
        </w:rPr>
        <w:t xml:space="preserve">Phase 4:  </w:t>
      </w:r>
      <w:r>
        <w:rPr>
          <w:rFonts w:ascii="Arial" w:cs="Arial" w:eastAsia="Arial" w:hAnsi="Arial"/>
          <w:b/>
          <w:bCs/>
          <w:color w:val="2E75B6"/>
          <w:sz w:val="28"/>
          <w:szCs w:val="28"/>
        </w:rPr>
        <w:t xml:space="preserve">Schema Configuration Page</w:t>
      </w:r>
    </w:p>
    <w:p>
      <w:pPr>
        <w:shd w:fill="DEEAF1" w:val="clear"/>
        <w:spacing w:after="120" w:before="0"/>
        <w:ind w:left="200"/>
      </w:pPr>
      <w:r>
        <w:rPr>
          <w:rFonts w:ascii="Arial" w:cs="Arial" w:eastAsia="Arial" w:hAnsi="Arial"/>
          <w:b/>
          <w:bCs/>
          <w:color w:val="1F3864"/>
          <w:sz w:val="22"/>
          <w:szCs w:val="22"/>
        </w:rPr>
        <w:t xml:space="preserve">Commercial Gate: </w:t>
      </w:r>
      <w:r>
        <w:rPr>
          <w:rFonts w:ascii="Arial" w:cs="Arial" w:eastAsia="Arial" w:hAnsi="Arial"/>
          <w:color w:val="505050"/>
          <w:sz w:val="22"/>
          <w:szCs w:val="22"/>
        </w:rPr>
        <w:t xml:space="preserve">Stage 3 (preview) → Stage 4 (full execution) — Vision §1.4 Gate</w:t>
      </w:r>
    </w:p>
    <w:p>
      <w:pPr>
        <w:spacing w:after="60" w:before="60"/>
        <w:jc w:val="both"/>
      </w:pPr>
      <w:r>
        <w:rPr>
          <w:rFonts w:ascii="Arial" w:cs="Arial" w:eastAsia="Arial" w:hAnsi="Arial"/>
          <w:b w:val="false"/>
          <w:bCs w:val="false"/>
          <w:color w:val="333333"/>
          <w:sz w:val="22"/>
          <w:szCs w:val="22"/>
        </w:rPr>
        <w:t xml:space="preserve">This phase implements the SQL schema configuration layer — a key differentiator from the existing plan and the enabler of true genericity. The Schema Configuration page gives power users the ability to write SQL JOIN views across dump files, create KPI views that feed process parameters, and validate their mappings visually — without requiring any backend code changes from the vendor.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00"/>
        <w:gridCol w:w="680"/>
        <w:gridCol w:w="680"/>
        <w:gridCol w:w="1700"/>
        <w:gridCol w:w="2720"/>
        <w:gridCol w:w="1500"/>
      </w:tblGrid>
      <w:tr>
        <w:tc>
          <w:tcPr>
            <w:tcW w:type="dxa" w:w="4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8"/>
                <w:szCs w:val="18"/>
              </w:rPr>
              <w:t xml:space="preserve">#</w:t>
            </w:r>
          </w:p>
        </w:tc>
        <w:tc>
          <w:tcPr>
            <w:tcW w:type="dxa" w:w="16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Task Name</w:t>
            </w:r>
          </w:p>
        </w:tc>
        <w:tc>
          <w:tcPr>
            <w:tcW w:type="dxa" w:w="6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8"/>
                <w:szCs w:val="18"/>
              </w:rPr>
              <w:t xml:space="preserve">Priority</w:t>
            </w:r>
          </w:p>
        </w:tc>
        <w:tc>
          <w:tcPr>
            <w:tcW w:type="dxa" w:w="6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8"/>
                <w:szCs w:val="18"/>
              </w:rPr>
              <w:t xml:space="preserve">Scope</w:t>
            </w:r>
          </w:p>
        </w:tc>
        <w:tc>
          <w:tcPr>
            <w:tcW w:type="dxa" w:w="17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Brief Description</w:t>
            </w:r>
          </w:p>
        </w:tc>
        <w:tc>
          <w:tcPr>
            <w:tcW w:type="dxa" w:w="272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Detailed Description &amp; Implementation Notes</w:t>
            </w:r>
          </w:p>
        </w:tc>
        <w:tc>
          <w:tcPr>
            <w:tcW w:type="dxa" w:w="15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Validation Criteria</w:t>
            </w:r>
          </w:p>
        </w:tc>
      </w:tr>
      <w:tr>
        <w:tc>
          <w:tcPr>
            <w:tcW w:type="dxa" w:w="4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375623"/>
                <w:sz w:val="18"/>
                <w:szCs w:val="18"/>
              </w:rPr>
              <w:t xml:space="preserve">SC-01</w:t>
            </w:r>
          </w:p>
        </w:tc>
        <w:tc>
          <w:tcPr>
            <w:tcW w:type="dxa" w:w="16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SQL view/query editor component</w:t>
            </w:r>
          </w:p>
          <w:p>
            <w:pPr>
              <w:spacing w:after="30" w:before="0"/>
            </w:pPr>
            <w:r>
              <w:rPr>
                <w:rFonts w:ascii="Arial" w:cs="Arial" w:eastAsia="Arial" w:hAnsi="Arial"/>
                <w:b w:val="false"/>
                <w:bCs w:val="false"/>
                <w:color w:val="375623"/>
                <w:sz w:val="16"/>
                <w:szCs w:val="16"/>
              </w:rPr>
              <w:t xml:space="preserve">▲ New Task</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Frontend</w:t>
            </w:r>
          </w:p>
        </w:tc>
        <w:tc>
          <w:tcPr>
            <w:tcW w:type="dxa" w:w="17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Embedded SQL editor in Admin.</w:t>
            </w:r>
          </w:p>
        </w:tc>
        <w:tc>
          <w:tcPr>
            <w:tcW w:type="dxa" w:w="272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Embed a professional SQL editor component (Monaco Editor is recommended for its syntax highlighting, autocompletion, and SQL language support) in the Admin Schema Configuration page. The editor must support: SQL syntax highlighting for standard SQL (SELECT, FROM, WHERE, JOIN, GROUP BY), autocompletion of table names from discovered SourceDatasetDefinition records, autocompletion of field names from SourceFieldDefinition records, line numbers, error markers, and a dark/light theme matching the application theme.</w:t>
            </w:r>
          </w:p>
        </w:tc>
        <w:tc>
          <w:tcPr>
            <w:tcW w:type="dxa" w:w="15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SQL editor loads in the Admin page. Autocompletion offers table and field names from discovered schema. Syntax errors are highlighted.</w:t>
            </w:r>
          </w:p>
        </w:tc>
      </w:tr>
      <w:tr>
        <w:tc>
          <w:tcPr>
            <w:tcW w:type="dxa" w:w="4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375623"/>
                <w:sz w:val="18"/>
                <w:szCs w:val="18"/>
              </w:rPr>
              <w:t xml:space="preserve">SC-02</w:t>
            </w:r>
          </w:p>
        </w:tc>
        <w:tc>
          <w:tcPr>
            <w:tcW w:type="dxa" w:w="16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Cross-dump-file JOIN execution service</w:t>
            </w:r>
          </w:p>
          <w:p>
            <w:pPr>
              <w:spacing w:after="30" w:before="0"/>
            </w:pPr>
            <w:r>
              <w:rPr>
                <w:rFonts w:ascii="Arial" w:cs="Arial" w:eastAsia="Arial" w:hAnsi="Arial"/>
                <w:b w:val="false"/>
                <w:bCs w:val="false"/>
                <w:color w:val="375623"/>
                <w:sz w:val="16"/>
                <w:szCs w:val="16"/>
              </w:rPr>
              <w:t xml:space="preserve">▲ New Task</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Execute user SQL views safely.</w:t>
            </w:r>
          </w:p>
        </w:tc>
        <w:tc>
          <w:tcPr>
            <w:tcW w:type="dxa" w:w="272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Implement a SchemaViewExecutionService that executes user-defined SQL JOIN views against the staging/dump file records stored in the PlantProcess database. The service must: parse the SQL to detect non-read-only statements (INSERT, UPDATE, DELETE, DROP, etc.) and reject them; substitute referenced dump-file table names with their actual staging table equivalents; execute the query with a row limit (default 200 rows for preview); and return the result set with column names and data types. Execution must be sandboxed to the application's own database — it must not allow connections to external databases.</w:t>
            </w:r>
          </w:p>
        </w:tc>
        <w:tc>
          <w:tcPr>
            <w:tcW w:type="dxa" w:w="15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Valid SELECT JOINs across staging tables return correct results. Non-read-only statements are rejected with a clear error. Row limit is enforced.</w:t>
            </w:r>
          </w:p>
        </w:tc>
      </w:tr>
      <w:tr>
        <w:tc>
          <w:tcPr>
            <w:tcW w:type="dxa" w:w="4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375623"/>
                <w:sz w:val="18"/>
                <w:szCs w:val="18"/>
              </w:rPr>
              <w:t xml:space="preserve">SC-03</w:t>
            </w:r>
          </w:p>
        </w:tc>
        <w:tc>
          <w:tcPr>
            <w:tcW w:type="dxa" w:w="16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KPI view builder — register as process parameter</w:t>
            </w:r>
          </w:p>
          <w:p>
            <w:pPr>
              <w:spacing w:after="30" w:before="0"/>
            </w:pPr>
            <w:r>
              <w:rPr>
                <w:rFonts w:ascii="Arial" w:cs="Arial" w:eastAsia="Arial" w:hAnsi="Arial"/>
                <w:b w:val="false"/>
                <w:bCs w:val="false"/>
                <w:color w:val="375623"/>
                <w:sz w:val="16"/>
                <w:szCs w:val="16"/>
              </w:rPr>
              <w:t xml:space="preserve">▲ New Task</w:t>
            </w:r>
          </w:p>
        </w:tc>
        <w:tc>
          <w:tcPr>
            <w:tcW w:type="dxa" w:w="68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30" w:before="0"/>
            </w:pPr>
            <w:r>
              <w:rPr>
                <w:rFonts w:ascii="Arial" w:cs="Arial" w:eastAsia="Arial" w:hAnsi="Arial"/>
                <w:b/>
                <w:bCs/>
                <w:color w:val="C55A11"/>
                <w:sz w:val="18"/>
                <w:szCs w:val="18"/>
              </w:rPr>
              <w:t xml:space="preserve">Important</w:t>
            </w:r>
          </w:p>
        </w:tc>
        <w:tc>
          <w:tcPr>
            <w:tcW w:type="dxa" w:w="6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Custom KPI → ParameterDefinition.</w:t>
            </w:r>
          </w:p>
        </w:tc>
        <w:tc>
          <w:tcPr>
            <w:tcW w:type="dxa" w:w="272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Extend the Schema Configuration page to support creating a 'KPI View' — a named SQL view that computes a numeric value (e.g., OEE, scrap rate, yield per heat) from staging data. After the user writes and validates the KPI view SQL, they can register it as a new ParameterDefinition linked to a specific equipment or area. The registration creates both a SchemaView entity and a ParameterDefinition entry. The KPI values will be computed and stored as ParameterObservation records on each canonical refresh.</w:t>
            </w:r>
          </w:p>
        </w:tc>
        <w:tc>
          <w:tcPr>
            <w:tcW w:type="dxa" w:w="15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KPI view SQL validates and previews correctly. Registered KPI appears as a ParameterDefinition in the canonical model.</w:t>
            </w:r>
          </w:p>
        </w:tc>
      </w:tr>
      <w:tr>
        <w:tc>
          <w:tcPr>
            <w:tcW w:type="dxa" w:w="4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375623"/>
                <w:sz w:val="18"/>
                <w:szCs w:val="18"/>
              </w:rPr>
              <w:t xml:space="preserve">SC-04</w:t>
            </w:r>
          </w:p>
        </w:tc>
        <w:tc>
          <w:tcPr>
            <w:tcW w:type="dxa" w:w="16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Schema view validation, preview, and persistence</w:t>
            </w:r>
          </w:p>
          <w:p>
            <w:pPr>
              <w:spacing w:after="30" w:before="0"/>
            </w:pPr>
            <w:r>
              <w:rPr>
                <w:rFonts w:ascii="Arial" w:cs="Arial" w:eastAsia="Arial" w:hAnsi="Arial"/>
                <w:b w:val="false"/>
                <w:bCs w:val="false"/>
                <w:color w:val="375623"/>
                <w:sz w:val="16"/>
                <w:szCs w:val="16"/>
              </w:rPr>
              <w:t xml:space="preserve">▲ New Task</w:t>
            </w:r>
          </w:p>
        </w:tc>
        <w:tc>
          <w:tcPr>
            <w:tcW w:type="dxa" w:w="68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30" w:before="0"/>
            </w:pPr>
            <w:r>
              <w:rPr>
                <w:rFonts w:ascii="Arial" w:cs="Arial" w:eastAsia="Arial" w:hAnsi="Arial"/>
                <w:b/>
                <w:bCs/>
                <w:color w:val="C55A11"/>
                <w:sz w:val="18"/>
                <w:szCs w:val="18"/>
              </w:rPr>
              <w:t xml:space="preserve">Important</w:t>
            </w:r>
          </w:p>
        </w:tc>
        <w:tc>
          <w:tcPr>
            <w:tcW w:type="dxa" w:w="6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Full schema view lifecycle.</w:t>
            </w:r>
          </w:p>
        </w:tc>
        <w:tc>
          <w:tcPr>
            <w:tcW w:type="dxa" w:w="272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Create a SchemaView domain entity (view name, SQL text, target use — Mapping, KPI, or Custom, target entity type, last validated timestamp, last execution status). Implement validation that checks SQL syntax, confirms all referenced tables are known staging tables, and runs a dry-run execution against 10 rows to verify the output schema. Add a preview API endpoint that returns the first 50 rows. Add create, update, delete, and list endpoints. Add migration.</w:t>
            </w:r>
          </w:p>
        </w:tc>
        <w:tc>
          <w:tcPr>
            <w:tcW w:type="dxa" w:w="15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SchemaView entity persists correctly. Validation detects syntax errors and unknown table references. Preview returns correct rows.</w:t>
            </w:r>
          </w:p>
        </w:tc>
      </w:tr>
    </w:tbl>
    <w:p>
      <w:pPr>
        <w:spacing w:after="0" w:before="80"/>
      </w:pPr>
      <w:r>
        <w:t xml:space="preserve"/>
      </w:r>
    </w:p>
    <w:p>
      <w:pPr>
        <w:pBdr>
          <w:top w:val="single" w:color="1F3864" w:sz="8"/>
          <w:bottom w:val="single" w:color="2E75B6" w:sz="4"/>
        </w:pBdr>
        <w:shd w:fill="DEEAF1" w:val="clear"/>
        <w:spacing w:after="0" w:before="360"/>
        <w:ind w:left="200"/>
      </w:pPr>
      <w:r>
        <w:rPr>
          <w:rFonts w:ascii="Arial" w:cs="Arial" w:eastAsia="Arial" w:hAnsi="Arial"/>
          <w:b/>
          <w:bCs/>
          <w:color w:val="1F3864"/>
          <w:sz w:val="28"/>
          <w:szCs w:val="28"/>
        </w:rPr>
        <w:t xml:space="preserve">Phase 5:  </w:t>
      </w:r>
      <w:r>
        <w:rPr>
          <w:rFonts w:ascii="Arial" w:cs="Arial" w:eastAsia="Arial" w:hAnsi="Arial"/>
          <w:b/>
          <w:bCs/>
          <w:color w:val="2E75B6"/>
          <w:sz w:val="28"/>
          <w:szCs w:val="28"/>
        </w:rPr>
        <w:t xml:space="preserve">Staging &amp; Mapping Improvements</w:t>
      </w:r>
    </w:p>
    <w:p>
      <w:pPr>
        <w:shd w:fill="DEEAF1" w:val="clear"/>
        <w:spacing w:after="120" w:before="0"/>
        <w:ind w:left="200"/>
      </w:pPr>
      <w:r>
        <w:rPr>
          <w:rFonts w:ascii="Arial" w:cs="Arial" w:eastAsia="Arial" w:hAnsi="Arial"/>
          <w:b/>
          <w:bCs/>
          <w:color w:val="1F3864"/>
          <w:sz w:val="22"/>
          <w:szCs w:val="22"/>
        </w:rPr>
        <w:t xml:space="preserve">Commercial Gate: </w:t>
      </w:r>
      <w:r>
        <w:rPr>
          <w:rFonts w:ascii="Arial" w:cs="Arial" w:eastAsia="Arial" w:hAnsi="Arial"/>
          <w:color w:val="505050"/>
          <w:sz w:val="22"/>
          <w:szCs w:val="22"/>
        </w:rPr>
        <w:t xml:space="preserve">Stage 3–4 Gate</w:t>
      </w:r>
    </w:p>
    <w:p>
      <w:pPr>
        <w:spacing w:after="60" w:before="60"/>
        <w:jc w:val="both"/>
      </w:pPr>
      <w:r>
        <w:rPr>
          <w:rFonts w:ascii="Arial" w:cs="Arial" w:eastAsia="Arial" w:hAnsi="Arial"/>
          <w:b w:val="false"/>
          <w:bCs w:val="false"/>
          <w:color w:val="333333"/>
          <w:sz w:val="22"/>
          <w:szCs w:val="22"/>
        </w:rPr>
        <w:t xml:space="preserve">This phase improves the staging lifecycle, adds missing staging infrastructure (row checksums, bulk insert optimization), builds the mapping workbench UI, and adds failed-row recovery. These capabilities are required before any real customer data is imported — incomplete lifecycle management or a missing mapping UI would make the readiness assessment impossible.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00"/>
        <w:gridCol w:w="680"/>
        <w:gridCol w:w="680"/>
        <w:gridCol w:w="1700"/>
        <w:gridCol w:w="2720"/>
        <w:gridCol w:w="1500"/>
      </w:tblGrid>
      <w:tr>
        <w:tc>
          <w:tcPr>
            <w:tcW w:type="dxa" w:w="4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8"/>
                <w:szCs w:val="18"/>
              </w:rPr>
              <w:t xml:space="preserve">#</w:t>
            </w:r>
          </w:p>
        </w:tc>
        <w:tc>
          <w:tcPr>
            <w:tcW w:type="dxa" w:w="16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Task Name</w:t>
            </w:r>
          </w:p>
        </w:tc>
        <w:tc>
          <w:tcPr>
            <w:tcW w:type="dxa" w:w="6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8"/>
                <w:szCs w:val="18"/>
              </w:rPr>
              <w:t xml:space="preserve">Priority</w:t>
            </w:r>
          </w:p>
        </w:tc>
        <w:tc>
          <w:tcPr>
            <w:tcW w:type="dxa" w:w="6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8"/>
                <w:szCs w:val="18"/>
              </w:rPr>
              <w:t xml:space="preserve">Scope</w:t>
            </w:r>
          </w:p>
        </w:tc>
        <w:tc>
          <w:tcPr>
            <w:tcW w:type="dxa" w:w="17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Brief Description</w:t>
            </w:r>
          </w:p>
        </w:tc>
        <w:tc>
          <w:tcPr>
            <w:tcW w:type="dxa" w:w="272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Detailed Description &amp; Implementation Notes</w:t>
            </w:r>
          </w:p>
        </w:tc>
        <w:tc>
          <w:tcPr>
            <w:tcW w:type="dxa" w:w="15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Validation Criteria</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46</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Upgrade staging lifecycle states</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Full lifecycle tracking.</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Review and confirm the complete state machine for StagingRecord: Created → Queued → Running → Completed, with alternative paths to Failed, PartiallyMapped, Replayed, and Skipped. Implement state transition validation so invalid transitions (e.g., Completed → Queued without a Replay action) are rejected. Each state transition must record a timestamp, the actor (system job name or user ID), and an optional reason.</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State transitions follow the defined machine. Invalid transitions are rejected. Each transition records a timestamp and actor.</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47</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row checksum/hash for deduplication</w:t>
            </w:r>
          </w:p>
        </w:tc>
        <w:tc>
          <w:tcPr>
            <w:tcW w:type="dxa" w:w="68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30" w:before="0"/>
            </w:pPr>
            <w:r>
              <w:rPr>
                <w:rFonts w:ascii="Arial" w:cs="Arial" w:eastAsia="Arial" w:hAnsi="Arial"/>
                <w:b/>
                <w:bCs/>
                <w:color w:val="C55A11"/>
                <w:sz w:val="18"/>
                <w:szCs w:val="18"/>
              </w:rPr>
              <w:t xml:space="preserve">Important</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Detect duplicate raw rows.</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Compute a deterministic hash (SHA-256 of all field values concatenated in field-ordinal order) for each staged row at creation time. On import, check whether a row with the same hash already exists for the same SourceDatasetDefinition. If a duplicate is found, mark it as Skipped with reason 'duplicate hash' rather than creating a second record. This prevents double-processing of data in incremental sync cycles.</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Duplicate rows are detected and skipped. Hash computation is deterministic (same row always produces the same hash).</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48</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bulk staging insert optimization</w:t>
            </w:r>
          </w:p>
        </w:tc>
        <w:tc>
          <w:tcPr>
            <w:tcW w:type="dxa" w:w="68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30" w:before="0"/>
            </w:pPr>
            <w:r>
              <w:rPr>
                <w:rFonts w:ascii="Arial" w:cs="Arial" w:eastAsia="Arial" w:hAnsi="Arial"/>
                <w:b/>
                <w:bCs/>
                <w:color w:val="C55A11"/>
                <w:sz w:val="18"/>
                <w:szCs w:val="18"/>
              </w:rPr>
              <w:t xml:space="preserve">Important</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Support large-volume imports.</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Replace row-by-row StagingRecord inserts with a PostgreSQL COPY-based bulk insert using the TelemetryBulkRepository pattern already in place for parameter observations. Target performance: 10,000 staging rows inserted in under 3 seconds. Include a fallback to standard EF Core inserts for non-PostgreSQL targets. Ensure the bulk insert path correctly populates all required fields including SourceDatasetDefinitionId, import batch ID, and row hash.</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Bulk insert of 10,000 rows completes in under 3 seconds. All required fields are correctly populated.</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49</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import monitoring UI</w:t>
            </w:r>
          </w:p>
        </w:tc>
        <w:tc>
          <w:tcPr>
            <w:tcW w:type="dxa" w:w="68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30" w:before="0"/>
            </w:pPr>
            <w:r>
              <w:rPr>
                <w:rFonts w:ascii="Arial" w:cs="Arial" w:eastAsia="Arial" w:hAnsi="Arial"/>
                <w:b/>
                <w:bCs/>
                <w:color w:val="C55A11"/>
                <w:sz w:val="18"/>
                <w:szCs w:val="18"/>
              </w:rPr>
              <w:t xml:space="preserve">Important</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Frontend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Real-time import visibility.</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Add an import monitoring page (or extend the Jobs Monitor) that shows import batch records with: batch ID, source system name, dataset name, status, total rows submitted, rows staged successfully, rows failed, start time, end time, and duration. Include a filter by source system, status, and date range. Allow the user to view failed rows for a specific batch and trigger a rerun of failed rows after fixing the mapping or source data.</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Import batches are listed with correct counts and statuses. Failed row viewer shows specific error reasons. Rerun trigger works.</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50</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Upgrade MappingDefinition for field-level rules</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Structured mapping rules.</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Extend the MappingDefinition entity to store an array of structured field-level mapping rules, each containing: source field name, target canonical entity type, target canonical field name, transform rule type (DirectMap, TrimString, ParseDate, ParseDecimal, EnumMap, DefaultValue, Lookup, NullHandling, UnitConversion), transform parameters (format string, enum map dictionary, default value), and a unit conversion rule (source unit, target unit). Store rules as a JSON array. Update MappingExecutionService to execute rules against staging records.</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Mapping rules save and reload correctly from JSON. MappingExecutionService applies all rule types to staging records.</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51</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mapping validation service</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Validate before execution.</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Implement a MappingValidationService that checks: all required canonical target fields have a corresponding mapping rule, no two rules map to the same target field, source field names exist in the SourceDatasetDefinition's SourceFieldDefinition records, transform rule types are compatible with the source field's inferred type (e.g., ParseDate cannot be applied to a numeric source field), and unit conversion rules reference valid units in the unit normalization service. Return a structured validation result with errors and warnings.</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Invalid mapping definitions return structured validation errors. Valid definitions pass without errors.</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52</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mapping preview endpoint</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Both</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Preview canonical output before committing.</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Add a POST /mappings/{id}/preview endpoint that takes up to 100 staging records for the mapped source dataset, applies all mapping rules, and returns the preview canonical output alongside any transformation errors per row. The preview must not write to the canonical tables — it is a dry-run only. Show the source values, the applied transform, and the resulting canonical values side by side, making it easy to identify transformation errors before activating the mapping.</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Preview returns canonical output for each staged row. Transform errors are shown per row. No canonical records are written during preview.</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53</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transformation rules engine</w:t>
            </w:r>
          </w:p>
        </w:tc>
        <w:tc>
          <w:tcPr>
            <w:tcW w:type="dxa" w:w="68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30" w:before="0"/>
            </w:pPr>
            <w:r>
              <w:rPr>
                <w:rFonts w:ascii="Arial" w:cs="Arial" w:eastAsia="Arial" w:hAnsi="Arial"/>
                <w:b/>
                <w:bCs/>
                <w:color w:val="C55A11"/>
                <w:sz w:val="18"/>
                <w:szCs w:val="18"/>
              </w:rPr>
              <w:t xml:space="preserve">Important</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Execute complex transform rules.</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Implement a TransformRuleEngine in the Application layer that handles each rule type: TrimString (trim whitespace), ParseDate (parse string to DateTime using specified format), ParseDecimal (parse string with locale-aware decimal separator), EnumMap (map source string values to canonical enum values via a dictionary), DefaultValue (use default when source is null), Lookup (look up a value in a reference table by key), and NullHandling (propagate null, use default, or fail on null). Each rule type must handle invalid input gracefully with a structured error rather than an exception.</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All transform rule types produce correct output. Invalid inputs produce structured errors, not exceptions.</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54</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unit normalization service</w:t>
            </w:r>
          </w:p>
        </w:tc>
        <w:tc>
          <w:tcPr>
            <w:tcW w:type="dxa" w:w="68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30" w:before="0"/>
            </w:pPr>
            <w:r>
              <w:rPr>
                <w:rFonts w:ascii="Arial" w:cs="Arial" w:eastAsia="Arial" w:hAnsi="Arial"/>
                <w:b/>
                <w:bCs/>
                <w:color w:val="C55A11"/>
                <w:sz w:val="18"/>
                <w:szCs w:val="18"/>
              </w:rPr>
              <w:t xml:space="preserve">Important</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Normalize measurement units.</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Create a UnitNormalizationService that supports conversions for the most common manufacturing measurement units: temperature (Celsius, Fahrenheit, Kelvin), length (mm, cm, m, in, ft), mass (g, kg, t, lb, oz), time (ms, s, min, h), speed (m/s, km/h, rpm), pressure (Pa, kPa, MPa, bar, psi), and force (N, kN, kgf). Store conversion factors in a registry seeded at startup. The service must be accessible from the TransformRuleEngine for UnitConversion rule types.</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Unit conversions are mathematically correct. All listed unit types are supported. Unsupported unit combinations return a clear error.</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55</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mapping workbench API endpoints</w:t>
            </w:r>
          </w:p>
        </w:tc>
        <w:tc>
          <w:tcPr>
            <w:tcW w:type="dxa" w:w="68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30" w:before="0"/>
            </w:pPr>
            <w:r>
              <w:rPr>
                <w:rFonts w:ascii="Arial" w:cs="Arial" w:eastAsia="Arial" w:hAnsi="Arial"/>
                <w:b/>
                <w:bCs/>
                <w:color w:val="C55A11"/>
                <w:sz w:val="18"/>
                <w:szCs w:val="18"/>
              </w:rPr>
              <w:t xml:space="preserve">Important</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Full mapping workflow via API.</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Add endpoints for the complete mapping lifecycle: GET /source-systems/{id}/fields (list source fields for dataset selection), GET /canonical/targets (list canonical entity types and their fields with types), POST /mappings (create mapping definition), PUT /mappings/{id} (update rules), POST /mappings/{id}/validate (run validation service), POST /mappings/{id}/preview (run preview), POST /mappings/{id}/activate (mark as active), POST /mappings/{id}/execute (trigger execution against all staged records), GET /mappings/{id}/execution-history (list past executions).</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All endpoints return correct responses. Validate, preview, activate, and execute endpoints work sequentially without errors.</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56</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mapping workbench UI</w:t>
            </w:r>
          </w:p>
        </w:tc>
        <w:tc>
          <w:tcPr>
            <w:tcW w:type="dxa" w:w="68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30" w:before="0"/>
            </w:pPr>
            <w:r>
              <w:rPr>
                <w:rFonts w:ascii="Arial" w:cs="Arial" w:eastAsia="Arial" w:hAnsi="Arial"/>
                <w:b/>
                <w:bCs/>
                <w:color w:val="C55A11"/>
                <w:sz w:val="18"/>
                <w:szCs w:val="18"/>
              </w:rPr>
              <w:t xml:space="preserve">Important</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Frontend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Visual field mapping interface.</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Build a mapping workbench UI page that presents source fields on the left panel and canonical target fields on the right panel. The user draws connections between source and target fields by clicking or drag-and-drop. Each connection shows the transform rule type selector and rule parameters. A validation panel shows errors and warnings. A preview button triggers the mapping preview endpoint and displays results inline. Save and Activate buttons complete the workflow. The UI must handle large field lists (100+ fields) without performance degradation.</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User can map source fields to canonical fields visually. Transform rules are configurable per connection. Validation and preview work inline.</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57</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failed-row viewer and rerun capability</w:t>
            </w:r>
          </w:p>
        </w:tc>
        <w:tc>
          <w:tcPr>
            <w:tcW w:type="dxa" w:w="68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30" w:before="0"/>
            </w:pPr>
            <w:r>
              <w:rPr>
                <w:rFonts w:ascii="Arial" w:cs="Arial" w:eastAsia="Arial" w:hAnsi="Arial"/>
                <w:b/>
                <w:bCs/>
                <w:color w:val="C55A11"/>
                <w:sz w:val="18"/>
                <w:szCs w:val="18"/>
              </w:rPr>
              <w:t xml:space="preserve">Important</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Both</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Recover from import failures.</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Add a failed-row viewer accessible from the import monitoring UI that shows each failed staging record with: the raw source values, the specific error message (e.g., 'ParseDate failed on field EventDate: value 32/13/2025 is not a valid date'), and the mapping rule that failed. Allow the user to fix the mapping rule definition and trigger a re-execution of all failed rows from the same import batch. On rerun, failed rows that now map successfully move to Completed status.</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Failed rows display specific error reasons. Rerun after mapping fix successfully processes previously failed rows.</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58</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mapping versioning</w:t>
            </w:r>
          </w:p>
        </w:tc>
        <w:tc>
          <w:tcPr>
            <w:tcW w:type="dxa" w:w="680"/>
            <w:tcBorders>
              <w:top w:val="single" w:color="AAAAAA" w:sz="4"/>
              <w:left w:val="single" w:color="AAAAAA" w:sz="4"/>
              <w:bottom w:val="single" w:color="AAAAAA" w:sz="4"/>
              <w:right w:val="single" w:color="AAAAAA" w:sz="4"/>
            </w:tcBorders>
            <w:shd w:fill="F2F2F2" w:val="clear"/>
            <w:tcMar>
              <w:top w:type="dxa" w:w="60"/>
              <w:left w:type="dxa" w:w="110"/>
              <w:bottom w:type="dxa" w:w="60"/>
              <w:right w:type="dxa" w:w="110"/>
            </w:tcMar>
            <w:vAlign w:val="top"/>
          </w:tcPr>
          <w:p>
            <w:pPr>
              <w:spacing w:after="30" w:before="0"/>
            </w:pPr>
            <w:r>
              <w:rPr>
                <w:rFonts w:ascii="Arial" w:cs="Arial" w:eastAsia="Arial" w:hAnsi="Arial"/>
                <w:b/>
                <w:bCs/>
                <w:color w:val="505050"/>
                <w:sz w:val="18"/>
                <w:szCs w:val="18"/>
              </w:rPr>
              <w:t xml:space="preserve">Normal</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Track mapping changes.</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Add version number, effective date, author (user ID), and change reason fields to MappingDefinition. On each significant update (rule changes, not metadata changes), increment the version number and create an audit entry. Activation of a new version should deactivate the previous version. Allow viewing the history of mapping versions for a given source/target combination.</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Each rule change increments the version number. Version history is retrievable. Only one version is active at a time.</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59</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source lineage to canonical records</w:t>
            </w:r>
          </w:p>
        </w:tc>
        <w:tc>
          <w:tcPr>
            <w:tcW w:type="dxa" w:w="68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30" w:before="0"/>
            </w:pPr>
            <w:r>
              <w:rPr>
                <w:rFonts w:ascii="Arial" w:cs="Arial" w:eastAsia="Arial" w:hAnsi="Arial"/>
                <w:b/>
                <w:bCs/>
                <w:color w:val="C55A11"/>
                <w:sz w:val="18"/>
                <w:szCs w:val="18"/>
              </w:rPr>
              <w:t xml:space="preserve">Important</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Ensure traceability.</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Audit every canonical entity creation path in MappingExecutionService and ImportWorkflowService to confirm that mapped records include: SourceSystemDefinitionId, ImportBatchId, SourceDatasetDefinitionId, and source record key. This metadata enables a support engineer or quality auditor to trace any canonical record back to its exact raw source row, import batch, and source system connection.</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Canonical records created by mapping execution include source lineage fields. At least 5 entity types audited and confirmed.</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60</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Perform canonical model neutrality audit</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Confirm generic product positioning.</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Review all domain entities, application services, DTOs, dashboard metadata, configuration endpoints, and seed data to ensure that no steel-specific terms (e.g., 'slab', 'billet', 'heat', 'coil') exist in core logic files. Steel terms may only exist in demo seed data, synthetic dataset pack files, and example configuration templates. Any steel-specific term found in a core service or entity must be replaced with a generic equivalent (e.g., 'heat' → 'batch', 'coil' → 'material unit').</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Zero steel-specific terms exist in any non-demo, non-seed code file. Audit documented with file-by-file checklist.</w:t>
            </w:r>
          </w:p>
        </w:tc>
      </w:tr>
    </w:tbl>
    <w:p>
      <w:pPr>
        <w:spacing w:after="0" w:before="80"/>
      </w:pPr>
      <w:r>
        <w:t xml:space="preserve"/>
      </w:r>
    </w:p>
    <w:p>
      <w:pPr>
        <w:pBdr>
          <w:top w:val="single" w:color="1F3864" w:sz="8"/>
          <w:bottom w:val="single" w:color="2E75B6" w:sz="4"/>
        </w:pBdr>
        <w:shd w:fill="DEEAF1" w:val="clear"/>
        <w:spacing w:after="0" w:before="360"/>
        <w:ind w:left="200"/>
      </w:pPr>
      <w:r>
        <w:rPr>
          <w:rFonts w:ascii="Arial" w:cs="Arial" w:eastAsia="Arial" w:hAnsi="Arial"/>
          <w:b/>
          <w:bCs/>
          <w:color w:val="1F3864"/>
          <w:sz w:val="28"/>
          <w:szCs w:val="28"/>
        </w:rPr>
        <w:t xml:space="preserve">Phase 6:  </w:t>
      </w:r>
      <w:r>
        <w:rPr>
          <w:rFonts w:ascii="Arial" w:cs="Arial" w:eastAsia="Arial" w:hAnsi="Arial"/>
          <w:b/>
          <w:bCs/>
          <w:color w:val="2E75B6"/>
          <w:sz w:val="28"/>
          <w:szCs w:val="28"/>
        </w:rPr>
        <w:t xml:space="preserve">Dynamic Page Management</w:t>
      </w:r>
    </w:p>
    <w:p>
      <w:pPr>
        <w:shd w:fill="DEEAF1" w:val="clear"/>
        <w:spacing w:after="120" w:before="0"/>
        <w:ind w:left="200"/>
      </w:pPr>
      <w:r>
        <w:rPr>
          <w:rFonts w:ascii="Arial" w:cs="Arial" w:eastAsia="Arial" w:hAnsi="Arial"/>
          <w:b/>
          <w:bCs/>
          <w:color w:val="1F3864"/>
          <w:sz w:val="22"/>
          <w:szCs w:val="22"/>
        </w:rPr>
        <w:t xml:space="preserve">Commercial Gate: </w:t>
      </w:r>
      <w:r>
        <w:rPr>
          <w:rFonts w:ascii="Arial" w:cs="Arial" w:eastAsia="Arial" w:hAnsi="Arial"/>
          <w:color w:val="505050"/>
          <w:sz w:val="22"/>
          <w:szCs w:val="22"/>
        </w:rPr>
        <w:t xml:space="preserve">Stage 5 — Pilot Sales Gate — Vision §2.1</w:t>
      </w:r>
    </w:p>
    <w:p>
      <w:pPr>
        <w:spacing w:after="60" w:before="60"/>
        <w:jc w:val="both"/>
      </w:pPr>
      <w:r>
        <w:rPr>
          <w:rFonts w:ascii="Arial" w:cs="Arial" w:eastAsia="Arial" w:hAnsi="Arial"/>
          <w:b w:val="false"/>
          <w:bCs w:val="false"/>
          <w:color w:val="333333"/>
          <w:sz w:val="22"/>
          <w:szCs w:val="22"/>
        </w:rPr>
        <w:t xml:space="preserve">This phase delivers user-controlled page creation — the ability for any customer engineer to build, configure, and manage their own monitoring pages without vendor involvement. This is one of the three key differentiators that distinguish PlantProcess IQ from a custom analytics project. Without this feature, every pilot customer will require vendor intervention for every new view, destroying the self-service value proposition.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00"/>
        <w:gridCol w:w="680"/>
        <w:gridCol w:w="680"/>
        <w:gridCol w:w="1700"/>
        <w:gridCol w:w="2720"/>
        <w:gridCol w:w="1500"/>
      </w:tblGrid>
      <w:tr>
        <w:tc>
          <w:tcPr>
            <w:tcW w:type="dxa" w:w="4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8"/>
                <w:szCs w:val="18"/>
              </w:rPr>
              <w:t xml:space="preserve">#</w:t>
            </w:r>
          </w:p>
        </w:tc>
        <w:tc>
          <w:tcPr>
            <w:tcW w:type="dxa" w:w="16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Task Name</w:t>
            </w:r>
          </w:p>
        </w:tc>
        <w:tc>
          <w:tcPr>
            <w:tcW w:type="dxa" w:w="6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8"/>
                <w:szCs w:val="18"/>
              </w:rPr>
              <w:t xml:space="preserve">Priority</w:t>
            </w:r>
          </w:p>
        </w:tc>
        <w:tc>
          <w:tcPr>
            <w:tcW w:type="dxa" w:w="6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8"/>
                <w:szCs w:val="18"/>
              </w:rPr>
              <w:t xml:space="preserve">Scope</w:t>
            </w:r>
          </w:p>
        </w:tc>
        <w:tc>
          <w:tcPr>
            <w:tcW w:type="dxa" w:w="17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Brief Description</w:t>
            </w:r>
          </w:p>
        </w:tc>
        <w:tc>
          <w:tcPr>
            <w:tcW w:type="dxa" w:w="272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Detailed Description &amp; Implementation Notes</w:t>
            </w:r>
          </w:p>
        </w:tc>
        <w:tc>
          <w:tcPr>
            <w:tcW w:type="dxa" w:w="15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Validation Criteria</w:t>
            </w:r>
          </w:p>
        </w:tc>
      </w:tr>
      <w:tr>
        <w:tc>
          <w:tcPr>
            <w:tcW w:type="dxa" w:w="4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375623"/>
                <w:sz w:val="18"/>
                <w:szCs w:val="18"/>
              </w:rPr>
              <w:t xml:space="preserve">PM-01</w:t>
            </w:r>
          </w:p>
        </w:tc>
        <w:tc>
          <w:tcPr>
            <w:tcW w:type="dxa" w:w="16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Page CRUD API and PageDefinition entity</w:t>
            </w:r>
          </w:p>
          <w:p>
            <w:pPr>
              <w:spacing w:after="30" w:before="0"/>
            </w:pPr>
            <w:r>
              <w:rPr>
                <w:rFonts w:ascii="Arial" w:cs="Arial" w:eastAsia="Arial" w:hAnsi="Arial"/>
                <w:b w:val="false"/>
                <w:bCs w:val="false"/>
                <w:color w:val="375623"/>
                <w:sz w:val="16"/>
                <w:szCs w:val="16"/>
              </w:rPr>
              <w:t xml:space="preserve">▲ New Task</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Create/manage pages via API.</w:t>
            </w:r>
          </w:p>
        </w:tc>
        <w:tc>
          <w:tcPr>
            <w:tcW w:type="dxa" w:w="272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Create a PageDefinition domain entity with fields: page name, page type (Dashboard, Process, Quality, MLCorrelation, Custom), page layout JSON (grid positions and widget IDs), owner user ID, is-system-template flag, industry-template tag, created-at, and updated-at. Implement CRUD endpoints: GET /pages, POST /pages, GET /pages/{id}, PUT /pages/{id}, DELETE /pages/{id}. Ensure that deleting a page deletes its associated widget definitions. Add EF Core configuration and migration.</w:t>
            </w:r>
          </w:p>
        </w:tc>
        <w:tc>
          <w:tcPr>
            <w:tcW w:type="dxa" w:w="15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PageDefinition records are created, updated, deleted, and retrieved correctly. Widget definitions are cascade-deleted with the page.</w:t>
            </w:r>
          </w:p>
        </w:tc>
      </w:tr>
      <w:tr>
        <w:tc>
          <w:tcPr>
            <w:tcW w:type="dxa" w:w="4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375623"/>
                <w:sz w:val="18"/>
                <w:szCs w:val="18"/>
              </w:rPr>
              <w:t xml:space="preserve">PM-02</w:t>
            </w:r>
          </w:p>
        </w:tc>
        <w:tc>
          <w:tcPr>
            <w:tcW w:type="dxa" w:w="16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Page management frontend UI with widget library</w:t>
            </w:r>
          </w:p>
          <w:p>
            <w:pPr>
              <w:spacing w:after="30" w:before="0"/>
            </w:pPr>
            <w:r>
              <w:rPr>
                <w:rFonts w:ascii="Arial" w:cs="Arial" w:eastAsia="Arial" w:hAnsi="Arial"/>
                <w:b w:val="false"/>
                <w:bCs w:val="false"/>
                <w:color w:val="375623"/>
                <w:sz w:val="16"/>
                <w:szCs w:val="16"/>
              </w:rPr>
              <w:t xml:space="preserve">▲ New Task</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Frontend</w:t>
            </w:r>
          </w:p>
        </w:tc>
        <w:tc>
          <w:tcPr>
            <w:tcW w:type="dxa" w:w="17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Drag-drop page composition.</w:t>
            </w:r>
          </w:p>
        </w:tc>
        <w:tc>
          <w:tcPr>
            <w:tcW w:type="dxa" w:w="272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Build a page management UI that allows any authenticated user to: view a list of all their pages and system template pages, create a new blank page or from a template, open a page in edit mode, add widgets from a widget library panel, configure each widget via the WidgetBuilderWizard, reposition and resize widgets on the grid, and save the page. The widget library panel must show all available chart types (Line, Bar, Scatter, Heatmap, KPI card, Table, Risk gauge, Correlation matrix), filter controls (date range, list of values), and an information text widget. The edit mode must be visually distinct from the view mode.</w:t>
            </w:r>
          </w:p>
        </w:tc>
        <w:tc>
          <w:tcPr>
            <w:tcW w:type="dxa" w:w="15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User creates a new page from scratch, adds 3 widgets from the library, configures each, saves, and the page loads correctly for another user.</w:t>
            </w:r>
          </w:p>
        </w:tc>
      </w:tr>
      <w:tr>
        <w:tc>
          <w:tcPr>
            <w:tcW w:type="dxa" w:w="4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375623"/>
                <w:sz w:val="18"/>
                <w:szCs w:val="18"/>
              </w:rPr>
              <w:t xml:space="preserve">PM-03</w:t>
            </w:r>
          </w:p>
        </w:tc>
        <w:tc>
          <w:tcPr>
            <w:tcW w:type="dxa" w:w="16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Page template system with industry defaults</w:t>
            </w:r>
          </w:p>
          <w:p>
            <w:pPr>
              <w:spacing w:after="30" w:before="0"/>
            </w:pPr>
            <w:r>
              <w:rPr>
                <w:rFonts w:ascii="Arial" w:cs="Arial" w:eastAsia="Arial" w:hAnsi="Arial"/>
                <w:b w:val="false"/>
                <w:bCs w:val="false"/>
                <w:color w:val="375623"/>
                <w:sz w:val="16"/>
                <w:szCs w:val="16"/>
              </w:rPr>
              <w:t xml:space="preserve">▲ New Task</w:t>
            </w:r>
          </w:p>
        </w:tc>
        <w:tc>
          <w:tcPr>
            <w:tcW w:type="dxa" w:w="68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30" w:before="0"/>
            </w:pPr>
            <w:r>
              <w:rPr>
                <w:rFonts w:ascii="Arial" w:cs="Arial" w:eastAsia="Arial" w:hAnsi="Arial"/>
                <w:b/>
                <w:bCs/>
                <w:color w:val="C55A11"/>
                <w:sz w:val="18"/>
                <w:szCs w:val="18"/>
              </w:rPr>
              <w:t xml:space="preserve">Important</w:t>
            </w:r>
          </w:p>
        </w:tc>
        <w:tc>
          <w:tcPr>
            <w:tcW w:type="dxa" w:w="6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Both</w:t>
            </w:r>
          </w:p>
        </w:tc>
        <w:tc>
          <w:tcPr>
            <w:tcW w:type="dxa" w:w="17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Seed industry-specific templates.</w:t>
            </w:r>
          </w:p>
        </w:tc>
        <w:tc>
          <w:tcPr>
            <w:tcW w:type="dxa" w:w="272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Create at least six system page templates seeded in the database: Quality KPI Overview (defect rate trend, top defect table, risk score distribution), Process Parameter Monitor (multi-parameter trend, out-of-window alerts, equipment filter), Genealogy Tracker (material genealogy tree, upstream/downstream summary), ML Correlation Explorer (parameter correlation heatmap, top 10 contributors table), Downtime Analyzer (downtime event timeline, MTTR/MTBF KPIs, equipment ranking), and Material Investigation Launcher (search widget, open investigation shortcut). Templates must be tagged by industry for future industry-specific filtering.</w:t>
            </w:r>
          </w:p>
        </w:tc>
        <w:tc>
          <w:tcPr>
            <w:tcW w:type="dxa" w:w="15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All six templates exist, load correctly against synthetic demo data, and are tagged by industry.</w:t>
            </w:r>
          </w:p>
        </w:tc>
      </w:tr>
    </w:tbl>
    <w:p>
      <w:pPr>
        <w:spacing w:after="0" w:before="80"/>
      </w:pPr>
      <w:r>
        <w:t xml:space="preserve"/>
      </w:r>
    </w:p>
    <w:p>
      <w:pPr>
        <w:pBdr>
          <w:top w:val="single" w:color="1F3864" w:sz="8"/>
          <w:bottom w:val="single" w:color="2E75B6" w:sz="4"/>
        </w:pBdr>
        <w:shd w:fill="DEEAF1" w:val="clear"/>
        <w:spacing w:after="0" w:before="360"/>
        <w:ind w:left="200"/>
      </w:pPr>
      <w:r>
        <w:rPr>
          <w:rFonts w:ascii="Arial" w:cs="Arial" w:eastAsia="Arial" w:hAnsi="Arial"/>
          <w:b/>
          <w:bCs/>
          <w:color w:val="1F3864"/>
          <w:sz w:val="28"/>
          <w:szCs w:val="28"/>
        </w:rPr>
        <w:t xml:space="preserve">Phase 7:  </w:t>
      </w:r>
      <w:r>
        <w:rPr>
          <w:rFonts w:ascii="Arial" w:cs="Arial" w:eastAsia="Arial" w:hAnsi="Arial"/>
          <w:b/>
          <w:bCs/>
          <w:color w:val="2E75B6"/>
          <w:sz w:val="28"/>
          <w:szCs w:val="28"/>
        </w:rPr>
        <w:t xml:space="preserve">Widget Script Layer</w:t>
      </w:r>
    </w:p>
    <w:p>
      <w:pPr>
        <w:shd w:fill="DEEAF1" w:val="clear"/>
        <w:spacing w:after="120" w:before="0"/>
        <w:ind w:left="200"/>
      </w:pPr>
      <w:r>
        <w:rPr>
          <w:rFonts w:ascii="Arial" w:cs="Arial" w:eastAsia="Arial" w:hAnsi="Arial"/>
          <w:b/>
          <w:bCs/>
          <w:color w:val="1F3864"/>
          <w:sz w:val="22"/>
          <w:szCs w:val="22"/>
        </w:rPr>
        <w:t xml:space="preserve">Commercial Gate: </w:t>
      </w:r>
      <w:r>
        <w:rPr>
          <w:rFonts w:ascii="Arial" w:cs="Arial" w:eastAsia="Arial" w:hAnsi="Arial"/>
          <w:color w:val="505050"/>
          <w:sz w:val="22"/>
          <w:szCs w:val="22"/>
        </w:rPr>
        <w:t xml:space="preserve">Stage 5 — Pilot Sales Gate — Vision §2.2</w:t>
      </w:r>
    </w:p>
    <w:p>
      <w:pPr>
        <w:spacing w:after="60" w:before="60"/>
        <w:jc w:val="both"/>
      </w:pPr>
      <w:r>
        <w:rPr>
          <w:rFonts w:ascii="Arial" w:cs="Arial" w:eastAsia="Arial" w:hAnsi="Arial"/>
          <w:b w:val="false"/>
          <w:bCs w:val="false"/>
          <w:color w:val="333333"/>
          <w:sz w:val="22"/>
          <w:szCs w:val="22"/>
        </w:rPr>
        <w:t xml:space="preserve">The widget script layer is the architectural answer to the 'we would need 100k endpoints' problem described in the vision. By storing a query expression with each widget and providing a single generic execution endpoint, the system can answer any analytics question a customer configures — without a code change. This is the scalability foundation of the entire analytics platform.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00"/>
        <w:gridCol w:w="680"/>
        <w:gridCol w:w="680"/>
        <w:gridCol w:w="1700"/>
        <w:gridCol w:w="2720"/>
        <w:gridCol w:w="1500"/>
      </w:tblGrid>
      <w:tr>
        <w:tc>
          <w:tcPr>
            <w:tcW w:type="dxa" w:w="4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8"/>
                <w:szCs w:val="18"/>
              </w:rPr>
              <w:t xml:space="preserve">#</w:t>
            </w:r>
          </w:p>
        </w:tc>
        <w:tc>
          <w:tcPr>
            <w:tcW w:type="dxa" w:w="16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Task Name</w:t>
            </w:r>
          </w:p>
        </w:tc>
        <w:tc>
          <w:tcPr>
            <w:tcW w:type="dxa" w:w="6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8"/>
                <w:szCs w:val="18"/>
              </w:rPr>
              <w:t xml:space="preserve">Priority</w:t>
            </w:r>
          </w:p>
        </w:tc>
        <w:tc>
          <w:tcPr>
            <w:tcW w:type="dxa" w:w="6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8"/>
                <w:szCs w:val="18"/>
              </w:rPr>
              <w:t xml:space="preserve">Scope</w:t>
            </w:r>
          </w:p>
        </w:tc>
        <w:tc>
          <w:tcPr>
            <w:tcW w:type="dxa" w:w="17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Brief Description</w:t>
            </w:r>
          </w:p>
        </w:tc>
        <w:tc>
          <w:tcPr>
            <w:tcW w:type="dxa" w:w="272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Detailed Description &amp; Implementation Notes</w:t>
            </w:r>
          </w:p>
        </w:tc>
        <w:tc>
          <w:tcPr>
            <w:tcW w:type="dxa" w:w="15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Validation Criteria</w:t>
            </w:r>
          </w:p>
        </w:tc>
      </w:tr>
      <w:tr>
        <w:tc>
          <w:tcPr>
            <w:tcW w:type="dxa" w:w="4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375623"/>
                <w:sz w:val="18"/>
                <w:szCs w:val="18"/>
              </w:rPr>
              <w:t xml:space="preserve">WS-01</w:t>
            </w:r>
          </w:p>
        </w:tc>
        <w:tc>
          <w:tcPr>
            <w:tcW w:type="dxa" w:w="16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Widget query expression model</w:t>
            </w:r>
          </w:p>
          <w:p>
            <w:pPr>
              <w:spacing w:after="30" w:before="0"/>
            </w:pPr>
            <w:r>
              <w:rPr>
                <w:rFonts w:ascii="Arial" w:cs="Arial" w:eastAsia="Arial" w:hAnsi="Arial"/>
                <w:b w:val="false"/>
                <w:bCs w:val="false"/>
                <w:color w:val="375623"/>
                <w:sz w:val="16"/>
                <w:szCs w:val="16"/>
              </w:rPr>
              <w:t xml:space="preserve">▲ New Task</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Store expressions per widget.</w:t>
            </w:r>
          </w:p>
        </w:tc>
        <w:tc>
          <w:tcPr>
            <w:tcW w:type="dxa" w:w="272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Add a WidgetQueryExpression JSON field to the DashboardWidgetDefinition entity. The expression contains: data source type (canonical entity type to query), groupBy field name and grouping function (ByDay, ByWeek, ByMonth, ByShift, ByEquipment, ByArea, ByMaterialType), measure field name and aggregation function (Count, Sum, Average, Min, Max, Percentile90, DistinctCount), secondary measure (optional, for dual-axis charts), sort field and direction, row limit, and a set of additional ad-hoc filter expressions. Ensure the expression is validated against a schema on save.</w:t>
            </w:r>
          </w:p>
        </w:tc>
        <w:tc>
          <w:tcPr>
            <w:tcW w:type="dxa" w:w="15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WidgetQueryExpression persists correctly in the DB as JSON. Schema validation rejects malformed expressions.</w:t>
            </w:r>
          </w:p>
        </w:tc>
      </w:tr>
      <w:tr>
        <w:tc>
          <w:tcPr>
            <w:tcW w:type="dxa" w:w="4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375623"/>
                <w:sz w:val="18"/>
                <w:szCs w:val="18"/>
              </w:rPr>
              <w:t xml:space="preserve">WS-02</w:t>
            </w:r>
          </w:p>
        </w:tc>
        <w:tc>
          <w:tcPr>
            <w:tcW w:type="dxa" w:w="16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Generic widget query execution endpoint</w:t>
            </w:r>
          </w:p>
          <w:p>
            <w:pPr>
              <w:spacing w:after="30" w:before="0"/>
            </w:pPr>
            <w:r>
              <w:rPr>
                <w:rFonts w:ascii="Arial" w:cs="Arial" w:eastAsia="Arial" w:hAnsi="Arial"/>
                <w:b w:val="false"/>
                <w:bCs w:val="false"/>
                <w:color w:val="375623"/>
                <w:sz w:val="16"/>
                <w:szCs w:val="16"/>
              </w:rPr>
              <w:t xml:space="preserve">▲ New Task</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Single endpoint for all widget queries.</w:t>
            </w:r>
          </w:p>
        </w:tc>
        <w:tc>
          <w:tcPr>
            <w:tcW w:type="dxa" w:w="272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Implement a POST /widgets/{id}/query endpoint that accepts a WidgetQueryExpression, validates it against the DashboardWidgetQuerySafetyRegistry (which whitelists allowed entity types, fields, and aggregation functions), builds a parameterized LINQ/SQL query against the appropriate canonical entity set, applies any pre-configured widget filters, applies any runtime filter overrides from the request body, executes the query, and returns the result set in a standard chart-data format. This endpoint replaces the need for individual per-use-case query endpoints.</w:t>
            </w:r>
          </w:p>
        </w:tc>
        <w:tc>
          <w:tcPr>
            <w:tcW w:type="dxa" w:w="15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The generic endpoint correctly executes at least 10 different expression combinations against the canonical model. Safety registry blocks disallowed queries.</w:t>
            </w:r>
          </w:p>
        </w:tc>
      </w:tr>
      <w:tr>
        <w:tc>
          <w:tcPr>
            <w:tcW w:type="dxa" w:w="4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375623"/>
                <w:sz w:val="18"/>
                <w:szCs w:val="18"/>
              </w:rPr>
              <w:t xml:space="preserve">WS-03</w:t>
            </w:r>
          </w:p>
        </w:tc>
        <w:tc>
          <w:tcPr>
            <w:tcW w:type="dxa" w:w="16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Script layer UI in widget builder wizard</w:t>
            </w:r>
          </w:p>
          <w:p>
            <w:pPr>
              <w:spacing w:after="30" w:before="0"/>
            </w:pPr>
            <w:r>
              <w:rPr>
                <w:rFonts w:ascii="Arial" w:cs="Arial" w:eastAsia="Arial" w:hAnsi="Arial"/>
                <w:b w:val="false"/>
                <w:bCs w:val="false"/>
                <w:color w:val="375623"/>
                <w:sz w:val="16"/>
                <w:szCs w:val="16"/>
              </w:rPr>
              <w:t xml:space="preserve">▲ New Task</w:t>
            </w:r>
          </w:p>
        </w:tc>
        <w:tc>
          <w:tcPr>
            <w:tcW w:type="dxa" w:w="68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30" w:before="0"/>
            </w:pPr>
            <w:r>
              <w:rPr>
                <w:rFonts w:ascii="Arial" w:cs="Arial" w:eastAsia="Arial" w:hAnsi="Arial"/>
                <w:b/>
                <w:bCs/>
                <w:color w:val="C55A11"/>
                <w:sz w:val="18"/>
                <w:szCs w:val="18"/>
              </w:rPr>
              <w:t xml:space="preserve">Important</w:t>
            </w:r>
          </w:p>
        </w:tc>
        <w:tc>
          <w:tcPr>
            <w:tcW w:type="dxa" w:w="6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Frontend</w:t>
            </w:r>
          </w:p>
        </w:tc>
        <w:tc>
          <w:tcPr>
            <w:tcW w:type="dxa" w:w="17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Configure expressions visually.</w:t>
            </w:r>
          </w:p>
        </w:tc>
        <w:tc>
          <w:tcPr>
            <w:tcW w:type="dxa" w:w="272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Add a Script Layer configuration step to the WidgetBuilderWizard. This step presents the WidgetQueryExpression fields as UI controls: a groupBy field selector (dropdown of available canonical entity fields for the selected data source), a grouping function selector (By Day, By Week, By Month, By Shift, By Equipment, By Area), a measure field selector with an aggregation function dropdown (Count, Sum, Average, etc.), and an optional secondary measure. Below the controls, display a plain-English summary of what the expression will produce (e.g., 'Average temperature by day for the last 30 days, filtered to Equipment EAF-01'). Include a preview button that calls the generic query endpoint with the current expression.</w:t>
            </w:r>
          </w:p>
        </w:tc>
        <w:tc>
          <w:tcPr>
            <w:tcW w:type="dxa" w:w="15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Script layer UI generates a valid WidgetQueryExpression. Plain-English summary is accurate. Preview produces correct data.</w:t>
            </w:r>
          </w:p>
        </w:tc>
      </w:tr>
    </w:tbl>
    <w:p>
      <w:pPr>
        <w:spacing w:after="0" w:before="80"/>
      </w:pPr>
      <w:r>
        <w:t xml:space="preserve"/>
      </w:r>
    </w:p>
    <w:p>
      <w:pPr>
        <w:pBdr>
          <w:top w:val="single" w:color="1F3864" w:sz="8"/>
          <w:bottom w:val="single" w:color="2E75B6" w:sz="4"/>
        </w:pBdr>
        <w:shd w:fill="DEEAF1" w:val="clear"/>
        <w:spacing w:after="0" w:before="360"/>
        <w:ind w:left="200"/>
      </w:pPr>
      <w:r>
        <w:rPr>
          <w:rFonts w:ascii="Arial" w:cs="Arial" w:eastAsia="Arial" w:hAnsi="Arial"/>
          <w:b/>
          <w:bCs/>
          <w:color w:val="1F3864"/>
          <w:sz w:val="28"/>
          <w:szCs w:val="28"/>
        </w:rPr>
        <w:t xml:space="preserve">Phase 8:  </w:t>
      </w:r>
      <w:r>
        <w:rPr>
          <w:rFonts w:ascii="Arial" w:cs="Arial" w:eastAsia="Arial" w:hAnsi="Arial"/>
          <w:b/>
          <w:bCs/>
          <w:color w:val="2E75B6"/>
          <w:sz w:val="28"/>
          <w:szCs w:val="28"/>
        </w:rPr>
        <w:t xml:space="preserve">Domain Model Extensions</w:t>
      </w:r>
    </w:p>
    <w:p>
      <w:pPr>
        <w:shd w:fill="DEEAF1" w:val="clear"/>
        <w:spacing w:after="120" w:before="0"/>
        <w:ind w:left="200"/>
      </w:pPr>
      <w:r>
        <w:rPr>
          <w:rFonts w:ascii="Arial" w:cs="Arial" w:eastAsia="Arial" w:hAnsi="Arial"/>
          <w:b/>
          <w:bCs/>
          <w:color w:val="1F3864"/>
          <w:sz w:val="22"/>
          <w:szCs w:val="22"/>
        </w:rPr>
        <w:t xml:space="preserve">Commercial Gate: </w:t>
      </w:r>
      <w:r>
        <w:rPr>
          <w:rFonts w:ascii="Arial" w:cs="Arial" w:eastAsia="Arial" w:hAnsi="Arial"/>
          <w:color w:val="505050"/>
          <w:sz w:val="22"/>
          <w:szCs w:val="22"/>
        </w:rPr>
        <w:t xml:space="preserve">Stage 4–5</w:t>
      </w:r>
    </w:p>
    <w:p>
      <w:pPr>
        <w:spacing w:after="60" w:before="60"/>
        <w:jc w:val="both"/>
      </w:pPr>
      <w:r>
        <w:rPr>
          <w:rFonts w:ascii="Arial" w:cs="Arial" w:eastAsia="Arial" w:hAnsi="Arial"/>
          <w:b w:val="false"/>
          <w:bCs w:val="false"/>
          <w:color w:val="333333"/>
          <w:sz w:val="22"/>
          <w:szCs w:val="22"/>
        </w:rPr>
        <w:t xml:space="preserve">This phase extends the canonical domain model with entities that represent important manufacturing data concepts not yet modelled: formal quality decisions, inspection-specific results, lab samples, process parameter control windows, and aggregated feature persistence. These extensions are required for the readiness assessment and pilot stages.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00"/>
        <w:gridCol w:w="680"/>
        <w:gridCol w:w="680"/>
        <w:gridCol w:w="1700"/>
        <w:gridCol w:w="2720"/>
        <w:gridCol w:w="1500"/>
      </w:tblGrid>
      <w:tr>
        <w:tc>
          <w:tcPr>
            <w:tcW w:type="dxa" w:w="4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8"/>
                <w:szCs w:val="18"/>
              </w:rPr>
              <w:t xml:space="preserve">#</w:t>
            </w:r>
          </w:p>
        </w:tc>
        <w:tc>
          <w:tcPr>
            <w:tcW w:type="dxa" w:w="16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Task Name</w:t>
            </w:r>
          </w:p>
        </w:tc>
        <w:tc>
          <w:tcPr>
            <w:tcW w:type="dxa" w:w="6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8"/>
                <w:szCs w:val="18"/>
              </w:rPr>
              <w:t xml:space="preserve">Priority</w:t>
            </w:r>
          </w:p>
        </w:tc>
        <w:tc>
          <w:tcPr>
            <w:tcW w:type="dxa" w:w="6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8"/>
                <w:szCs w:val="18"/>
              </w:rPr>
              <w:t xml:space="preserve">Scope</w:t>
            </w:r>
          </w:p>
        </w:tc>
        <w:tc>
          <w:tcPr>
            <w:tcW w:type="dxa" w:w="17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Brief Description</w:t>
            </w:r>
          </w:p>
        </w:tc>
        <w:tc>
          <w:tcPr>
            <w:tcW w:type="dxa" w:w="272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Detailed Description &amp; Implementation Notes</w:t>
            </w:r>
          </w:p>
        </w:tc>
        <w:tc>
          <w:tcPr>
            <w:tcW w:type="dxa" w:w="15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Validation Criteria</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61</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QualityDecision entity</w:t>
            </w:r>
          </w:p>
        </w:tc>
        <w:tc>
          <w:tcPr>
            <w:tcW w:type="dxa" w:w="68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30" w:before="0"/>
            </w:pPr>
            <w:r>
              <w:rPr>
                <w:rFonts w:ascii="Arial" w:cs="Arial" w:eastAsia="Arial" w:hAnsi="Arial"/>
                <w:b/>
                <w:bCs/>
                <w:color w:val="C55A11"/>
                <w:sz w:val="18"/>
                <w:szCs w:val="18"/>
              </w:rPr>
              <w:t xml:space="preserve">Important</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Formal quality disposition.</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Create a QualityDecision entity with fields: material unit ID, decision type (Accept, Reject, Hold, Rework, Downgrade, Claim, Release), decision timestamp, decision author, reason text, and reference to the triggering quality event (optional). This entity separates the formal quality disposition outcome from the quality event observation, which is critical for plants that have a formal quality approval workflow separate from their inspection process.</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QualityDecision records are created and linked to MaterialUnit correctly. Decision history is retrievable per material.</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62</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InspectionResult entity</w:t>
            </w:r>
          </w:p>
        </w:tc>
        <w:tc>
          <w:tcPr>
            <w:tcW w:type="dxa" w:w="68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30" w:before="0"/>
            </w:pPr>
            <w:r>
              <w:rPr>
                <w:rFonts w:ascii="Arial" w:cs="Arial" w:eastAsia="Arial" w:hAnsi="Arial"/>
                <w:b/>
                <w:bCs/>
                <w:color w:val="C55A11"/>
                <w:sz w:val="18"/>
                <w:szCs w:val="18"/>
              </w:rPr>
              <w:t xml:space="preserve">Important</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Detailed inspection data.</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Create an InspectionResult entity with fields: material unit ID, inspection type (Visual, NDT, Dimensional, Camera, Manual, Lab), equipment ID, inspector ID, inspection timestamp, pass/fail flag, defect catalog reference (nullable), measured value (nullable), and raw result JSON for type-specific data. This entity provides richer inspection data than the generic QualityEvent and is critical for plants with surface inspection devices, dimensional gauges, or camera-based quality systems.</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InspectionResult records link correctly to MaterialUnit and Equipment. Inspection type filter works.</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63</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Sample and SampleResult entities</w:t>
            </w:r>
          </w:p>
        </w:tc>
        <w:tc>
          <w:tcPr>
            <w:tcW w:type="dxa" w:w="680"/>
            <w:tcBorders>
              <w:top w:val="single" w:color="AAAAAA" w:sz="4"/>
              <w:left w:val="single" w:color="AAAAAA" w:sz="4"/>
              <w:bottom w:val="single" w:color="AAAAAA" w:sz="4"/>
              <w:right w:val="single" w:color="AAAAAA" w:sz="4"/>
            </w:tcBorders>
            <w:shd w:fill="F2F2F2" w:val="clear"/>
            <w:tcMar>
              <w:top w:type="dxa" w:w="60"/>
              <w:left w:type="dxa" w:w="110"/>
              <w:bottom w:type="dxa" w:w="60"/>
              <w:right w:type="dxa" w:w="110"/>
            </w:tcMar>
            <w:vAlign w:val="top"/>
          </w:tcPr>
          <w:p>
            <w:pPr>
              <w:spacing w:after="30" w:before="0"/>
            </w:pPr>
            <w:r>
              <w:rPr>
                <w:rFonts w:ascii="Arial" w:cs="Arial" w:eastAsia="Arial" w:hAnsi="Arial"/>
                <w:b/>
                <w:bCs/>
                <w:color w:val="505050"/>
                <w:sz w:val="18"/>
                <w:szCs w:val="18"/>
              </w:rPr>
              <w:t xml:space="preserve">Normal</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Lab and sample analysis data.</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Create Sample (material unit ID, sample type — Chemistry, Mechanical, Dimensional, Environmental, Quality, sample timestamp, lab identifier) and SampleResult (sample ID, property name, measured value, unit, standard min, standard max, in-specification flag) entities. These are needed for steel, pharma, and chemical plants where laboratory analysis is a critical quality gate.</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Sample and SampleResult records persist correctly. In-specification flag is computed correctly from standard min/max.</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64</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ParameterWindow entity</w:t>
            </w:r>
          </w:p>
        </w:tc>
        <w:tc>
          <w:tcPr>
            <w:tcW w:type="dxa" w:w="68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30" w:before="0"/>
            </w:pPr>
            <w:r>
              <w:rPr>
                <w:rFonts w:ascii="Arial" w:cs="Arial" w:eastAsia="Arial" w:hAnsi="Arial"/>
                <w:b/>
                <w:bCs/>
                <w:color w:val="C55A11"/>
                <w:sz w:val="18"/>
                <w:szCs w:val="18"/>
              </w:rPr>
              <w:t xml:space="preserve">Important</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Process parameter control limits.</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Create a ParameterWindow entity that stores the expected min/max/target range for a specific parameter, scoped to an optional equipment, operation, route, material type, or industry template. This entity enables out-of-window parameter highlighting in reports and risk scoring. The ParameterWindow is consulted by the RiskScoreService to identify parameters that were outside their control limits during a material's processing.</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ParameterWindow records are created and queried by parameter + equipment + route combination. RiskScoreService uses windows for out-of-range detection.</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65</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AggregatedFeature entity and persistence</w:t>
            </w:r>
          </w:p>
        </w:tc>
        <w:tc>
          <w:tcPr>
            <w:tcW w:type="dxa" w:w="68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30" w:before="0"/>
            </w:pPr>
            <w:r>
              <w:rPr>
                <w:rFonts w:ascii="Arial" w:cs="Arial" w:eastAsia="Arial" w:hAnsi="Arial"/>
                <w:b/>
                <w:bCs/>
                <w:color w:val="C55A11"/>
                <w:sz w:val="18"/>
                <w:szCs w:val="18"/>
              </w:rPr>
              <w:t xml:space="preserve">Important</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Persist feature engineering outputs.</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Create an AggregatedFeature entity that stores the computed feature vector per material unit: material unit ID, feature computation timestamp, feature set version (linked to the current ModelRegistry entry), and a JSON field containing all computed feature values. Persist the output of FeatureEngineeringService.ComputeFeatureVector() to this entity. On subsequent requests, serve the cached AggregatedFeature instead of recomputing from raw observations if the feature set version has not changed.</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Feature vectors are persisted and retrieved for existing material units. Recomputation is skipped when a valid cached vector exists.</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66</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scheduled feature refresh job</w:t>
            </w:r>
          </w:p>
        </w:tc>
        <w:tc>
          <w:tcPr>
            <w:tcW w:type="dxa" w:w="68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30" w:before="0"/>
            </w:pPr>
            <w:r>
              <w:rPr>
                <w:rFonts w:ascii="Arial" w:cs="Arial" w:eastAsia="Arial" w:hAnsi="Arial"/>
                <w:b/>
                <w:bCs/>
                <w:color w:val="C55A11"/>
                <w:sz w:val="18"/>
                <w:szCs w:val="18"/>
              </w:rPr>
              <w:t xml:space="preserve">Important</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Keep features current.</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Add a Worker job that runs after each successful import batch completion and recomputes AggregatedFeature records for all material units whose ParameterObservation or QualityEvent records were updated in that batch. Register this job as a JobDefinition entry of type CanonicalRefresh so it appears in the Jobs Monitor. Log the number of feature vectors refreshed and the time taken.</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Feature refresh job runs after import batch. Only affected material units are refreshed. JobDefinition record is updated with last-run status.</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67</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materialized aggregation refresh strategy</w:t>
            </w:r>
          </w:p>
        </w:tc>
        <w:tc>
          <w:tcPr>
            <w:tcW w:type="dxa" w:w="680"/>
            <w:tcBorders>
              <w:top w:val="single" w:color="AAAAAA" w:sz="4"/>
              <w:left w:val="single" w:color="AAAAAA" w:sz="4"/>
              <w:bottom w:val="single" w:color="AAAAAA" w:sz="4"/>
              <w:right w:val="single" w:color="AAAAAA" w:sz="4"/>
            </w:tcBorders>
            <w:shd w:fill="F2F2F2" w:val="clear"/>
            <w:tcMar>
              <w:top w:type="dxa" w:w="60"/>
              <w:left w:type="dxa" w:w="110"/>
              <w:bottom w:type="dxa" w:w="60"/>
              <w:right w:type="dxa" w:w="110"/>
            </w:tcMar>
            <w:vAlign w:val="top"/>
          </w:tcPr>
          <w:p>
            <w:pPr>
              <w:spacing w:after="30" w:before="0"/>
            </w:pPr>
            <w:r>
              <w:rPr>
                <w:rFonts w:ascii="Arial" w:cs="Arial" w:eastAsia="Arial" w:hAnsi="Arial"/>
                <w:b/>
                <w:bCs/>
                <w:color w:val="505050"/>
                <w:sz w:val="18"/>
                <w:szCs w:val="18"/>
              </w:rPr>
              <w:t xml:space="preserve">Normal</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Optimize heavy dashboard queries.</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Identify the five most computationally expensive dashboard query patterns in DashboardQueryService and DashboardWidgetQueryService (typically: defect rate over time by equipment, parameter correlation matrix, risk score distribution, genealogy depth summary). Create read-model aggregation tables for these queries and a refresh job that updates them on a configurable schedule (e.g., every 15 minutes). Use the fresh aggregation table as the query source when the staleness tolerance allows it.</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Heavy dashboard queries use the materialized aggregation. Staleness window is configurable. Manual refresh is available from Jobs Monitor.</w:t>
            </w:r>
          </w:p>
        </w:tc>
      </w:tr>
    </w:tbl>
    <w:p>
      <w:pPr>
        <w:spacing w:after="0" w:before="80"/>
      </w:pPr>
      <w:r>
        <w:t xml:space="preserve"/>
      </w:r>
    </w:p>
    <w:p>
      <w:pPr>
        <w:pBdr>
          <w:top w:val="single" w:color="1F3864" w:sz="8"/>
          <w:bottom w:val="single" w:color="2E75B6" w:sz="4"/>
        </w:pBdr>
        <w:shd w:fill="DEEAF1" w:val="clear"/>
        <w:spacing w:after="0" w:before="360"/>
        <w:ind w:left="200"/>
      </w:pPr>
      <w:r>
        <w:rPr>
          <w:rFonts w:ascii="Arial" w:cs="Arial" w:eastAsia="Arial" w:hAnsi="Arial"/>
          <w:b/>
          <w:bCs/>
          <w:color w:val="1F3864"/>
          <w:sz w:val="28"/>
          <w:szCs w:val="28"/>
        </w:rPr>
        <w:t xml:space="preserve">Phase 9:  </w:t>
      </w:r>
      <w:r>
        <w:rPr>
          <w:rFonts w:ascii="Arial" w:cs="Arial" w:eastAsia="Arial" w:hAnsi="Arial"/>
          <w:b/>
          <w:bCs/>
          <w:color w:val="2E75B6"/>
          <w:sz w:val="28"/>
          <w:szCs w:val="28"/>
        </w:rPr>
        <w:t xml:space="preserve">ML Foundation &amp; Engine Jobs</w:t>
      </w:r>
    </w:p>
    <w:p>
      <w:pPr>
        <w:shd w:fill="DEEAF1" w:val="clear"/>
        <w:spacing w:after="120" w:before="0"/>
        <w:ind w:left="200"/>
      </w:pPr>
      <w:r>
        <w:rPr>
          <w:rFonts w:ascii="Arial" w:cs="Arial" w:eastAsia="Arial" w:hAnsi="Arial"/>
          <w:b/>
          <w:bCs/>
          <w:color w:val="1F3864"/>
          <w:sz w:val="22"/>
          <w:szCs w:val="22"/>
        </w:rPr>
        <w:t xml:space="preserve">Commercial Gate: </w:t>
      </w:r>
      <w:r>
        <w:rPr>
          <w:rFonts w:ascii="Arial" w:cs="Arial" w:eastAsia="Arial" w:hAnsi="Arial"/>
          <w:color w:val="505050"/>
          <w:sz w:val="22"/>
          <w:szCs w:val="22"/>
        </w:rPr>
        <w:t xml:space="preserve">Stage 5 Gate — Vision §3.1</w:t>
      </w:r>
    </w:p>
    <w:p>
      <w:pPr>
        <w:spacing w:after="60" w:before="60"/>
        <w:jc w:val="both"/>
      </w:pPr>
      <w:r>
        <w:rPr>
          <w:rFonts w:ascii="Arial" w:cs="Arial" w:eastAsia="Arial" w:hAnsi="Arial"/>
          <w:b w:val="false"/>
          <w:bCs w:val="false"/>
          <w:color w:val="333333"/>
          <w:sz w:val="22"/>
          <w:szCs w:val="22"/>
        </w:rPr>
        <w:t xml:space="preserve">This phase completes the ML foundation (quality label builder, Python training scripts, explanation storage) and adds the four scheduled ML learning engine jobs required by the vision. Each job registers in the JobDefinition table and appears in the Jobs Monitor. The ML jobs are the intelligence core of PlantProcess IQ — without them, the platform has correlation but no learning.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00"/>
        <w:gridCol w:w="680"/>
        <w:gridCol w:w="680"/>
        <w:gridCol w:w="1700"/>
        <w:gridCol w:w="2720"/>
        <w:gridCol w:w="1500"/>
      </w:tblGrid>
      <w:tr>
        <w:tc>
          <w:tcPr>
            <w:tcW w:type="dxa" w:w="4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8"/>
                <w:szCs w:val="18"/>
              </w:rPr>
              <w:t xml:space="preserve">#</w:t>
            </w:r>
          </w:p>
        </w:tc>
        <w:tc>
          <w:tcPr>
            <w:tcW w:type="dxa" w:w="16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Task Name</w:t>
            </w:r>
          </w:p>
        </w:tc>
        <w:tc>
          <w:tcPr>
            <w:tcW w:type="dxa" w:w="6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8"/>
                <w:szCs w:val="18"/>
              </w:rPr>
              <w:t xml:space="preserve">Priority</w:t>
            </w:r>
          </w:p>
        </w:tc>
        <w:tc>
          <w:tcPr>
            <w:tcW w:type="dxa" w:w="6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8"/>
                <w:szCs w:val="18"/>
              </w:rPr>
              <w:t xml:space="preserve">Scope</w:t>
            </w:r>
          </w:p>
        </w:tc>
        <w:tc>
          <w:tcPr>
            <w:tcW w:type="dxa" w:w="17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Brief Description</w:t>
            </w:r>
          </w:p>
        </w:tc>
        <w:tc>
          <w:tcPr>
            <w:tcW w:type="dxa" w:w="272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Detailed Description &amp; Implementation Notes</w:t>
            </w:r>
          </w:p>
        </w:tc>
        <w:tc>
          <w:tcPr>
            <w:tcW w:type="dxa" w:w="15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Validation Criteria</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68</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quality label builder</w:t>
            </w:r>
          </w:p>
        </w:tc>
        <w:tc>
          <w:tcPr>
            <w:tcW w:type="dxa" w:w="68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30" w:before="0"/>
            </w:pPr>
            <w:r>
              <w:rPr>
                <w:rFonts w:ascii="Arial" w:cs="Arial" w:eastAsia="Arial" w:hAnsi="Arial"/>
                <w:b/>
                <w:bCs/>
                <w:color w:val="C55A11"/>
                <w:sz w:val="18"/>
                <w:szCs w:val="18"/>
              </w:rPr>
              <w:t xml:space="preserve">Important</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 / ML</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Generate ML training labels.</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Build a QualityLabelBuilderService that generates binary classification labels (defect present / not present, reject / no reject) from QualityEvent, QualityDecision, DefectCatalog, and InspectionResult records within a configurable time window per material unit. Labels must handle the common manufacturing challenge of imbalanced datasets (far more non-defect than defect examples) by providing configurable oversampling options. Export labels with feature vectors to a training dataset format consumable by the Python training script.</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Label generation produces correct defect/no-defect classification for a known test dataset. Imbalanced dataset options are configurable.</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69</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Python baseline training script</w:t>
            </w:r>
          </w:p>
        </w:tc>
        <w:tc>
          <w:tcPr>
            <w:tcW w:type="dxa" w:w="68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30" w:before="0"/>
            </w:pPr>
            <w:r>
              <w:rPr>
                <w:rFonts w:ascii="Arial" w:cs="Arial" w:eastAsia="Arial" w:hAnsi="Arial"/>
                <w:b/>
                <w:bCs/>
                <w:color w:val="C55A11"/>
                <w:sz w:val="18"/>
                <w:szCs w:val="18"/>
              </w:rPr>
              <w:t xml:space="preserve">Important</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 / ML</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First real ML model training.</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Create a Python script (using scikit-learn) that reads the exported feature/label dataset, trains a baseline gradient boosting classifier (GBM or XGBoost), evaluates model performance (AUC, precision, recall, F1, confusion matrix), outputs the trained model as a serialized file (pickle or ONNX), and logs a metrics summary to a JSON file. The script must accept command-line arguments for: input dataset path, output model path, target label column, and feature column list. Document the expected runtime on a 50k-row dataset.</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Script trains successfully and outputs a serialized model. Metrics JSON is produced. Script completes in under 10 minutes on a 50k-row dataset.</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70</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prediction explanation storage</w:t>
            </w:r>
          </w:p>
        </w:tc>
        <w:tc>
          <w:tcPr>
            <w:tcW w:type="dxa" w:w="68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30" w:before="0"/>
            </w:pPr>
            <w:r>
              <w:rPr>
                <w:rFonts w:ascii="Arial" w:cs="Arial" w:eastAsia="Arial" w:hAnsi="Arial"/>
                <w:b/>
                <w:bCs/>
                <w:color w:val="C55A11"/>
                <w:sz w:val="18"/>
                <w:szCs w:val="18"/>
              </w:rPr>
              <w:t xml:space="preserve">Important</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Store risk contributors.</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Extend the RiskScore entity to include an Explanation JSON field containing: the top 10 contributing features (field name, observed value, direction of influence, contribution magnitude, and a plain-English explanation text). Update RiskScoreService to populate this field using a feature importance extraction method compatible with the trained model type. The explanation must be human-readable and specific: 'Parameter FurnaceTemperature was 23°C above the upper control limit, which is strongly associated with surface defect type ST-42.'</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Risk score records include populated Explanation JSON. At least top 5 contributors are present. Plain-English text is accurate and specific.</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71</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model comparison in registry</w:t>
            </w:r>
          </w:p>
        </w:tc>
        <w:tc>
          <w:tcPr>
            <w:tcW w:type="dxa" w:w="680"/>
            <w:tcBorders>
              <w:top w:val="single" w:color="AAAAAA" w:sz="4"/>
              <w:left w:val="single" w:color="AAAAAA" w:sz="4"/>
              <w:bottom w:val="single" w:color="AAAAAA" w:sz="4"/>
              <w:right w:val="single" w:color="AAAAAA" w:sz="4"/>
            </w:tcBorders>
            <w:shd w:fill="F2F2F2" w:val="clear"/>
            <w:tcMar>
              <w:top w:type="dxa" w:w="60"/>
              <w:left w:type="dxa" w:w="110"/>
              <w:bottom w:type="dxa" w:w="60"/>
              <w:right w:type="dxa" w:w="110"/>
            </w:tcMar>
            <w:vAlign w:val="top"/>
          </w:tcPr>
          <w:p>
            <w:pPr>
              <w:spacing w:after="30" w:before="0"/>
            </w:pPr>
            <w:r>
              <w:rPr>
                <w:rFonts w:ascii="Arial" w:cs="Arial" w:eastAsia="Arial" w:hAnsi="Arial"/>
                <w:b/>
                <w:bCs/>
                <w:color w:val="505050"/>
                <w:sz w:val="18"/>
                <w:szCs w:val="18"/>
              </w:rPr>
              <w:t xml:space="preserve">Normal</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Track model version quality.</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Extend the ModelRegistry entity to store full evaluation metrics: AUC-ROC, precision, recall, F1 score, training data window (start date, end date), validation data window, positive sample count, negative sample count, and feature set version. Add a model comparison endpoint that accepts two model registry IDs and returns a side-by-side metrics comparison with percentage change. Add a model promotion endpoint that marks one registry entry as the active model for a given target type.</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Two model versions can be compared via the API. Promotion sets the correct active model flag.</w:t>
            </w:r>
          </w:p>
        </w:tc>
      </w:tr>
      <w:tr>
        <w:tc>
          <w:tcPr>
            <w:tcW w:type="dxa" w:w="4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375623"/>
                <w:sz w:val="18"/>
                <w:szCs w:val="18"/>
              </w:rPr>
              <w:t xml:space="preserve">ML-01</w:t>
            </w:r>
          </w:p>
        </w:tc>
        <w:tc>
          <w:tcPr>
            <w:tcW w:type="dxa" w:w="16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ML learning job: process parameters vs defect types</w:t>
            </w:r>
          </w:p>
          <w:p>
            <w:pPr>
              <w:spacing w:after="30" w:before="0"/>
            </w:pPr>
            <w:r>
              <w:rPr>
                <w:rFonts w:ascii="Arial" w:cs="Arial" w:eastAsia="Arial" w:hAnsi="Arial"/>
                <w:b w:val="false"/>
                <w:bCs w:val="false"/>
                <w:color w:val="375623"/>
                <w:sz w:val="16"/>
                <w:szCs w:val="16"/>
              </w:rPr>
              <w:t xml:space="preserve">▲ New Task</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Scheduled params vs defects learning.</w:t>
            </w:r>
          </w:p>
        </w:tc>
        <w:tc>
          <w:tcPr>
            <w:tcW w:type="dxa" w:w="272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Create a scheduled Worker job that runs once per day (configurable schedule, intended for off-hours) and executes the following pipeline: extract feature vectors for all material units processed in the last configurable training window, retrieve quality labels for defect presence per defect type from the QualityLabelBuilderService, call the Python training script (or an equivalent .NET ML.NET model) for each defect type with sufficient sample count (minimum configurable threshold, e.g., 200 positive samples), store the trained model in ModelRegistry, and update the JobDefinition status. Register this job as type MlParamsVsDefects in the JobDefinition table.</w:t>
            </w:r>
          </w:p>
        </w:tc>
        <w:tc>
          <w:tcPr>
            <w:tcW w:type="dxa" w:w="15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Job runs on schedule. Trained model appears in ModelRegistry for each defect type with sufficient data. JobDefinition status updates correctly.</w:t>
            </w:r>
          </w:p>
        </w:tc>
      </w:tr>
      <w:tr>
        <w:tc>
          <w:tcPr>
            <w:tcW w:type="dxa" w:w="4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375623"/>
                <w:sz w:val="18"/>
                <w:szCs w:val="18"/>
              </w:rPr>
              <w:t xml:space="preserve">ML-02</w:t>
            </w:r>
          </w:p>
        </w:tc>
        <w:tc>
          <w:tcPr>
            <w:tcW w:type="dxa" w:w="16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ML learning job: process parameters vs downtime IDs</w:t>
            </w:r>
          </w:p>
          <w:p>
            <w:pPr>
              <w:spacing w:after="30" w:before="0"/>
            </w:pPr>
            <w:r>
              <w:rPr>
                <w:rFonts w:ascii="Arial" w:cs="Arial" w:eastAsia="Arial" w:hAnsi="Arial"/>
                <w:b w:val="false"/>
                <w:bCs w:val="false"/>
                <w:color w:val="375623"/>
                <w:sz w:val="16"/>
                <w:szCs w:val="16"/>
              </w:rPr>
              <w:t xml:space="preserve">▲ New Task</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Scheduled params vs downtime learning.</w:t>
            </w:r>
          </w:p>
        </w:tc>
        <w:tc>
          <w:tcPr>
            <w:tcW w:type="dxa" w:w="272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Create an identical scheduled pipeline to ML-01 but targeting downtime event types as the label target. For each downtime category with sufficient occurrence count, train a classifier that predicts the likelihood of that downtime type occurring given the preceding process parameter profile. Store results in ModelRegistry with job type MlParamsVsDowntime. This job is critical for plants where downtime prevention is a higher priority than defect reduction.</w:t>
            </w:r>
          </w:p>
        </w:tc>
        <w:tc>
          <w:tcPr>
            <w:tcW w:type="dxa" w:w="15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Job runs on schedule. Trained model per downtime type appears in ModelRegistry. JobDefinition status updates correctly.</w:t>
            </w:r>
          </w:p>
        </w:tc>
      </w:tr>
      <w:tr>
        <w:tc>
          <w:tcPr>
            <w:tcW w:type="dxa" w:w="4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375623"/>
                <w:sz w:val="18"/>
                <w:szCs w:val="18"/>
              </w:rPr>
              <w:t xml:space="preserve">ML-03</w:t>
            </w:r>
          </w:p>
        </w:tc>
        <w:tc>
          <w:tcPr>
            <w:tcW w:type="dxa" w:w="16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ML learning job: process parameters vs KPI values</w:t>
            </w:r>
          </w:p>
          <w:p>
            <w:pPr>
              <w:spacing w:after="30" w:before="0"/>
            </w:pPr>
            <w:r>
              <w:rPr>
                <w:rFonts w:ascii="Arial" w:cs="Arial" w:eastAsia="Arial" w:hAnsi="Arial"/>
                <w:b w:val="false"/>
                <w:bCs w:val="false"/>
                <w:color w:val="375623"/>
                <w:sz w:val="16"/>
                <w:szCs w:val="16"/>
              </w:rPr>
              <w:t xml:space="preserve">▲ New Task</w:t>
            </w:r>
          </w:p>
        </w:tc>
        <w:tc>
          <w:tcPr>
            <w:tcW w:type="dxa" w:w="68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30" w:before="0"/>
            </w:pPr>
            <w:r>
              <w:rPr>
                <w:rFonts w:ascii="Arial" w:cs="Arial" w:eastAsia="Arial" w:hAnsi="Arial"/>
                <w:b/>
                <w:bCs/>
                <w:color w:val="C55A11"/>
                <w:sz w:val="18"/>
                <w:szCs w:val="18"/>
              </w:rPr>
              <w:t xml:space="preserve">Important</w:t>
            </w:r>
          </w:p>
        </w:tc>
        <w:tc>
          <w:tcPr>
            <w:tcW w:type="dxa" w:w="6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Scheduled params vs KPI learning.</w:t>
            </w:r>
          </w:p>
        </w:tc>
        <w:tc>
          <w:tcPr>
            <w:tcW w:type="dxa" w:w="272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Create a scheduled regression-style learning job that trains models predicting KPI values (e.g., OEE, yield, scrap rate) from process parameter profiles. Unlike the defect and downtime jobs (classification), this job trains regression models. Store results in ModelRegistry with job type MlParamsVsKpis. The job requires that at least one KPI-type ParameterDefinition exists in the canonical model — it uses those as target variables.</w:t>
            </w:r>
          </w:p>
        </w:tc>
        <w:tc>
          <w:tcPr>
            <w:tcW w:type="dxa" w:w="15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Job runs on schedule for each KPI parameter definition with sufficient data. Regression model appears in ModelRegistry.</w:t>
            </w:r>
          </w:p>
        </w:tc>
      </w:tr>
      <w:tr>
        <w:tc>
          <w:tcPr>
            <w:tcW w:type="dxa" w:w="4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375623"/>
                <w:sz w:val="18"/>
                <w:szCs w:val="18"/>
              </w:rPr>
              <w:t xml:space="preserve">ML-04</w:t>
            </w:r>
          </w:p>
        </w:tc>
        <w:tc>
          <w:tcPr>
            <w:tcW w:type="dxa" w:w="16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Weekly full learning job</w:t>
            </w:r>
          </w:p>
          <w:p>
            <w:pPr>
              <w:spacing w:after="30" w:before="0"/>
            </w:pPr>
            <w:r>
              <w:rPr>
                <w:rFonts w:ascii="Arial" w:cs="Arial" w:eastAsia="Arial" w:hAnsi="Arial"/>
                <w:b w:val="false"/>
                <w:bCs w:val="false"/>
                <w:color w:val="375623"/>
                <w:sz w:val="16"/>
                <w:szCs w:val="16"/>
              </w:rPr>
              <w:t xml:space="preserve">▲ New Task</w:t>
            </w:r>
          </w:p>
        </w:tc>
        <w:tc>
          <w:tcPr>
            <w:tcW w:type="dxa" w:w="68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30" w:before="0"/>
            </w:pPr>
            <w:r>
              <w:rPr>
                <w:rFonts w:ascii="Arial" w:cs="Arial" w:eastAsia="Arial" w:hAnsi="Arial"/>
                <w:b/>
                <w:bCs/>
                <w:color w:val="C55A11"/>
                <w:sz w:val="18"/>
                <w:szCs w:val="18"/>
              </w:rPr>
              <w:t xml:space="preserve">Important</w:t>
            </w:r>
          </w:p>
        </w:tc>
        <w:tc>
          <w:tcPr>
            <w:tcW w:type="dxa" w:w="6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Comprehensive weekly retraining.</w:t>
            </w:r>
          </w:p>
        </w:tc>
        <w:tc>
          <w:tcPr>
            <w:tcW w:type="dxa" w:w="272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Create a weekly scheduled job that runs all three ML learning pipelines (ML-01, ML-02, ML-03) against the full available historical dataset, not just the recent training window used by the daily jobs. This job provides a thorough model refresh using all available historical evidence. It is expected to take significantly longer than the daily jobs — schedule it for a weekend night. Register as job type MlWeeklyFull. The user can configure the day and time from the Jobs Monitor page.</w:t>
            </w:r>
          </w:p>
        </w:tc>
        <w:tc>
          <w:tcPr>
            <w:tcW w:type="dxa" w:w="15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Weekly job triggers all three ML pipelines against full historical dataset. Completion is logged in JobDefinition. Duration is recorded for operational monitoring.</w:t>
            </w:r>
          </w:p>
        </w:tc>
      </w:tr>
    </w:tbl>
    <w:p>
      <w:pPr>
        <w:spacing w:after="0" w:before="80"/>
      </w:pPr>
      <w:r>
        <w:t xml:space="preserve"/>
      </w:r>
    </w:p>
    <w:p>
      <w:pPr>
        <w:pBdr>
          <w:top w:val="single" w:color="1F3864" w:sz="8"/>
          <w:bottom w:val="single" w:color="2E75B6" w:sz="4"/>
        </w:pBdr>
        <w:shd w:fill="DEEAF1" w:val="clear"/>
        <w:spacing w:after="0" w:before="360"/>
        <w:ind w:left="200"/>
      </w:pPr>
      <w:r>
        <w:rPr>
          <w:rFonts w:ascii="Arial" w:cs="Arial" w:eastAsia="Arial" w:hAnsi="Arial"/>
          <w:b/>
          <w:bCs/>
          <w:color w:val="1F3864"/>
          <w:sz w:val="28"/>
          <w:szCs w:val="28"/>
        </w:rPr>
        <w:t xml:space="preserve">Phase 10:  </w:t>
      </w:r>
      <w:r>
        <w:rPr>
          <w:rFonts w:ascii="Arial" w:cs="Arial" w:eastAsia="Arial" w:hAnsi="Arial"/>
          <w:b/>
          <w:bCs/>
          <w:color w:val="2E75B6"/>
          <w:sz w:val="28"/>
          <w:szCs w:val="28"/>
        </w:rPr>
        <w:t xml:space="preserve">ML Area UI — Correlation Page &amp; Suggestions</w:t>
      </w:r>
    </w:p>
    <w:p>
      <w:pPr>
        <w:shd w:fill="DEEAF1" w:val="clear"/>
        <w:spacing w:after="120" w:before="0"/>
        <w:ind w:left="200"/>
      </w:pPr>
      <w:r>
        <w:rPr>
          <w:rFonts w:ascii="Arial" w:cs="Arial" w:eastAsia="Arial" w:hAnsi="Arial"/>
          <w:b/>
          <w:bCs/>
          <w:color w:val="1F3864"/>
          <w:sz w:val="22"/>
          <w:szCs w:val="22"/>
        </w:rPr>
        <w:t xml:space="preserve">Commercial Gate: </w:t>
      </w:r>
      <w:r>
        <w:rPr>
          <w:rFonts w:ascii="Arial" w:cs="Arial" w:eastAsia="Arial" w:hAnsi="Arial"/>
          <w:color w:val="505050"/>
          <w:sz w:val="22"/>
          <w:szCs w:val="22"/>
        </w:rPr>
        <w:t xml:space="preserve">Stage 6 Gate — Vision §3.2–3.3</w:t>
      </w:r>
    </w:p>
    <w:p>
      <w:pPr>
        <w:spacing w:after="60" w:before="60"/>
        <w:jc w:val="both"/>
      </w:pPr>
      <w:r>
        <w:rPr>
          <w:rFonts w:ascii="Arial" w:cs="Arial" w:eastAsia="Arial" w:hAnsi="Arial"/>
          <w:b w:val="false"/>
          <w:bCs w:val="false"/>
          <w:color w:val="333333"/>
          <w:sz w:val="22"/>
          <w:szCs w:val="22"/>
        </w:rPr>
        <w:t xml:space="preserve">This phase delivers the user-facing ML intelligence features described in Vision §3.2 and §3.3. The ML Correlation Page transforms the existing correlation UI into a self-service ML investigation tool, where engineers create named inspection jobs, review results in dedicated tabs, and save jobs for periodic re-execution. The Suggestion and Recommendation page aggregates all ML learning outputs into actionable guidance.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00"/>
        <w:gridCol w:w="680"/>
        <w:gridCol w:w="680"/>
        <w:gridCol w:w="1700"/>
        <w:gridCol w:w="2720"/>
        <w:gridCol w:w="1500"/>
      </w:tblGrid>
      <w:tr>
        <w:tc>
          <w:tcPr>
            <w:tcW w:type="dxa" w:w="4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8"/>
                <w:szCs w:val="18"/>
              </w:rPr>
              <w:t xml:space="preserve">#</w:t>
            </w:r>
          </w:p>
        </w:tc>
        <w:tc>
          <w:tcPr>
            <w:tcW w:type="dxa" w:w="16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Task Name</w:t>
            </w:r>
          </w:p>
        </w:tc>
        <w:tc>
          <w:tcPr>
            <w:tcW w:type="dxa" w:w="6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8"/>
                <w:szCs w:val="18"/>
              </w:rPr>
              <w:t xml:space="preserve">Priority</w:t>
            </w:r>
          </w:p>
        </w:tc>
        <w:tc>
          <w:tcPr>
            <w:tcW w:type="dxa" w:w="6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8"/>
                <w:szCs w:val="18"/>
              </w:rPr>
              <w:t xml:space="preserve">Scope</w:t>
            </w:r>
          </w:p>
        </w:tc>
        <w:tc>
          <w:tcPr>
            <w:tcW w:type="dxa" w:w="17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Brief Description</w:t>
            </w:r>
          </w:p>
        </w:tc>
        <w:tc>
          <w:tcPr>
            <w:tcW w:type="dxa" w:w="272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Detailed Description &amp; Implementation Notes</w:t>
            </w:r>
          </w:p>
        </w:tc>
        <w:tc>
          <w:tcPr>
            <w:tcW w:type="dxa" w:w="15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Validation Criteria</w:t>
            </w:r>
          </w:p>
        </w:tc>
      </w:tr>
      <w:tr>
        <w:tc>
          <w:tcPr>
            <w:tcW w:type="dxa" w:w="4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375623"/>
                <w:sz w:val="18"/>
                <w:szCs w:val="18"/>
              </w:rPr>
              <w:t xml:space="preserve">MA-01</w:t>
            </w:r>
          </w:p>
        </w:tc>
        <w:tc>
          <w:tcPr>
            <w:tcW w:type="dxa" w:w="16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ML correlation inspection job entity</w:t>
            </w:r>
          </w:p>
          <w:p>
            <w:pPr>
              <w:spacing w:after="30" w:before="0"/>
            </w:pPr>
            <w:r>
              <w:rPr>
                <w:rFonts w:ascii="Arial" w:cs="Arial" w:eastAsia="Arial" w:hAnsi="Arial"/>
                <w:b w:val="false"/>
                <w:bCs w:val="false"/>
                <w:color w:val="375623"/>
                <w:sz w:val="16"/>
                <w:szCs w:val="16"/>
              </w:rPr>
              <w:t xml:space="preserve">▲ New Task</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Persist user-defined ML investigations.</w:t>
            </w:r>
          </w:p>
        </w:tc>
        <w:tc>
          <w:tcPr>
            <w:tcW w:type="dxa" w:w="272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Create an InspectionJob entity with fields: job name, target type (DefectType, DowntimeType, KPI), target ID (the specific defect catalog, downtime type, or KPI parameter definition ID), duration window (last 7 days, 30 days, 90 days, 1 year, or custom date range), job status (Created, Running, Completed, Failed), result summary JSON (top 10 parameters, confidence scores, model used), result page layout JSON (widget definitions for the result tab), created by user ID, last run timestamp, and periodic run expression (optional). Add migration.</w:t>
            </w:r>
          </w:p>
        </w:tc>
        <w:tc>
          <w:tcPr>
            <w:tcW w:type="dxa" w:w="15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InspectionJob records are created and persisted. Status transitions are correct. Result JSON is stored after completion.</w:t>
            </w:r>
          </w:p>
        </w:tc>
      </w:tr>
      <w:tr>
        <w:tc>
          <w:tcPr>
            <w:tcW w:type="dxa" w:w="4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375623"/>
                <w:sz w:val="18"/>
                <w:szCs w:val="18"/>
              </w:rPr>
              <w:t xml:space="preserve">MA-02</w:t>
            </w:r>
          </w:p>
        </w:tc>
        <w:tc>
          <w:tcPr>
            <w:tcW w:type="dxa" w:w="16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Inspection job execution service and endpoint</w:t>
            </w:r>
          </w:p>
          <w:p>
            <w:pPr>
              <w:spacing w:after="30" w:before="0"/>
            </w:pPr>
            <w:r>
              <w:rPr>
                <w:rFonts w:ascii="Arial" w:cs="Arial" w:eastAsia="Arial" w:hAnsi="Arial"/>
                <w:b w:val="false"/>
                <w:bCs w:val="false"/>
                <w:color w:val="375623"/>
                <w:sz w:val="16"/>
                <w:szCs w:val="16"/>
              </w:rPr>
              <w:t xml:space="preserve">▲ New Task</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Run ML investigation on demand.</w:t>
            </w:r>
          </w:p>
        </w:tc>
        <w:tc>
          <w:tcPr>
            <w:tcW w:type="dxa" w:w="272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Implement an InspectionJobExecutionService that: retrieves the relevant feature vectors and quality labels for the target and duration window, selects the most recently trained model from ModelRegistry for the target type and ID, runs inference across the feature vectors, ranks process parameters by their contribution magnitude, constructs a result widget layout (a ranked parameter influence bar chart, a time-series overlay of top 3 parameters vs target occurrence, and a contribution table), stores the result in the InspectionJob entity, and updates the job status. Add a POST /inspection-jobs endpoint for creation and a POST /inspection-jobs/{id}/run endpoint for execution.</w:t>
            </w:r>
          </w:p>
        </w:tc>
        <w:tc>
          <w:tcPr>
            <w:tcW w:type="dxa" w:w="15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Job runs end-to-end within 60 seconds for a 10k-row dataset. Result widgets are populated with correct parameter rankings.</w:t>
            </w:r>
          </w:p>
        </w:tc>
      </w:tr>
      <w:tr>
        <w:tc>
          <w:tcPr>
            <w:tcW w:type="dxa" w:w="4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375623"/>
                <w:sz w:val="18"/>
                <w:szCs w:val="18"/>
              </w:rPr>
              <w:t xml:space="preserve">MA-03</w:t>
            </w:r>
          </w:p>
        </w:tc>
        <w:tc>
          <w:tcPr>
            <w:tcW w:type="dxa" w:w="16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ML Correlation Page — inspection job tabs UI</w:t>
            </w:r>
          </w:p>
          <w:p>
            <w:pPr>
              <w:spacing w:after="30" w:before="0"/>
            </w:pPr>
            <w:r>
              <w:rPr>
                <w:rFonts w:ascii="Arial" w:cs="Arial" w:eastAsia="Arial" w:hAnsi="Arial"/>
                <w:b w:val="false"/>
                <w:bCs w:val="false"/>
                <w:color w:val="375623"/>
                <w:sz w:val="16"/>
                <w:szCs w:val="16"/>
              </w:rPr>
              <w:t xml:space="preserve">▲ New Task</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Frontend</w:t>
            </w:r>
          </w:p>
        </w:tc>
        <w:tc>
          <w:tcPr>
            <w:tcW w:type="dxa" w:w="17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User-directed ML investigation.</w:t>
            </w:r>
          </w:p>
        </w:tc>
        <w:tc>
          <w:tcPr>
            <w:tcW w:type="dxa" w:w="272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Replace or extend the existing CorrelationPage with an inspection-job-centric UI. The page shows: a 'New Inspection Job' button that opens a configuration panel (target type selector, target ID dropdown, duration window selector, job name input), a Run button that triggers the backend execution endpoint with status polling, and one tab per completed InspectionJob. Each tab shows the job name, target, duration, last-run time, and the result widgets (parameter influence chart, time-series overlay, contribution table). Tabs for running jobs show a progress spinner.</w:t>
            </w:r>
          </w:p>
        </w:tc>
        <w:tc>
          <w:tcPr>
            <w:tcW w:type="dxa" w:w="15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User creates an inspection job, runs it, and sees the result tab within 60 seconds. Tab persists after browser refresh.</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77</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Upgrade correlation UI with genealogy context</w:t>
            </w:r>
          </w:p>
        </w:tc>
        <w:tc>
          <w:tcPr>
            <w:tcW w:type="dxa" w:w="68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30" w:before="0"/>
            </w:pPr>
            <w:r>
              <w:rPr>
                <w:rFonts w:ascii="Arial" w:cs="Arial" w:eastAsia="Arial" w:hAnsi="Arial"/>
                <w:b/>
                <w:bCs/>
                <w:color w:val="C55A11"/>
                <w:sz w:val="18"/>
                <w:szCs w:val="18"/>
              </w:rPr>
              <w:t xml:space="preserve">Important</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Frontend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Upstream/downstream correlation context.</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Display genealogy link mode, parent material summary, child material summary, process step depth, and upstream/downstream parameter contribution breakdown in correlation results. A material's upstream parameters (from feeding process steps) may be the actual root cause even when the downstream parameters show the strongest statistical correlation. Making this distinction visible to the engineer is a key differentiator from simple correlation analytics.</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Correlation results show genealogy-linked upstream and downstream material context. Process step depth is indicated.</w:t>
            </w:r>
          </w:p>
        </w:tc>
      </w:tr>
      <w:tr>
        <w:tc>
          <w:tcPr>
            <w:tcW w:type="dxa" w:w="4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375623"/>
                <w:sz w:val="18"/>
                <w:szCs w:val="18"/>
              </w:rPr>
              <w:t xml:space="preserve">MA-04</w:t>
            </w:r>
          </w:p>
        </w:tc>
        <w:tc>
          <w:tcPr>
            <w:tcW w:type="dxa" w:w="16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Inspection job save and periodic run configuration</w:t>
            </w:r>
          </w:p>
          <w:p>
            <w:pPr>
              <w:spacing w:after="30" w:before="0"/>
            </w:pPr>
            <w:r>
              <w:rPr>
                <w:rFonts w:ascii="Arial" w:cs="Arial" w:eastAsia="Arial" w:hAnsi="Arial"/>
                <w:b w:val="false"/>
                <w:bCs w:val="false"/>
                <w:color w:val="375623"/>
                <w:sz w:val="16"/>
                <w:szCs w:val="16"/>
              </w:rPr>
              <w:t xml:space="preserve">▲ New Task</w:t>
            </w:r>
          </w:p>
        </w:tc>
        <w:tc>
          <w:tcPr>
            <w:tcW w:type="dxa" w:w="68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30" w:before="0"/>
            </w:pPr>
            <w:r>
              <w:rPr>
                <w:rFonts w:ascii="Arial" w:cs="Arial" w:eastAsia="Arial" w:hAnsi="Arial"/>
                <w:b/>
                <w:bCs/>
                <w:color w:val="C55A11"/>
                <w:sz w:val="18"/>
                <w:szCs w:val="18"/>
              </w:rPr>
              <w:t xml:space="preserve">Important</w:t>
            </w:r>
          </w:p>
        </w:tc>
        <w:tc>
          <w:tcPr>
            <w:tcW w:type="dxa" w:w="6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Both</w:t>
            </w:r>
          </w:p>
        </w:tc>
        <w:tc>
          <w:tcPr>
            <w:tcW w:type="dxa" w:w="17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Self-service continuous monitoring.</w:t>
            </w:r>
          </w:p>
        </w:tc>
        <w:tc>
          <w:tcPr>
            <w:tcW w:type="dxa" w:w="272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Add a Save button to each inspection job tab that persists the job and its result layout to the database. Add a Periodic Run configuration option (every hour, every day, every week, custom cron) that registers the inspection job as a scheduled run in the JobDefinition table. On each scheduled run, the result tab is refreshed with the latest results. The job appears in the Jobs Monitor with its schedule, last-run time, and status. This converts a one-time investigation into a continuous monitoring subscription.</w:t>
            </w:r>
          </w:p>
        </w:tc>
        <w:tc>
          <w:tcPr>
            <w:tcW w:type="dxa" w:w="15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Saved inspection job appears in Jobs Monitor. Periodic run executes on schedule and updates the result tab. Previous result is preserved until new run completes.</w:t>
            </w:r>
          </w:p>
        </w:tc>
      </w:tr>
      <w:tr>
        <w:tc>
          <w:tcPr>
            <w:tcW w:type="dxa" w:w="4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375623"/>
                <w:sz w:val="18"/>
                <w:szCs w:val="18"/>
              </w:rPr>
              <w:t xml:space="preserve">MA-05</w:t>
            </w:r>
          </w:p>
        </w:tc>
        <w:tc>
          <w:tcPr>
            <w:tcW w:type="dxa" w:w="16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Suggestion and Recommendation page</w:t>
            </w:r>
          </w:p>
          <w:p>
            <w:pPr>
              <w:spacing w:after="30" w:before="0"/>
            </w:pPr>
            <w:r>
              <w:rPr>
                <w:rFonts w:ascii="Arial" w:cs="Arial" w:eastAsia="Arial" w:hAnsi="Arial"/>
                <w:b w:val="false"/>
                <w:bCs w:val="false"/>
                <w:color w:val="375623"/>
                <w:sz w:val="16"/>
                <w:szCs w:val="16"/>
              </w:rPr>
              <w:t xml:space="preserve">▲ New Task</w:t>
            </w:r>
          </w:p>
        </w:tc>
        <w:tc>
          <w:tcPr>
            <w:tcW w:type="dxa" w:w="68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30" w:before="0"/>
            </w:pPr>
            <w:r>
              <w:rPr>
                <w:rFonts w:ascii="Arial" w:cs="Arial" w:eastAsia="Arial" w:hAnsi="Arial"/>
                <w:b/>
                <w:bCs/>
                <w:color w:val="C55A11"/>
                <w:sz w:val="18"/>
                <w:szCs w:val="18"/>
              </w:rPr>
              <w:t xml:space="preserve">Important</w:t>
            </w:r>
          </w:p>
        </w:tc>
        <w:tc>
          <w:tcPr>
            <w:tcW w:type="dxa" w:w="68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Both</w:t>
            </w:r>
          </w:p>
        </w:tc>
        <w:tc>
          <w:tcPr>
            <w:tcW w:type="dxa" w:w="17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AI-assistant-style process intelligence.</w:t>
            </w:r>
          </w:p>
        </w:tc>
        <w:tc>
          <w:tcPr>
            <w:tcW w:type="dxa" w:w="272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Create a new Suggestion and Recommendation page that aggregates the outputs of all ML learning jobs (ML-01 to ML-04) and InspectionJob results into a ranked list of actionable recommendations. Each recommendation includes: recommendation title (e.g., 'Reduce parameter X variance on Equipment Y'), supporting evidence (which ML job and model, confidence score, number of correlated events), affected defect/downtime/KPI target, suggested action type (Control Limit Review, Maintenance Check, Process Parameter Adjustment, Data Quality Investigation), and time sensitivity (Immediate, Next Shift, Next Week). The page refreshes automatically after each ML learning cycle. Allow the user to mark a recommendation as Acknowledged, In Progress, or Dismissed.</w:t>
            </w:r>
          </w:p>
        </w:tc>
        <w:tc>
          <w:tcPr>
            <w:tcW w:type="dxa" w:w="1500"/>
            <w:tcBorders>
              <w:top w:val="single" w:color="AAAAAA" w:sz="4"/>
              <w:left w:val="single" w:color="AAAAAA" w:sz="4"/>
              <w:bottom w:val="single" w:color="AAAAAA" w:sz="4"/>
              <w:right w:val="single" w:color="AAAAAA" w:sz="4"/>
            </w:tcBorders>
            <w:shd w:fill="E2EFDA"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Recommendation page shows at least 5 ranked recommendations after ML jobs complete. Recommendations refresh after new learning cycle. User actions (Acknowledge, Dismiss) persist.</w:t>
            </w:r>
          </w:p>
        </w:tc>
      </w:tr>
    </w:tbl>
    <w:p>
      <w:pPr>
        <w:spacing w:after="0" w:before="80"/>
      </w:pPr>
      <w:r>
        <w:t xml:space="preserve"/>
      </w:r>
    </w:p>
    <w:p>
      <w:pPr>
        <w:pBdr>
          <w:top w:val="single" w:color="1F3864" w:sz="8"/>
          <w:bottom w:val="single" w:color="2E75B6" w:sz="4"/>
        </w:pBdr>
        <w:shd w:fill="DEEAF1" w:val="clear"/>
        <w:spacing w:after="0" w:before="360"/>
        <w:ind w:left="200"/>
      </w:pPr>
      <w:r>
        <w:rPr>
          <w:rFonts w:ascii="Arial" w:cs="Arial" w:eastAsia="Arial" w:hAnsi="Arial"/>
          <w:b/>
          <w:bCs/>
          <w:color w:val="1F3864"/>
          <w:sz w:val="28"/>
          <w:szCs w:val="28"/>
        </w:rPr>
        <w:t xml:space="preserve">Phase 11:  </w:t>
      </w:r>
      <w:r>
        <w:rPr>
          <w:rFonts w:ascii="Arial" w:cs="Arial" w:eastAsia="Arial" w:hAnsi="Arial"/>
          <w:b/>
          <w:bCs/>
          <w:color w:val="2E75B6"/>
          <w:sz w:val="28"/>
          <w:szCs w:val="28"/>
        </w:rPr>
        <w:t xml:space="preserve">Readiness &amp; Reporting</w:t>
      </w:r>
    </w:p>
    <w:p>
      <w:pPr>
        <w:shd w:fill="DEEAF1" w:val="clear"/>
        <w:spacing w:after="120" w:before="0"/>
        <w:ind w:left="200"/>
      </w:pPr>
      <w:r>
        <w:rPr>
          <w:rFonts w:ascii="Arial" w:cs="Arial" w:eastAsia="Arial" w:hAnsi="Arial"/>
          <w:b/>
          <w:bCs/>
          <w:color w:val="1F3864"/>
          <w:sz w:val="22"/>
          <w:szCs w:val="22"/>
        </w:rPr>
        <w:t xml:space="preserve">Commercial Gate: </w:t>
      </w:r>
      <w:r>
        <w:rPr>
          <w:rFonts w:ascii="Arial" w:cs="Arial" w:eastAsia="Arial" w:hAnsi="Arial"/>
          <w:color w:val="505050"/>
          <w:sz w:val="22"/>
          <w:szCs w:val="22"/>
        </w:rPr>
        <w:t xml:space="preserve">Stage 4 Gate</w:t>
      </w:r>
    </w:p>
    <w:p>
      <w:pPr>
        <w:spacing w:after="60" w:before="60"/>
        <w:jc w:val="both"/>
      </w:pPr>
      <w:r>
        <w:rPr>
          <w:rFonts w:ascii="Arial" w:cs="Arial" w:eastAsia="Arial" w:hAnsi="Arial"/>
          <w:b w:val="false"/>
          <w:bCs w:val="false"/>
          <w:color w:val="333333"/>
          <w:sz w:val="22"/>
          <w:szCs w:val="22"/>
        </w:rPr>
        <w:t xml:space="preserve">This phase upgrades the readiness scoring system into a customer-grade assessment product and enhances the investigation report and PDF export for professional delivery. These capabilities enable the paid readiness assessment commercial stage.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00"/>
        <w:gridCol w:w="680"/>
        <w:gridCol w:w="680"/>
        <w:gridCol w:w="1700"/>
        <w:gridCol w:w="2720"/>
        <w:gridCol w:w="1500"/>
      </w:tblGrid>
      <w:tr>
        <w:tc>
          <w:tcPr>
            <w:tcW w:type="dxa" w:w="4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8"/>
                <w:szCs w:val="18"/>
              </w:rPr>
              <w:t xml:space="preserve">#</w:t>
            </w:r>
          </w:p>
        </w:tc>
        <w:tc>
          <w:tcPr>
            <w:tcW w:type="dxa" w:w="16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Task Name</w:t>
            </w:r>
          </w:p>
        </w:tc>
        <w:tc>
          <w:tcPr>
            <w:tcW w:type="dxa" w:w="6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8"/>
                <w:szCs w:val="18"/>
              </w:rPr>
              <w:t xml:space="preserve">Priority</w:t>
            </w:r>
          </w:p>
        </w:tc>
        <w:tc>
          <w:tcPr>
            <w:tcW w:type="dxa" w:w="6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8"/>
                <w:szCs w:val="18"/>
              </w:rPr>
              <w:t xml:space="preserve">Scope</w:t>
            </w:r>
          </w:p>
        </w:tc>
        <w:tc>
          <w:tcPr>
            <w:tcW w:type="dxa" w:w="17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Brief Description</w:t>
            </w:r>
          </w:p>
        </w:tc>
        <w:tc>
          <w:tcPr>
            <w:tcW w:type="dxa" w:w="272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Detailed Description &amp; Implementation Notes</w:t>
            </w:r>
          </w:p>
        </w:tc>
        <w:tc>
          <w:tcPr>
            <w:tcW w:type="dxa" w:w="15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Validation Criteria</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72</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Upgrade readiness scoring — dimension level</w:t>
            </w:r>
          </w:p>
        </w:tc>
        <w:tc>
          <w:tcPr>
            <w:tcW w:type="dxa" w:w="68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30" w:before="0"/>
            </w:pPr>
            <w:r>
              <w:rPr>
                <w:rFonts w:ascii="Arial" w:cs="Arial" w:eastAsia="Arial" w:hAnsi="Arial"/>
                <w:b/>
                <w:bCs/>
                <w:color w:val="C55A11"/>
                <w:sz w:val="18"/>
                <w:szCs w:val="18"/>
              </w:rPr>
              <w:t xml:space="preserve">Important</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Detailed readiness dimensions.</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Upgrade ApplicationReadinessService to score readiness across seven distinct dimensions: (1) Source Availability — are connection profiles configured and at least one import succeeded? (2) Schema Completeness — are source datasets discovered and field metadata populated? (3) Mapping Coverage — are required canonical entity fields mapped? (4) Genealogy Linkage — do material units have upstream/downstream genealogy edges? (5) Data Quality — what is the data quality issue rate? (6) Correlation Readiness — is there sufficient parameter and quality event data for correlation? (7) Prediction Readiness — is there sufficient training data for ML models? Each dimension returns a score (0–100) and a list of specific reasons.</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API returns seven dimension scores. Each score includes at least one specific reason. Scores change correctly when data is added.</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73</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commercial readiness report endpoint</w:t>
            </w:r>
          </w:p>
        </w:tc>
        <w:tc>
          <w:tcPr>
            <w:tcW w:type="dxa" w:w="68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30" w:before="0"/>
            </w:pPr>
            <w:r>
              <w:rPr>
                <w:rFonts w:ascii="Arial" w:cs="Arial" w:eastAsia="Arial" w:hAnsi="Arial"/>
                <w:b/>
                <w:bCs/>
                <w:color w:val="C55A11"/>
                <w:sz w:val="18"/>
                <w:szCs w:val="18"/>
              </w:rPr>
              <w:t xml:space="preserve">Important</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Package readiness for customer delivery.</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Create a POST /readiness/report endpoint that generates a structured readiness report containing: executive summary paragraph, per-dimension score with findings and blockers, overall pilot feasibility score (weighted composite of dimension scores), recommended next actions ranked by priority, estimated effort for each blocker, and a go/no-go recommendation for each of three pilot scope options (Minimal: one route, one defect type; Standard: one plant area, three defect types; Full: complete plant, all defect types).</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Readiness report endpoint returns all sections with coherent content. Go/no-go recommendations are consistent with dimension scores.</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74</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readiness assessment PDF export</w:t>
            </w:r>
          </w:p>
        </w:tc>
        <w:tc>
          <w:tcPr>
            <w:tcW w:type="dxa" w:w="68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30" w:before="0"/>
            </w:pPr>
            <w:r>
              <w:rPr>
                <w:rFonts w:ascii="Arial" w:cs="Arial" w:eastAsia="Arial" w:hAnsi="Arial"/>
                <w:b/>
                <w:bCs/>
                <w:color w:val="C55A11"/>
                <w:sz w:val="18"/>
                <w:szCs w:val="18"/>
              </w:rPr>
              <w:t xml:space="preserve">Important</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Customer-grade readiness report.</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Export the readiness report as a formatted PDF with: a cover page (customer name placeholder, assessment date, consultant name placeholder), an executive summary section with color-coded dimension score cards, a detailed findings section with tables for blockers and next actions, a pilot feasibility matrix, and a footer with a disclaimer. Use the same PDF generation library as the investigation report. The PDF must be readable without the application — it should be a standalone deliverable.</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PDF is generated correctly. All sections are present and readable. The document is suitable for delivery to a customer.</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75</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Upgrade material investigation report — full context</w:t>
            </w:r>
          </w:p>
        </w:tc>
        <w:tc>
          <w:tcPr>
            <w:tcW w:type="dxa" w:w="68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30" w:before="0"/>
            </w:pPr>
            <w:r>
              <w:rPr>
                <w:rFonts w:ascii="Arial" w:cs="Arial" w:eastAsia="Arial" w:hAnsi="Arial"/>
                <w:b/>
                <w:bCs/>
                <w:color w:val="C55A11"/>
                <w:sz w:val="18"/>
                <w:szCs w:val="18"/>
              </w:rPr>
              <w:t xml:space="preserve">Important</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Both</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Comprehensive investigation document.</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Extend the investigation report to include: material genealogy tree (upstream and downstream, with process step labels), process timeline (all process step executions in chronological order with parameter summaries), process parameter values (all observations with out-of-window highlighting based on ParameterWindow), risk score contributors (from RiskScore.Explanation JSON), quality decisions (from QualityDecision entity), inspection results (from InspectionResult entity), and data quality issues (from DataQualityIssue entity). Each section must be clearly delimited with a section header and page break in the PDF.</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Investigation report PDF includes all listed sections. Out-of-window parameters are highlighted. Genealogy section shows correct parent/child links.</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76</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Upgrade PDF export formatting — customer grade</w:t>
            </w:r>
          </w:p>
        </w:tc>
        <w:tc>
          <w:tcPr>
            <w:tcW w:type="dxa" w:w="68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30" w:before="0"/>
            </w:pPr>
            <w:r>
              <w:rPr>
                <w:rFonts w:ascii="Arial" w:cs="Arial" w:eastAsia="Arial" w:hAnsi="Arial"/>
                <w:b/>
                <w:bCs/>
                <w:color w:val="C55A11"/>
                <w:sz w:val="18"/>
                <w:szCs w:val="18"/>
              </w:rPr>
              <w:t xml:space="preserve">Important</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Professional PDF output.</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Replace the current simple PDF output with a fully formatted layout: brand color header bar on each page, section titles with a dark blue background and white text, data tables with alternating row shading, a right-aligned page number and generation timestamp in the footer, a disclaimer section at the end, and consistent font sizes (title 14pt, body 10pt, caption 9pt). All numeric values must be formatted with locale-appropriate decimal separators and units.</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PDF output is visually professional and consistent across all sections. Reviewed and approved by a non-technical stakeholder.</w:t>
            </w:r>
          </w:p>
        </w:tc>
      </w:tr>
    </w:tbl>
    <w:p>
      <w:pPr>
        <w:spacing w:after="0" w:before="80"/>
      </w:pPr>
      <w:r>
        <w:t xml:space="preserve"/>
      </w:r>
    </w:p>
    <w:p>
      <w:pPr>
        <w:pBdr>
          <w:top w:val="single" w:color="1F3864" w:sz="8"/>
          <w:bottom w:val="single" w:color="2E75B6" w:sz="4"/>
        </w:pBdr>
        <w:shd w:fill="DEEAF1" w:val="clear"/>
        <w:spacing w:after="0" w:before="360"/>
        <w:ind w:left="200"/>
      </w:pPr>
      <w:r>
        <w:rPr>
          <w:rFonts w:ascii="Arial" w:cs="Arial" w:eastAsia="Arial" w:hAnsi="Arial"/>
          <w:b/>
          <w:bCs/>
          <w:color w:val="1F3864"/>
          <w:sz w:val="28"/>
          <w:szCs w:val="28"/>
        </w:rPr>
        <w:t xml:space="preserve">Phase 12:  </w:t>
      </w:r>
      <w:r>
        <w:rPr>
          <w:rFonts w:ascii="Arial" w:cs="Arial" w:eastAsia="Arial" w:hAnsi="Arial"/>
          <w:b/>
          <w:bCs/>
          <w:color w:val="2E75B6"/>
          <w:sz w:val="28"/>
          <w:szCs w:val="28"/>
        </w:rPr>
        <w:t xml:space="preserve">Security</w:t>
      </w:r>
    </w:p>
    <w:p>
      <w:pPr>
        <w:shd w:fill="DEEAF1" w:val="clear"/>
        <w:spacing w:after="120" w:before="0"/>
        <w:ind w:left="200"/>
      </w:pPr>
      <w:r>
        <w:rPr>
          <w:rFonts w:ascii="Arial" w:cs="Arial" w:eastAsia="Arial" w:hAnsi="Arial"/>
          <w:b/>
          <w:bCs/>
          <w:color w:val="1F3864"/>
          <w:sz w:val="22"/>
          <w:szCs w:val="22"/>
        </w:rPr>
        <w:t xml:space="preserve">Commercial Gate: </w:t>
      </w:r>
      <w:r>
        <w:rPr>
          <w:rFonts w:ascii="Arial" w:cs="Arial" w:eastAsia="Arial" w:hAnsi="Arial"/>
          <w:color w:val="505050"/>
          <w:sz w:val="22"/>
          <w:szCs w:val="22"/>
        </w:rPr>
        <w:t xml:space="preserve">Stage 5 Gate — Mandatory Before Any Pilot</w:t>
      </w:r>
    </w:p>
    <w:p>
      <w:pPr>
        <w:spacing w:after="60" w:before="60"/>
        <w:jc w:val="both"/>
      </w:pPr>
      <w:r>
        <w:rPr>
          <w:rFonts w:ascii="Arial" w:cs="Arial" w:eastAsia="Arial" w:hAnsi="Arial"/>
          <w:b w:val="false"/>
          <w:bCs w:val="false"/>
          <w:color w:val="333333"/>
          <w:sz w:val="22"/>
          <w:szCs w:val="22"/>
        </w:rPr>
        <w:t xml:space="preserve">All security tasks in this phase are mandatory before any pilot with customer data begins. No shortcuts are acceptable. An unsecured application with customer data is a legal, reputational, and commercial risk. Authentication, RBAC, audit logging, and secure credential handling must all be in place and tested before the first pilot connection is established.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00"/>
        <w:gridCol w:w="680"/>
        <w:gridCol w:w="680"/>
        <w:gridCol w:w="1700"/>
        <w:gridCol w:w="2720"/>
        <w:gridCol w:w="1500"/>
      </w:tblGrid>
      <w:tr>
        <w:tc>
          <w:tcPr>
            <w:tcW w:type="dxa" w:w="4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8"/>
                <w:szCs w:val="18"/>
              </w:rPr>
              <w:t xml:space="preserve">#</w:t>
            </w:r>
          </w:p>
        </w:tc>
        <w:tc>
          <w:tcPr>
            <w:tcW w:type="dxa" w:w="16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Task Name</w:t>
            </w:r>
          </w:p>
        </w:tc>
        <w:tc>
          <w:tcPr>
            <w:tcW w:type="dxa" w:w="6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8"/>
                <w:szCs w:val="18"/>
              </w:rPr>
              <w:t xml:space="preserve">Priority</w:t>
            </w:r>
          </w:p>
        </w:tc>
        <w:tc>
          <w:tcPr>
            <w:tcW w:type="dxa" w:w="6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8"/>
                <w:szCs w:val="18"/>
              </w:rPr>
              <w:t xml:space="preserve">Scope</w:t>
            </w:r>
          </w:p>
        </w:tc>
        <w:tc>
          <w:tcPr>
            <w:tcW w:type="dxa" w:w="17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Brief Description</w:t>
            </w:r>
          </w:p>
        </w:tc>
        <w:tc>
          <w:tcPr>
            <w:tcW w:type="dxa" w:w="272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Detailed Description &amp; Implementation Notes</w:t>
            </w:r>
          </w:p>
        </w:tc>
        <w:tc>
          <w:tcPr>
            <w:tcW w:type="dxa" w:w="15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Validation Criteria</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78</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authentication foundation — JWT/Identity</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Both</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Protect all APIs.</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Implement ASP.NET Core Identity or a JWT-based authentication middleware. Require a valid JWT bearer token on all non-public endpoints (health endpoint remains public). Add login, refresh token, and logout endpoints. Store user accounts with hashed passwords using a secure algorithm (bcrypt or Argon2). Add the user ID claim to all request contexts so that audit logging and ownership checks can use it. The frontend must store the JWT securely (httpOnly cookie or secure localStorage) and include it in all API requests.</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All API endpoints except /health require a valid JWT. Expired tokens return 401. Login endpoint works.</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79</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RBAC roles and permission policies</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Both</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Restrict sensitive actions by role.</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Define four roles: Admin (full access to all Admin area operations, user management, system configuration), DataManager (can manage source connections, mappings, and imports; cannot manage users or system configuration), Engineer (can create and manage dashboards, widgets, pages, and ML inspection jobs; cannot manage sources or mappings), and Viewer (read-only access to dashboards, reports, and recommendations; cannot modify anything). Implement ASP.NET Core authorization policies that enforce these roles on each endpoint. The Admin role must be separately assignable from other roles.</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Each role has the correct access. Viewer cannot POST to any mutating endpoint. Admin-only endpoints reject DataManager, Engineer, and Viewer tokens.</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80</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tenant / customer / site isolation</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Both</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Prepare for multi-customer deployment.</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Add a tenant/site ID to all domain entities that require isolation: MaterialUnit, ParameterObservation, QualityEvent, DashboardDefinition, PageDefinition, InspectionJob, ConnectionProfile, MappingDefinition, and JobDefinition. Implement a TenantContext middleware that reads the tenant ID from the JWT claims and injects it into all queries and write operations. Ensure that no query can return data across tenant boundaries. Design the model so that adding multi-tenancy to the database layer in the future is straightforward.</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All listed entities include a tenant/site ID. Queries filtered by tenant return only the correct tenant's data. Cross-tenant data access is impossible.</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81</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audit log entity and service</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Track all critical operations.</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Create an AuditLog entity with fields: timestamp, user ID, user role, tenant ID, action type (enum: Create, Update, Delete, Activate, Deactivate, Execute, Login, Logout, Export), resource type, resource ID, before-state JSON (nullable), after-state JSON (nullable), IP address, and request correlation ID. Implement an IAuditService that creates audit records for: all ConnectionProfile and MappingDefinition changes, all import batch executions, all dashboard/widget/page create/update/delete operations, all InspectionJob create/run operations, all security-related actions (login, logout, password change), and all report exports.</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All listed action types produce audit records. Before/after state JSON is populated for update operations. Audit records are immutable (no update or delete endpoints).</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82</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data retention rules and enforcement job</w:t>
            </w:r>
          </w:p>
        </w:tc>
        <w:tc>
          <w:tcPr>
            <w:tcW w:type="dxa" w:w="68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30" w:before="0"/>
            </w:pPr>
            <w:r>
              <w:rPr>
                <w:rFonts w:ascii="Arial" w:cs="Arial" w:eastAsia="Arial" w:hAnsi="Arial"/>
                <w:b/>
                <w:bCs/>
                <w:color w:val="C55A11"/>
                <w:sz w:val="18"/>
                <w:szCs w:val="18"/>
              </w:rPr>
              <w:t xml:space="preserve">Important</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Control storage growth.</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Create a DataRetentionPolicy configuration entity that specifies retention windows for: staging records (default 90 days), failed staging rows (default 180 days for investigation), audit log records (default 2 years), investigation reports (default 5 years), risk scores (default 1 year), and data quality issues (default 180 days). Add a Worker job that runs nightly and deletes records beyond their retention window. Retention policy must be configurable per tenant.</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Retention job deletes records beyond their configured window. Deletion is logged in the audit log. Policy is configurable without code changes.</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83</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secure secret resolution service</w:t>
            </w:r>
          </w:p>
        </w:tc>
        <w:tc>
          <w:tcPr>
            <w:tcW w:type="dxa" w:w="680"/>
            <w:tcBorders>
              <w:top w:val="single" w:color="AAAAAA" w:sz="4"/>
              <w:left w:val="single" w:color="AAAAAA" w:sz="4"/>
              <w:bottom w:val="single" w:color="AAAAAA" w:sz="4"/>
              <w:right w:val="single" w:color="AAAAAA" w:sz="4"/>
            </w:tcBorders>
            <w:shd w:fill="FCE4D6" w:val="clear"/>
            <w:tcMar>
              <w:top w:type="dxa" w:w="60"/>
              <w:left w:type="dxa" w:w="110"/>
              <w:bottom w:type="dxa" w:w="60"/>
              <w:right w:type="dxa" w:w="110"/>
            </w:tcMar>
            <w:vAlign w:val="top"/>
          </w:tcPr>
          <w:p>
            <w:pPr>
              <w:spacing w:after="30" w:before="0"/>
            </w:pPr>
            <w:r>
              <w:rPr>
                <w:rFonts w:ascii="Arial" w:cs="Arial" w:eastAsia="Arial" w:hAnsi="Arial"/>
                <w:b/>
                <w:bCs/>
                <w:color w:val="C00000"/>
                <w:sz w:val="18"/>
                <w:szCs w:val="18"/>
              </w:rPr>
              <w:t xml:space="preserve">Critical</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Resolve credentials safely.</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Finalize the SecretReference resolution strategy using a ISecretResolver interface with implementations for: EnvironmentVariableSecretResolver (resolves env:KEY pattern from environment variables), DockerSecretResolver (resolves docker-secret:NAME pattern from /run/secrets/ files), and a PlaceholderVaultResolver stub for future vault integration. Ensure that resolved secret values are never written to application logs, never returned in API responses, and never stored in database columns beyond the SecretReference key string. Add a startup health check that verifies all configured SecretReferences resolve successfully.</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All three resolver types work. Resolved values never appear in logs or API responses. Startup health check fails clearly if any reference is unresolvable.</w:t>
            </w:r>
          </w:p>
        </w:tc>
      </w:tr>
    </w:tbl>
    <w:p>
      <w:pPr>
        <w:spacing w:after="0" w:before="80"/>
      </w:pPr>
      <w:r>
        <w:t xml:space="preserve"/>
      </w:r>
    </w:p>
    <w:p>
      <w:pPr>
        <w:pBdr>
          <w:top w:val="single" w:color="1F3864" w:sz="8"/>
          <w:bottom w:val="single" w:color="2E75B6" w:sz="4"/>
        </w:pBdr>
        <w:shd w:fill="DEEAF1" w:val="clear"/>
        <w:spacing w:after="0" w:before="360"/>
        <w:ind w:left="200"/>
      </w:pPr>
      <w:r>
        <w:rPr>
          <w:rFonts w:ascii="Arial" w:cs="Arial" w:eastAsia="Arial" w:hAnsi="Arial"/>
          <w:b/>
          <w:bCs/>
          <w:color w:val="1F3864"/>
          <w:sz w:val="28"/>
          <w:szCs w:val="28"/>
        </w:rPr>
        <w:t xml:space="preserve">Phase 13:  </w:t>
      </w:r>
      <w:r>
        <w:rPr>
          <w:rFonts w:ascii="Arial" w:cs="Arial" w:eastAsia="Arial" w:hAnsi="Arial"/>
          <w:b/>
          <w:bCs/>
          <w:color w:val="2E75B6"/>
          <w:sz w:val="28"/>
          <w:szCs w:val="28"/>
        </w:rPr>
        <w:t xml:space="preserve">Testing, DevOps &amp; Sales Readiness</w:t>
      </w:r>
    </w:p>
    <w:p>
      <w:pPr>
        <w:shd w:fill="DEEAF1" w:val="clear"/>
        <w:spacing w:after="120" w:before="0"/>
        <w:ind w:left="200"/>
      </w:pPr>
      <w:r>
        <w:rPr>
          <w:rFonts w:ascii="Arial" w:cs="Arial" w:eastAsia="Arial" w:hAnsi="Arial"/>
          <w:b/>
          <w:bCs/>
          <w:color w:val="1F3864"/>
          <w:sz w:val="22"/>
          <w:szCs w:val="22"/>
        </w:rPr>
        <w:t xml:space="preserve">Commercial Gate: </w:t>
      </w:r>
      <w:r>
        <w:rPr>
          <w:rFonts w:ascii="Arial" w:cs="Arial" w:eastAsia="Arial" w:hAnsi="Arial"/>
          <w:color w:val="505050"/>
          <w:sz w:val="22"/>
          <w:szCs w:val="22"/>
        </w:rPr>
        <w:t xml:space="preserve">Stage 5–6</w:t>
      </w:r>
    </w:p>
    <w:p>
      <w:pPr>
        <w:spacing w:after="60" w:before="60"/>
        <w:jc w:val="both"/>
      </w:pPr>
      <w:r>
        <w:rPr>
          <w:rFonts w:ascii="Arial" w:cs="Arial" w:eastAsia="Arial" w:hAnsi="Arial"/>
          <w:b w:val="false"/>
          <w:bCs w:val="false"/>
          <w:color w:val="333333"/>
          <w:sz w:val="22"/>
          <w:szCs w:val="22"/>
        </w:rPr>
        <w:t xml:space="preserve">This final phase establishes testing coverage, CI/CD automation, and the sales readiness materials required for Stage 5 and Stage 6. These tasks ensure the platform is defensible in a technical due diligence review, that demos are repeatable, and that the commercial team has everything needed for broader market engagement.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00"/>
        <w:gridCol w:w="680"/>
        <w:gridCol w:w="680"/>
        <w:gridCol w:w="1700"/>
        <w:gridCol w:w="2720"/>
        <w:gridCol w:w="1500"/>
      </w:tblGrid>
      <w:tr>
        <w:tc>
          <w:tcPr>
            <w:tcW w:type="dxa" w:w="4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8"/>
                <w:szCs w:val="18"/>
              </w:rPr>
              <w:t xml:space="preserve">#</w:t>
            </w:r>
          </w:p>
        </w:tc>
        <w:tc>
          <w:tcPr>
            <w:tcW w:type="dxa" w:w="16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Task Name</w:t>
            </w:r>
          </w:p>
        </w:tc>
        <w:tc>
          <w:tcPr>
            <w:tcW w:type="dxa" w:w="6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8"/>
                <w:szCs w:val="18"/>
              </w:rPr>
              <w:t xml:space="preserve">Priority</w:t>
            </w:r>
          </w:p>
        </w:tc>
        <w:tc>
          <w:tcPr>
            <w:tcW w:type="dxa" w:w="68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center"/>
            </w:pPr>
            <w:r>
              <w:rPr>
                <w:rFonts w:ascii="Arial" w:cs="Arial" w:eastAsia="Arial" w:hAnsi="Arial"/>
                <w:b/>
                <w:bCs/>
                <w:color w:val="FFFFFF"/>
                <w:sz w:val="18"/>
                <w:szCs w:val="18"/>
              </w:rPr>
              <w:t xml:space="preserve">Scope</w:t>
            </w:r>
          </w:p>
        </w:tc>
        <w:tc>
          <w:tcPr>
            <w:tcW w:type="dxa" w:w="17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Brief Description</w:t>
            </w:r>
          </w:p>
        </w:tc>
        <w:tc>
          <w:tcPr>
            <w:tcW w:type="dxa" w:w="272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Detailed Description &amp; Implementation Notes</w:t>
            </w:r>
          </w:p>
        </w:tc>
        <w:tc>
          <w:tcPr>
            <w:tcW w:type="dxa" w:w="1500"/>
            <w:tcBorders>
              <w:top w:val="single" w:color="AAAAAA" w:sz="4"/>
              <w:left w:val="single" w:color="AAAAAA" w:sz="4"/>
              <w:bottom w:val="single" w:color="AAAAAA" w:sz="4"/>
              <w:right w:val="single" w:color="AAAAAA" w:sz="4"/>
            </w:tcBorders>
            <w:shd w:fill="1F3864" w:val="clear"/>
            <w:tcMar>
              <w:top w:type="dxa" w:w="60"/>
              <w:left w:type="dxa" w:w="110"/>
              <w:bottom w:type="dxa" w:w="60"/>
              <w:right w:type="dxa" w:w="110"/>
            </w:tcMar>
            <w:vAlign w:val="top"/>
          </w:tcPr>
          <w:p>
            <w:pPr>
              <w:spacing w:after="0" w:before="0"/>
              <w:jc w:val="left"/>
            </w:pPr>
            <w:r>
              <w:rPr>
                <w:rFonts w:ascii="Arial" w:cs="Arial" w:eastAsia="Arial" w:hAnsi="Arial"/>
                <w:b/>
                <w:bCs/>
                <w:color w:val="FFFFFF"/>
                <w:sz w:val="18"/>
                <w:szCs w:val="18"/>
              </w:rPr>
              <w:t xml:space="preserve">Validation Criteria</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84</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backend unit tests</w:t>
            </w:r>
          </w:p>
        </w:tc>
        <w:tc>
          <w:tcPr>
            <w:tcW w:type="dxa" w:w="68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30" w:before="0"/>
            </w:pPr>
            <w:r>
              <w:rPr>
                <w:rFonts w:ascii="Arial" w:cs="Arial" w:eastAsia="Arial" w:hAnsi="Arial"/>
                <w:b/>
                <w:bCs/>
                <w:color w:val="C55A11"/>
                <w:sz w:val="18"/>
                <w:szCs w:val="18"/>
              </w:rPr>
              <w:t xml:space="preserve">Important</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Protect core services from regression.</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Create a PlantProcess.Tests project and implement unit tests for the highest-risk services: DashboardWidgetValidationService (widget definition validation rules), MappingValidationService (mapping rule validation), DataQualityService (issue detection logic), RiskScoreService (score computation), FeatureEngineeringService (feature vector computation), TransformRuleEngine (each transform rule type), and UnitNormalizationService (each conversion). Target 80% line coverage on these services. Use xUnit and Moq.</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Test project compiles. All listed service tests pass. Coverage report shows at least 80% on targeted services.</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85</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integration tests with PostgreSQL</w:t>
            </w:r>
          </w:p>
        </w:tc>
        <w:tc>
          <w:tcPr>
            <w:tcW w:type="dxa" w:w="68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30" w:before="0"/>
            </w:pPr>
            <w:r>
              <w:rPr>
                <w:rFonts w:ascii="Arial" w:cs="Arial" w:eastAsia="Arial" w:hAnsi="Arial"/>
                <w:b/>
                <w:bCs/>
                <w:color w:val="C55A11"/>
                <w:sz w:val="18"/>
                <w:szCs w:val="18"/>
              </w:rPr>
              <w:t xml:space="preserve">Important</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Backend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Validate full workflow pipelines.</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Add integration tests that use a real test PostgreSQL database (via Docker test container or a dedicated test DB). Test the critical pipeline: CSV import → staging → field-level mapping → canonical MaterialUnit creation → feature engineering → risk scoring → dashboard widget query → investigation report generation. Also test: connection profile test endpoint, schema discovery, mapping preview, and readiness report. Use Respawn or a similar tool to reset the database state between tests.</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Integration test suite passes against a real PostgreSQL test database. Pipeline tests cover the full import-to-report flow.</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86</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frontend component tests</w:t>
            </w:r>
          </w:p>
        </w:tc>
        <w:tc>
          <w:tcPr>
            <w:tcW w:type="dxa" w:w="680"/>
            <w:tcBorders>
              <w:top w:val="single" w:color="AAAAAA" w:sz="4"/>
              <w:left w:val="single" w:color="AAAAAA" w:sz="4"/>
              <w:bottom w:val="single" w:color="AAAAAA" w:sz="4"/>
              <w:right w:val="single" w:color="AAAAAA" w:sz="4"/>
            </w:tcBorders>
            <w:shd w:fill="F2F2F2" w:val="clear"/>
            <w:tcMar>
              <w:top w:type="dxa" w:w="60"/>
              <w:left w:type="dxa" w:w="110"/>
              <w:bottom w:type="dxa" w:w="60"/>
              <w:right w:type="dxa" w:w="110"/>
            </w:tcMar>
            <w:vAlign w:val="top"/>
          </w:tcPr>
          <w:p>
            <w:pPr>
              <w:spacing w:after="30" w:before="0"/>
            </w:pPr>
            <w:r>
              <w:rPr>
                <w:rFonts w:ascii="Arial" w:cs="Arial" w:eastAsia="Arial" w:hAnsi="Arial"/>
                <w:b/>
                <w:bCs/>
                <w:color w:val="505050"/>
                <w:sz w:val="18"/>
                <w:szCs w:val="18"/>
              </w:rPr>
              <w:t xml:space="preserve">Normal</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Frontend</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Protect dashboard UI from regression.</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Add Vitest (or Jest) component tests for: WidgetBuilderWizard (all 5 steps, validation errors, save flow), DashboardFilterBar (filter application, filter clear), DashboardGridLayout (drag, resize, save layout), the Script Layer UI step, and the ML Correlation Page tab creation flow. Use Testing Library for component rendering and interaction simulation.</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All listed component tests pass. Wizard navigation, filter, and layout tests cover the main user interaction paths.</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87</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CI/CD build pipeline</w:t>
            </w:r>
          </w:p>
        </w:tc>
        <w:tc>
          <w:tcPr>
            <w:tcW w:type="dxa" w:w="68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30" w:before="0"/>
            </w:pPr>
            <w:r>
              <w:rPr>
                <w:rFonts w:ascii="Arial" w:cs="Arial" w:eastAsia="Arial" w:hAnsi="Arial"/>
                <w:b/>
                <w:bCs/>
                <w:color w:val="C55A11"/>
                <w:sz w:val="18"/>
                <w:szCs w:val="18"/>
              </w:rPr>
              <w:t xml:space="preserve">Important</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Both</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Automate quality gates.</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Configure a CI/CD pipeline (GitHub Actions, Azure DevOps, or GitLab CI) that runs on every commit and pull request: (1) dotnet build — all projects, (2) npm run build — frontend, (3) backend unit tests, (4) backend integration tests against a Docker test PostgreSQL, (5) frontend component tests, (6) migration validation (ensure pending migrations exist). The pipeline must fail the PR if any step fails. Add status badges to the README.</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Pipeline runs automatically on every commit. All five steps are included. A failing test blocks the PR merge.</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88</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Create customer-safe synthetic dataset pack</w:t>
            </w:r>
          </w:p>
        </w:tc>
        <w:tc>
          <w:tcPr>
            <w:tcW w:type="dxa" w:w="68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30" w:before="0"/>
            </w:pPr>
            <w:r>
              <w:rPr>
                <w:rFonts w:ascii="Arial" w:cs="Arial" w:eastAsia="Arial" w:hAnsi="Arial"/>
                <w:b/>
                <w:bCs/>
                <w:color w:val="C55A11"/>
                <w:sz w:val="18"/>
                <w:szCs w:val="18"/>
              </w:rPr>
              <w:t xml:space="preserve">Important</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Both</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Repeatable demo data.</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Create a synthetic manufacturing dataset with known hidden patterns: 5,000 material units, 50,000 parameter observations per equipment, 2,000 quality events, 500 defect records, 200 downtime events, and genealogy edges linking input materials to output products. The dataset must contain at least three statistically significant correlations between process parameters and defect types that the ML learning jobs will reliably discover. Document the hidden patterns so the demo team can explain them accurately during customer presentations.</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Fresh database populated with the synthetic pack produces correct correlation and risk results. At least 3 documented hidden patterns are discoverable.</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89</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Prepare 10-minute end-to-end demo script</w:t>
            </w:r>
          </w:p>
        </w:tc>
        <w:tc>
          <w:tcPr>
            <w:tcW w:type="dxa" w:w="68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30" w:before="0"/>
            </w:pPr>
            <w:r>
              <w:rPr>
                <w:rFonts w:ascii="Arial" w:cs="Arial" w:eastAsia="Arial" w:hAnsi="Arial"/>
                <w:b/>
                <w:bCs/>
                <w:color w:val="C55A11"/>
                <w:sz w:val="18"/>
                <w:szCs w:val="18"/>
              </w:rPr>
              <w:t xml:space="preserve">Important</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Both</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Repeatable, compelling product story.</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Write a structured 10-minute demo script that covers: (1) Admin area — show DB link configuration, schema mapping view, and Jobs Monitor, (2) Dashboard — show a Quality Overview template page with filter interaction, (3) Add a widget — use the wizard with script layer to add a custom chart, (4) Correlation — create an inspection job on a known defect type and show the parameter influence results, (5) Suggestion page — show the top recommendations, (6) Investigation — open a high-risk material and show the full investigation report. Script must include timings per section, speaking notes, and key talking points.</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Demo can be delivered in 10 minutes by any team member. All six sections complete within their time allocation.</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90</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Prepare pilot scope template</w:t>
            </w:r>
          </w:p>
        </w:tc>
        <w:tc>
          <w:tcPr>
            <w:tcW w:type="dxa" w:w="680"/>
            <w:tcBorders>
              <w:top w:val="single" w:color="AAAAAA" w:sz="4"/>
              <w:left w:val="single" w:color="AAAAAA" w:sz="4"/>
              <w:bottom w:val="single" w:color="AAAAAA" w:sz="4"/>
              <w:right w:val="single" w:color="AAAAAA" w:sz="4"/>
            </w:tcBorders>
            <w:shd w:fill="FFF2CC" w:val="clear"/>
            <w:tcMar>
              <w:top w:type="dxa" w:w="60"/>
              <w:left w:type="dxa" w:w="110"/>
              <w:bottom w:type="dxa" w:w="60"/>
              <w:right w:type="dxa" w:w="110"/>
            </w:tcMar>
            <w:vAlign w:val="top"/>
          </w:tcPr>
          <w:p>
            <w:pPr>
              <w:spacing w:after="30" w:before="0"/>
            </w:pPr>
            <w:r>
              <w:rPr>
                <w:rFonts w:ascii="Arial" w:cs="Arial" w:eastAsia="Arial" w:hAnsi="Arial"/>
                <w:b/>
                <w:bCs/>
                <w:color w:val="C55A11"/>
                <w:sz w:val="18"/>
                <w:szCs w:val="18"/>
              </w:rPr>
              <w:t xml:space="preserve">Important</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Both</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Control the first customer pilot.</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Create a pilot scope document template containing: pilot objectives, target route (one production line from raw material to finished product), target defect family (one defect type with sufficient historical occurrence), required data sources (list each source system, required tables, required fields), data access method (CSV export, read-only DB connector), data volume requirements (minimum 6 months historical data, minimum 500 defect occurrences), pilot duration (recommended 8–12 weeks), deliverables (readiness report, correlation results, risk prediction demo, one customer-built monitoring page), assumptions, and go/no-go criteria.</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Template can be filled for a customer in under one hour. Go/no-go criteria are specific and measurable.</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91</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Create customer data discovery checklist</w:t>
            </w:r>
          </w:p>
        </w:tc>
        <w:tc>
          <w:tcPr>
            <w:tcW w:type="dxa" w:w="680"/>
            <w:tcBorders>
              <w:top w:val="single" w:color="AAAAAA" w:sz="4"/>
              <w:left w:val="single" w:color="AAAAAA" w:sz="4"/>
              <w:bottom w:val="single" w:color="AAAAAA" w:sz="4"/>
              <w:right w:val="single" w:color="AAAAAA" w:sz="4"/>
            </w:tcBorders>
            <w:shd w:fill="F2F2F2" w:val="clear"/>
            <w:tcMar>
              <w:top w:type="dxa" w:w="60"/>
              <w:left w:type="dxa" w:w="110"/>
              <w:bottom w:type="dxa" w:w="60"/>
              <w:right w:type="dxa" w:w="110"/>
            </w:tcMar>
            <w:vAlign w:val="top"/>
          </w:tcPr>
          <w:p>
            <w:pPr>
              <w:spacing w:after="30" w:before="0"/>
            </w:pPr>
            <w:r>
              <w:rPr>
                <w:rFonts w:ascii="Arial" w:cs="Arial" w:eastAsia="Arial" w:hAnsi="Arial"/>
                <w:b/>
                <w:bCs/>
                <w:color w:val="505050"/>
                <w:sz w:val="18"/>
                <w:szCs w:val="18"/>
              </w:rPr>
              <w:t xml:space="preserve">Normal</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Both</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Guide readiness assessment workshops.</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Create a structured workshop checklist for 90-minute customer discovery sessions covering: available source systems (MES, L2, historian, lab, inspection, ERP, Excel exports), access method per system, primary key and timestamp fields, genealogy linkage keys, quality event structure, defect catalog structure, downtime event structure, data volume estimates, IT access constraints, and stakeholders who need to be involved. The checklist produces a structured discovery report that feeds directly into the readiness assessment.</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Checklist covers all required discovery dimensions. A completed checklist provides sufficient information for a readiness assessment proposal.</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92</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Create honest product capability summary</w:t>
            </w:r>
          </w:p>
        </w:tc>
        <w:tc>
          <w:tcPr>
            <w:tcW w:type="dxa" w:w="680"/>
            <w:tcBorders>
              <w:top w:val="single" w:color="AAAAAA" w:sz="4"/>
              <w:left w:val="single" w:color="AAAAAA" w:sz="4"/>
              <w:bottom w:val="single" w:color="AAAAAA" w:sz="4"/>
              <w:right w:val="single" w:color="AAAAAA" w:sz="4"/>
            </w:tcBorders>
            <w:shd w:fill="F2F2F2" w:val="clear"/>
            <w:tcMar>
              <w:top w:type="dxa" w:w="60"/>
              <w:left w:type="dxa" w:w="110"/>
              <w:bottom w:type="dxa" w:w="60"/>
              <w:right w:type="dxa" w:w="110"/>
            </w:tcMar>
            <w:vAlign w:val="top"/>
          </w:tcPr>
          <w:p>
            <w:pPr>
              <w:spacing w:after="30" w:before="0"/>
            </w:pPr>
            <w:r>
              <w:rPr>
                <w:rFonts w:ascii="Arial" w:cs="Arial" w:eastAsia="Arial" w:hAnsi="Arial"/>
                <w:b/>
                <w:bCs/>
                <w:color w:val="505050"/>
                <w:sz w:val="18"/>
                <w:szCs w:val="18"/>
              </w:rPr>
              <w:t xml:space="preserve">Normal</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Both</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Prevent over-promising.</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Maintain a living document that summarizes: what works today (fully implemented, tested, demo-ready), what is partially implemented (implemented but not fully tested or production-grade), what is planned but not started (with target phase), and what must not be promised to customers yet. This document must be reviewed and updated at the end of every development sprint and shared with the commercial team before any customer-facing communication.</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Document exists and is updated after every sprint. Commercial team signs off on it before customer-facing communications.</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93</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AI-assisted chart suggestion (optional)</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Optional</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Both</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Natural language widget creation.</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Add an optional AI-assisted step to the WidgetBuilderWizard: the user types a natural language description of the chart they want ('Show me average temperature by shift over the last 30 days for EAF furnaces') and the backend calls an LLM API to generate a WidgetQueryExpression that is then pre-populated in the wizard. The user reviews the pre-filled wizard and makes any corrections before saving. The AI suggestion must pass backend validation before being accepted.</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Natural language input produces a valid pre-filled widget expression. Backend validation catches any invalid AI-generated expressions.</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1F3864"/>
                <w:sz w:val="18"/>
                <w:szCs w:val="18"/>
              </w:rPr>
              <w:t xml:space="preserve">94</w:t>
            </w:r>
          </w:p>
        </w:tc>
        <w:tc>
          <w:tcPr>
            <w:tcW w:type="dxa" w:w="1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Add embedded BI integration option (optional)</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bCs/>
                <w:color w:val="000000"/>
                <w:sz w:val="18"/>
                <w:szCs w:val="18"/>
              </w:rPr>
              <w:t xml:space="preserve">Optional</w:t>
            </w:r>
          </w:p>
        </w:tc>
        <w:tc>
          <w:tcPr>
            <w:tcW w:type="dxa" w:w="68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Both</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000000"/>
                <w:sz w:val="18"/>
                <w:szCs w:val="18"/>
              </w:rPr>
              <w:t xml:space="preserve">Support Qlik/Power BI embedding.</w:t>
            </w:r>
          </w:p>
        </w:tc>
        <w:tc>
          <w:tcPr>
            <w:tcW w:type="dxa" w:w="27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111111"/>
                <w:sz w:val="18"/>
                <w:szCs w:val="18"/>
              </w:rPr>
              <w:t xml:space="preserve">Add an optional embedded BI panel controlled by a feature flag that allows a Power BI or Qlik Sense report to be embedded in a PlantProcess IQ page alongside native widgets. This positions PlantProcess IQ as complementary to existing BI investments rather than a replacement. The BI panel must be hidden safely when the feature flag is disabled, with no runtime errors.</w:t>
            </w:r>
          </w:p>
        </w:tc>
        <w:tc>
          <w:tcPr>
            <w:tcW w:type="dxa" w:w="1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vAlign w:val="top"/>
          </w:tcPr>
          <w:p>
            <w:pPr>
              <w:spacing w:after="30" w:before="0"/>
            </w:pPr>
            <w:r>
              <w:rPr>
                <w:rFonts w:ascii="Arial" w:cs="Arial" w:eastAsia="Arial" w:hAnsi="Arial"/>
                <w:b w:val="false"/>
                <w:bCs w:val="false"/>
                <w:color w:val="333333"/>
                <w:sz w:val="18"/>
                <w:szCs w:val="18"/>
              </w:rPr>
              <w:t xml:space="preserve">BI panel loads correctly when enabled. No runtime errors when disabled. Feature flag is respected.</w:t>
            </w:r>
          </w:p>
        </w:tc>
      </w:tr>
    </w:tbl>
    <w:p>
      <w:pPr>
        <w:spacing w:after="0" w:before="8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space="4"/>
      </w:pBdr>
      <w:jc w:val="center"/>
    </w:pPr>
    <w:r>
      <w:rPr>
        <w:rFonts w:ascii="Arial" w:cs="Arial" w:eastAsia="Arial" w:hAnsi="Arial"/>
        <w:color w:val="888888"/>
        <w:sz w:val="18"/>
        <w:szCs w:val="18"/>
      </w:rPr>
      <w:t xml:space="preserve">Confidential — Internal Product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left"/>
    </w:pPr>
    <w:r>
      <w:rPr>
        <w:rFonts w:ascii="Arial" w:cs="Arial" w:eastAsia="Arial" w:hAnsi="Arial"/>
        <w:color w:val="888888"/>
        <w:sz w:val="18"/>
        <w:szCs w:val="18"/>
      </w:rPr>
      <w:t xml:space="preserve">PlantProcess IQ  |  Product Analysis &amp; Updated Plan  |  13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38"/>
      <w:szCs w:val="38"/>
    </w:rPr>
  </w:style>
  <w:style w:type="paragraph" w:styleId="Heading2">
    <w:name w:val="Heading 2"/>
    <w:basedOn w:val="Normal"/>
    <w:next w:val="Normal"/>
    <w:qFormat/>
    <w:pPr>
      <w:spacing w:after="160" w:before="360"/>
      <w:outlineLvl w:val="1"/>
    </w:pPr>
    <w:rPr>
      <w:rFonts w:ascii="Arial" w:cs="Arial" w:eastAsia="Arial" w:hAnsi="Arial"/>
      <w:b/>
      <w:bCs/>
      <w:color w:val="2E75B6"/>
      <w:sz w:val="30"/>
      <w:szCs w:val="30"/>
    </w:rPr>
  </w:style>
  <w:style w:type="paragraph" w:styleId="Heading3">
    <w:name w:val="Heading 3"/>
    <w:basedOn w:val="Normal"/>
    <w:next w:val="Normal"/>
    <w:qFormat/>
    <w:pPr>
      <w:spacing w:after="100" w:before="240"/>
      <w:outlineLvl w:val="2"/>
    </w:pPr>
    <w:rPr>
      <w:rFonts w:ascii="Arial" w:cs="Arial" w:eastAsia="Arial" w:hAnsi="Arial"/>
      <w:b/>
      <w:bCs/>
      <w:color w:val="2F2F2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2026-05-13T07:20:11.285Z</dcterms:created>
  <dcterms:modified xsi:type="dcterms:W3CDTF">2026-05-13T07:20:11.285Z</dcterms:modified>
</cp:coreProperties>
</file>

<file path=docProps/custom.xml><?xml version="1.0" encoding="utf-8"?>
<Properties xmlns="http://schemas.openxmlformats.org/officeDocument/2006/custom-properties" xmlns:vt="http://schemas.openxmlformats.org/officeDocument/2006/docPropsVTypes"/>
</file>