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p>
      <w:pPr>
        <w:spacing w:after="80" w:before="0"/>
        <w:jc w:val="center"/>
      </w:pPr>
      <w:r>
        <w:rPr>
          <w:rFonts w:ascii="Arial" w:cs="Arial" w:eastAsia="Arial" w:hAnsi="Arial"/>
          <w:b/>
          <w:bCs/>
          <w:color w:val="0B1E3D"/>
          <w:sz w:val="64"/>
          <w:szCs w:val="64"/>
        </w:rPr>
        <w:t xml:space="preserve">PlantProcess IQ</w:t>
      </w:r>
    </w:p>
    <w:p>
      <w:pPr>
        <w:spacing w:after="80" w:before="0"/>
        <w:jc w:val="center"/>
      </w:pPr>
      <w:r>
        <w:rPr>
          <w:rFonts w:ascii="Arial" w:cs="Arial" w:eastAsia="Arial" w:hAnsi="Arial"/>
          <w:i/>
          <w:iCs/>
          <w:color w:val="185FA5"/>
          <w:sz w:val="32"/>
          <w:szCs w:val="32"/>
        </w:rPr>
        <w:t xml:space="preserve">Full-Stack Status &amp; Strategic Audit Report</w:t>
      </w:r>
    </w:p>
    <w:p>
      <w:pPr>
        <w:spacing w:after="80" w:before="0"/>
        <w:jc w:val="center"/>
      </w:pPr>
      <w:r>
        <w:rPr>
          <w:rFonts w:ascii="Arial" w:cs="Arial" w:eastAsia="Arial" w:hAnsi="Arial"/>
          <w:color w:val="6B7A8D"/>
          <w:sz w:val="22"/>
          <w:szCs w:val="22"/>
        </w:rPr>
        <w:t xml:space="preserve">Version 1.0  ·  May 2026</w:t>
      </w:r>
    </w:p>
    <w:p>
      <w:pPr>
        <w:spacing w:after="0" w:before="0"/>
        <w:jc w:val="center"/>
      </w:pPr>
      <w:r>
        <w:rPr>
          <w:rFonts w:ascii="Arial" w:cs="Arial" w:eastAsia="Arial" w:hAnsi="Arial"/>
          <w:i/>
          <w:iCs/>
          <w:color w:val="6B7A8D"/>
          <w:sz w:val="20"/>
          <w:szCs w:val="20"/>
        </w:rPr>
        <w:t xml:space="preserve">Confidential — SOU Industrial Software</w:t>
      </w:r>
    </w:p>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single" w:color="00A8CC" w:sz="4"/>
              <w:left w:val="single" w:color="00A8CC" w:sz="4"/>
              <w:bottom w:val="single" w:color="00A8CC" w:sz="4"/>
              <w:right w:val="single" w:color="00A8CC" w:sz="4"/>
            </w:tcBorders>
            <w:shd w:fill="E6F1FB" w:val="clear"/>
            <w:tcMar>
              <w:top w:type="dxa" w:w="200"/>
              <w:left w:type="dxa" w:w="280"/>
              <w:bottom w:type="dxa" w:w="200"/>
              <w:right w:type="dxa" w:w="280"/>
            </w:tcMar>
          </w:tcPr>
          <w:p>
            <w:pPr>
              <w:spacing w:after="80" w:before="0"/>
            </w:pPr>
            <w:r>
              <w:rPr>
                <w:rFonts w:ascii="Arial" w:cs="Arial" w:eastAsia="Arial" w:hAnsi="Arial"/>
                <w:b/>
                <w:bCs/>
                <w:color w:val="185FA5"/>
                <w:sz w:val="22"/>
                <w:szCs w:val="22"/>
              </w:rPr>
              <w:t xml:space="preserve">Document Purpose</w:t>
            </w:r>
          </w:p>
          <w:p>
            <w:pPr>
              <w:spacing w:after="80" w:before="0"/>
            </w:pPr>
            <w:r>
              <w:rPr>
                <w:rFonts w:ascii="Arial" w:cs="Arial" w:eastAsia="Arial" w:hAnsi="Arial"/>
                <w:color w:val="1C2B3A"/>
                <w:sz w:val="20"/>
                <w:szCs w:val="20"/>
              </w:rPr>
              <w:t xml:space="preserve">This report provides a deep, professional audit of the entire PlantProcess IQ codebase (453 source files, 67,977 lines) cross-referenced against the GTM V4.1 plan. It covers all 10 strategic dimensions: website, deployment, CI/CD pipeline, licensing, ML readiness, brand identity, demo preparation, application completeness, and commercial saleability.</w:t>
            </w:r>
          </w:p>
          <w:p>
            <w:pPr>
              <w:spacing w:after="0" w:before="0"/>
            </w:pPr>
            <w:r>
              <w:rPr>
                <w:rFonts w:ascii="Arial" w:cs="Arial" w:eastAsia="Arial" w:hAnsi="Arial"/>
                <w:i/>
                <w:iCs/>
                <w:color w:val="6B7A8D"/>
                <w:sz w:val="19"/>
                <w:szCs w:val="19"/>
              </w:rPr>
              <w:t xml:space="preserve">Scope: Backend .NET 9 (34,734 lines) · Frontend React 19 (17,091 lines) · Infrastructure Docker/Caddy/Jenkins · Marketing website · GTM V4.1 · Latest Vision document</w:t>
            </w:r>
          </w:p>
        </w:tc>
      </w:tr>
    </w:tbl>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Executive Summary</w:t>
      </w:r>
    </w:p>
    <w:p>
      <w:pPr>
        <w:spacing w:after="100" w:before="60"/>
        <w:jc w:val="left"/>
      </w:pPr>
      <w:r>
        <w:rPr>
          <w:rFonts w:ascii="Arial" w:cs="Arial" w:eastAsia="Arial" w:hAnsi="Arial"/>
          <w:b w:val="false"/>
          <w:bCs w:val="false"/>
          <w:i w:val="false"/>
          <w:iCs w:val="false"/>
          <w:color w:val="1C2B3A"/>
          <w:sz w:val="21"/>
          <w:szCs w:val="21"/>
        </w:rPr>
        <w:t xml:space="preserve">PlantProcess IQ is a well-architected, manufacturing-domain intelligence platform built on .NET 9 Clean Architecture with a React 19 frontend. The codebase is professional, the data model is generic and production-grade, and the deployment infrastructure is complete. The core commercial offering — the Data Diagnostic at EUR 3,500–6,500 — is technically ready to sell today.</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table below summarises the status across all 10 strategic dimensions.</w:t>
      </w:r>
    </w:p>
    <w:p>
      <w:pPr>
        <w:spacing w:after="60" w:before="0"/>
      </w:pPr>
      <w:r>
        <w:rPr>
          <w:rFonts w:ascii="Arial" w:cs="Arial" w:eastAsia="Arial" w:hAnsi="Arial"/>
          <w:b w:val="false"/>
          <w:bCs w:val="false"/>
          <w:i w:val="false"/>
          <w:iCs w:val="false"/>
          <w:color w:val="1C2B3A"/>
          <w:sz w:val="22"/>
          <w:szCs w:val="22"/>
        </w:rPr>
        <w:t xml:space="preserve"/>
      </w:r>
    </w:p>
    <w:tbl>
      <w:tblPr>
        <w:tblW w:type="dxa" w:w="812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1400"/>
        <w:gridCol w:w="1200"/>
        <w:gridCol w:w="2040"/>
      </w:tblGrid>
      <w:tr>
        <w:tc>
          <w:tcPr>
            <w:tcW w:type="dxa" w:w="2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w:t>
            </w:r>
          </w:p>
        </w:tc>
        <w:tc>
          <w:tcPr>
            <w:tcW w:type="dxa" w:w="32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Dimension</w:t>
            </w:r>
          </w:p>
        </w:tc>
        <w:tc>
          <w:tcPr>
            <w:tcW w:type="dxa" w:w="14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Status</w:t>
            </w:r>
          </w:p>
        </w:tc>
        <w:tc>
          <w:tcPr>
            <w:tcW w:type="dxa" w:w="12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GTM Month</w:t>
            </w:r>
          </w:p>
        </w:tc>
        <w:tc>
          <w:tcPr>
            <w:tcW w:type="dxa" w:w="204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Blocker Level</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Website — Build &amp; Deploy</w:t>
            </w:r>
          </w:p>
        </w:tc>
        <w:tc>
          <w:tcPr>
            <w:tcW w:type="dxa" w:w="1400"/>
            <w:tcBorders>
              <w:top w:val="single" w:color="C5D2E0" w:sz="4"/>
              <w:left w:val="single" w:color="C5D2E0" w:sz="4"/>
              <w:bottom w:val="single" w:color="C5D2E0" w:sz="4"/>
              <w:right w:val="single" w:color="C5D2E0" w:sz="4"/>
            </w:tcBorders>
            <w:shd w:fill="E8F5EE" w:val="clear"/>
            <w:tcMar>
              <w:top w:type="dxa" w:w="80"/>
              <w:left w:type="dxa" w:w="120"/>
              <w:bottom w:type="dxa" w:w="80"/>
              <w:right w:type="dxa" w:w="120"/>
            </w:tcMar>
          </w:tcPr>
          <w:p>
            <w:pPr>
              <w:spacing w:after="120" w:before="0"/>
              <w:jc w:val="left"/>
            </w:pPr>
            <w:r>
              <w:rPr>
                <w:rFonts w:ascii="Arial" w:cs="Arial" w:eastAsia="Arial" w:hAnsi="Arial"/>
                <w:b/>
                <w:bCs/>
                <w:color w:val="1A7A4A"/>
                <w:sz w:val="19"/>
                <w:szCs w:val="19"/>
              </w:rPr>
              <w:t xml:space="preserve">Done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M1–M2</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Website — Publish (go live)</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M3</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DNS + contact form</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App — Deploy on Hetzner</w:t>
            </w:r>
          </w:p>
        </w:tc>
        <w:tc>
          <w:tcPr>
            <w:tcW w:type="dxa" w:w="1400"/>
            <w:tcBorders>
              <w:top w:val="single" w:color="C5D2E0" w:sz="4"/>
              <w:left w:val="single" w:color="C5D2E0" w:sz="4"/>
              <w:bottom w:val="single" w:color="C5D2E0" w:sz="4"/>
              <w:right w:val="single" w:color="C5D2E0" w:sz="4"/>
            </w:tcBorders>
            <w:shd w:fill="E8F5EE" w:val="clear"/>
            <w:tcMar>
              <w:top w:type="dxa" w:w="80"/>
              <w:left w:type="dxa" w:w="120"/>
              <w:bottom w:type="dxa" w:w="80"/>
              <w:right w:type="dxa" w:w="120"/>
            </w:tcMar>
          </w:tcPr>
          <w:p>
            <w:pPr>
              <w:spacing w:after="120" w:before="0"/>
              <w:jc w:val="left"/>
            </w:pPr>
            <w:r>
              <w:rPr>
                <w:rFonts w:ascii="Arial" w:cs="Arial" w:eastAsia="Arial" w:hAnsi="Arial"/>
                <w:b/>
                <w:bCs/>
                <w:color w:val="1A7A4A"/>
                <w:sz w:val="19"/>
                <w:szCs w:val="19"/>
              </w:rPr>
              <w:t xml:space="preserve">Done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M1–M2</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App — CI/CD Pipeline</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M2</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 pipeline gaps</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License / Feature Enforcement</w:t>
            </w:r>
          </w:p>
        </w:tc>
        <w:tc>
          <w:tcPr>
            <w:tcW w:type="dxa" w:w="1400"/>
            <w:tcBorders>
              <w:top w:val="single" w:color="C5D2E0" w:sz="4"/>
              <w:left w:val="single" w:color="C5D2E0" w:sz="4"/>
              <w:bottom w:val="single" w:color="C5D2E0" w:sz="4"/>
              <w:right w:val="single" w:color="C5D2E0" w:sz="4"/>
            </w:tcBorders>
            <w:shd w:fill="FDEAEA" w:val="clear"/>
            <w:tcMar>
              <w:top w:type="dxa" w:w="80"/>
              <w:left w:type="dxa" w:w="120"/>
              <w:bottom w:type="dxa" w:w="80"/>
              <w:right w:type="dxa" w:w="120"/>
            </w:tcMar>
          </w:tcPr>
          <w:p>
            <w:pPr>
              <w:spacing w:after="120" w:before="0"/>
              <w:jc w:val="left"/>
            </w:pPr>
            <w:r>
              <w:rPr>
                <w:rFonts w:ascii="Arial" w:cs="Arial" w:eastAsia="Arial" w:hAnsi="Arial"/>
                <w:b/>
                <w:bCs/>
                <w:color w:val="A32D2D"/>
                <w:sz w:val="19"/>
                <w:szCs w:val="19"/>
              </w:rPr>
              <w:t xml:space="preserve">Missing</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M6–M8</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Critical for pilot</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ML Engine</w:t>
            </w:r>
          </w:p>
        </w:tc>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started (correct)</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M16</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By design</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7</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Brand Identity &amp; Positioning</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M1–M3</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 missing assets</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8</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Demo Preparation</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M3</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Script + screenshots</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9</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App — Vision Completeness</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M5–M13</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 gaps defined</w:t>
            </w:r>
          </w:p>
        </w:tc>
      </w:tr>
      <w:tr>
        <w:tc>
          <w:tcPr>
            <w:tcW w:type="dxa" w:w="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10</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Commercial Saleability</w:t>
            </w:r>
          </w:p>
        </w:tc>
        <w:tc>
          <w:tcPr>
            <w:tcW w:type="dxa" w:w="1400"/>
            <w:tcBorders>
              <w:top w:val="single" w:color="C5D2E0" w:sz="4"/>
              <w:left w:val="single" w:color="C5D2E0" w:sz="4"/>
              <w:bottom w:val="single" w:color="C5D2E0" w:sz="4"/>
              <w:right w:val="single" w:color="C5D2E0" w:sz="4"/>
            </w:tcBorders>
            <w:shd w:fill="FFF4E0" w:val="clear"/>
            <w:tcMar>
              <w:top w:type="dxa" w:w="80"/>
              <w:left w:type="dxa" w:w="120"/>
              <w:bottom w:type="dxa" w:w="80"/>
              <w:right w:type="dxa" w:w="120"/>
            </w:tcMar>
          </w:tcPr>
          <w:p>
            <w:pPr>
              <w:spacing w:after="120" w:before="0"/>
              <w:jc w:val="left"/>
            </w:pPr>
            <w:r>
              <w:rPr>
                <w:rFonts w:ascii="Arial" w:cs="Arial" w:eastAsia="Arial" w:hAnsi="Arial"/>
                <w:b/>
                <w:bCs/>
                <w:color w:val="B85C00"/>
                <w:sz w:val="19"/>
                <w:szCs w:val="19"/>
              </w:rPr>
              <w:t xml:space="preserve">Partial</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M8</w:t>
            </w:r>
          </w:p>
        </w:tc>
        <w:tc>
          <w:tcPr>
            <w:tcW w:type="dxa" w:w="2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 pilot blockers</w:t>
            </w:r>
          </w:p>
        </w:tc>
      </w:tr>
    </w:tbl>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bCs/>
          <w:i w:val="false"/>
          <w:iCs w:val="false"/>
          <w:color w:val="0B1E3D"/>
          <w:sz w:val="21"/>
          <w:szCs w:val="21"/>
        </w:rPr>
        <w:t xml:space="preserve">Recommended immediate actions (next 2 weeks): (1) Fix the Excel connector false claim. (2) Update Caddyfile and DNS to publish the website. (3) Add a working contact/demo-request form. (4) Write a 15-step demo script. (5) Complete the Jenkinsfile with migration, smoke test, and failure notification.</w:t>
      </w:r>
    </w:p>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1. Codebase Metrics &amp; Architecture</w:t>
      </w:r>
    </w:p>
    <w:p>
      <w:pPr>
        <w:pStyle w:val="Heading2"/>
        <w:spacing w:after="120" w:before="360"/>
      </w:pPr>
      <w:r>
        <w:rPr>
          <w:rFonts w:ascii="Arial" w:cs="Arial" w:eastAsia="Arial" w:hAnsi="Arial"/>
          <w:b/>
          <w:bCs/>
          <w:color w:val="185FA5"/>
          <w:sz w:val="26"/>
          <w:szCs w:val="26"/>
        </w:rPr>
        <w:t xml:space="preserve">1.1 Repository Overview</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80"/>
        <w:gridCol w:w="1880"/>
        <w:gridCol w:w="2480"/>
        <w:gridCol w:w="2480"/>
      </w:tblGrid>
      <w:tr>
        <w:tc>
          <w:tcPr>
            <w:tcW w:type="dxa" w:w="22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Layer</w:t>
            </w:r>
          </w:p>
        </w:tc>
        <w:tc>
          <w:tcPr>
            <w:tcW w:type="dxa" w:w="18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Files</w:t>
            </w:r>
          </w:p>
        </w:tc>
        <w:tc>
          <w:tcPr>
            <w:tcW w:type="dxa" w:w="24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Lines of Code</w:t>
            </w:r>
          </w:p>
        </w:tc>
        <w:tc>
          <w:tcPr>
            <w:tcW w:type="dxa" w:w="24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Size</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Backend Core (.cs)</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249</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34,115</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1.27 MB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Frontend (.tsx/.ts)</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66</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12,433</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368 KB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Database (SQL seed/scripts)</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16</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5,458</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300 KB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Infrastructure &amp; Deploy</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383</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13 KB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Marketing Website</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21</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1,528</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41 KB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Tools &amp; Validation Scripts</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22</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7,717</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233 KB</w:t>
            </w:r>
          </w:p>
        </w:tc>
      </w:tr>
      <w:tr>
        <w:tc>
          <w:tcPr>
            <w:tcW w:type="dxa" w:w="22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TOTAL</w:t>
            </w:r>
          </w:p>
        </w:tc>
        <w:tc>
          <w:tcPr>
            <w:tcW w:type="dxa" w:w="1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453</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67,977</w:t>
            </w:r>
          </w:p>
        </w:tc>
        <w:tc>
          <w:tcPr>
            <w:tcW w:type="dxa" w:w="24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2.36 MB</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1.2 Architecture — What Is Built</w:t>
      </w:r>
    </w:p>
    <w:p>
      <w:pPr>
        <w:spacing w:after="100" w:before="60"/>
        <w:jc w:val="left"/>
      </w:pPr>
      <w:r>
        <w:rPr>
          <w:rFonts w:ascii="Arial" w:cs="Arial" w:eastAsia="Arial" w:hAnsi="Arial"/>
          <w:b w:val="false"/>
          <w:bCs w:val="false"/>
          <w:i w:val="false"/>
          <w:iCs w:val="false"/>
          <w:color w:val="1C2B3A"/>
          <w:sz w:val="21"/>
          <w:szCs w:val="21"/>
        </w:rPr>
        <w:t xml:space="preserve">The backend follows strict Clean Architecture with four layers separated as independent projects:</w:t>
      </w:r>
    </w:p>
    <w:p>
      <w:pPr>
        <w:pStyle w:val="ListParagraph"/>
        <w:numPr>
          <w:ilvl w:val="0"/>
          <w:numId w:val="2"/>
        </w:numPr>
        <w:spacing w:after="60" w:before="40"/>
      </w:pPr>
      <w:r>
        <w:rPr>
          <w:rFonts w:ascii="Arial" w:cs="Arial" w:eastAsia="Arial" w:hAnsi="Arial"/>
          <w:color w:val="1C2B3A"/>
          <w:sz w:val="20"/>
          <w:szCs w:val="20"/>
        </w:rPr>
        <w:t xml:space="preserve">Domain layer: 35 entities with BaseEntity (soft delete, UTC/local dual timestamps, PostgreSQL xmin optimistic concurrency). Covers PlantLayout (Site/Area/Equipment), Configuration (Route/RouteStep/OperationDefinition), Integration (12 entities: ConnectionProfile, SchemaViewDefinition, JobDefinition, KpiDefinition, SourceDatasetDefinition, StagingRecord, MappingDefinition, ImportBatch, SourceSystemDefinition, SourceFieldDefinition, JobRunHistory, KpiDefinition), Materials (MaterialUnit/GenealogyEdge), Process (ProcessStepExecution/ParameterObservation/DowntimeEvent), Quality (QualityEvent/DefectCatalog/DataQualityIssue), Analytics (RiskScore/CorrelationResult/ModelRegistry), Dashboarding (DashboardDefinition/DashboardWidgetDefinition).</w:t>
      </w:r>
    </w:p>
    <w:p>
      <w:pPr>
        <w:pStyle w:val="ListParagraph"/>
        <w:numPr>
          <w:ilvl w:val="0"/>
          <w:numId w:val="2"/>
        </w:numPr>
        <w:spacing w:after="60" w:before="40"/>
      </w:pPr>
      <w:r>
        <w:rPr>
          <w:rFonts w:ascii="Arial" w:cs="Arial" w:eastAsia="Arial" w:hAnsi="Arial"/>
          <w:color w:val="1C2B3A"/>
          <w:sz w:val="20"/>
          <w:szCs w:val="20"/>
        </w:rPr>
        <w:t xml:space="preserve">Application layer: 41 services, 26 interfaces, 41 DTOs. Implements ApplicationResult&lt;T&gt; monad for error propagation. Key services: CorrelationService, FeatureEngineeringService, RiskScoreService, DashboardQueryService, MappingExecutionService, ImportWorkflowService, JobRunOrchestratorService, ApplicationReadinessService (7-dimension readiness scoring), InvestigationReportService, DataQualityService.</w:t>
      </w:r>
    </w:p>
    <w:p>
      <w:pPr>
        <w:pStyle w:val="ListParagraph"/>
        <w:numPr>
          <w:ilvl w:val="0"/>
          <w:numId w:val="2"/>
        </w:numPr>
        <w:spacing w:after="60" w:before="40"/>
      </w:pPr>
      <w:r>
        <w:rPr>
          <w:rFonts w:ascii="Arial" w:cs="Arial" w:eastAsia="Arial" w:hAnsi="Arial"/>
          <w:color w:val="1C2B3A"/>
          <w:sz w:val="20"/>
          <w:szCs w:val="20"/>
        </w:rPr>
        <w:t xml:space="preserve">Infrastructure layer: PostgreSQL 17 + EF Core 9, 36 entity configurations. UTC converter applied globally via reflection. Soft-delete global query filters via Expression API. Bulk insert path via TelemetryBulkRepository (NpgsqlBulkCopy). Materialized views and performance indexes for dashboard queries.</w:t>
      </w:r>
    </w:p>
    <w:p>
      <w:pPr>
        <w:pStyle w:val="ListParagraph"/>
        <w:numPr>
          <w:ilvl w:val="0"/>
          <w:numId w:val="2"/>
        </w:numPr>
        <w:spacing w:after="60" w:before="40"/>
      </w:pPr>
      <w:r>
        <w:rPr>
          <w:rFonts w:ascii="Arial" w:cs="Arial" w:eastAsia="Arial" w:hAnsi="Arial"/>
          <w:color w:val="1C2B3A"/>
          <w:sz w:val="20"/>
          <w:szCs w:val="20"/>
        </w:rPr>
        <w:t xml:space="preserve">API layer: ASP.NET 9 Minimal APIs. 23 endpoint groups (8,618 lines). Notable: WorkflowEndpoints.cs (1,148 lines — full genealogy-aware defect investigation), IntegrationEndpoints.cs (691 lines), ProcessEndpoints.cs (761 lines). JWT authentication with RBAC policies. StartupConfigurationValidator validates all config at startup. Serilog structured logging.</w:t>
      </w:r>
    </w:p>
    <w:p>
      <w:pPr>
        <w:pStyle w:val="ListParagraph"/>
        <w:numPr>
          <w:ilvl w:val="0"/>
          <w:numId w:val="2"/>
        </w:numPr>
        <w:spacing w:after="60" w:before="40"/>
      </w:pPr>
      <w:r>
        <w:rPr>
          <w:rFonts w:ascii="Arial" w:cs="Arial" w:eastAsia="Arial" w:hAnsi="Arial"/>
          <w:color w:val="1C2B3A"/>
          <w:sz w:val="20"/>
          <w:szCs w:val="20"/>
        </w:rPr>
        <w:t xml:space="preserve">Workers: Two background services — Worker.cs (371 lines, orchestrates DataQualityScan + RiskScoring + ImportQueue on configurable intervals with JobRunHistory tracking) and TelemetryIngestionWorker.cs (123 lines, high-frequency Channel-based parameter observation ingestion at 5,000 rows / 1-second batches).</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1.3 Architecture Strengths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00"/>
        <w:gridCol w:w="6320"/>
      </w:tblGrid>
      <w:tr>
        <w:tc>
          <w:tcPr>
            <w:tcW w:type="dxa" w:w="28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Strength</w:t>
            </w:r>
          </w:p>
        </w:tc>
        <w:tc>
          <w:tcPr>
            <w:tcW w:type="dxa" w:w="63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Detail</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Generic canonical model</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MaterialUnit → ProcessStepExecution → ParameterObservation → QualityEvent chain works for any manufacturing industry without schema changes</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Two-stage import design</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Raw snapshot (staging) separated from canonical model — customer DB structure never touches the domain model</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Genealogy engine</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Heat → Slab → Coil → Piece multi-hop genealogy with GenealogyEdge supports any material flow topology</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 view builder</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SchemaViewDefinition with SELECT-only SQL guard, JOIN support, KPI view type, approval workflow — the key to plant-specific customisation without code changes</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 infrastructure</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JobDefinition + JobRunHistory + IJobRuntimeService fully wired — Jobs Monitor shows real operational history, not synthesized data</w:t>
            </w:r>
          </w:p>
        </w:tc>
      </w:tr>
      <w:tr>
        <w:tc>
          <w:tcPr>
            <w:tcW w:type="dxa" w:w="2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Synthetic data</w:t>
            </w:r>
          </w:p>
        </w:tc>
        <w:tc>
          <w:tcPr>
            <w:tcW w:type="dxa" w:w="6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Python generator creates 100k rows with hidden defect patterns (CastingSpeed → SurfaceCrack, Superheat → Inclusion) for demo and ML test validation</w:t>
            </w:r>
          </w:p>
        </w:tc>
      </w:tr>
    </w:tbl>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2. The Ten Strategic Dimensions</w:t>
      </w:r>
    </w:p>
    <w:p>
      <w:pPr>
        <w:pStyle w:val="Heading2"/>
        <w:spacing w:after="120" w:before="360"/>
      </w:pPr>
      <w:r>
        <w:rPr>
          <w:rFonts w:ascii="Arial" w:cs="Arial" w:eastAsia="Arial" w:hAnsi="Arial"/>
          <w:b/>
          <w:bCs/>
          <w:color w:val="185FA5"/>
          <w:sz w:val="26"/>
          <w:szCs w:val="26"/>
        </w:rPr>
        <w:t xml:space="preserve">Dimension 1 — Website: Build &amp; Deploy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6820"/>
        <w:gridCol w:w="2300"/>
      </w:tblGrid>
      <w:tr>
        <w:tc>
          <w:tcPr>
            <w:tcW w:type="dxa" w:w="6820"/>
            <w:tcBorders>
              <w:top w:val="none" w:color="FFFFFF" w:sz="0"/>
              <w:left w:val="none" w:color="FFFFFF" w:sz="0"/>
              <w:bottom w:val="none" w:color="FFFFFF" w:sz="0"/>
              <w:right w:val="none" w:color="FFFFFF" w:sz="0"/>
            </w:tcBorders>
          </w:tcPr>
          <w:p>
            <w:pPr>
              <w:spacing w:after="100" w:before="60"/>
              <w:jc w:val="left"/>
            </w:pPr>
            <w:r>
              <w:rPr>
                <w:rFonts w:ascii="Arial" w:cs="Arial" w:eastAsia="Arial" w:hAnsi="Arial"/>
                <w:b/>
                <w:bCs/>
                <w:i w:val="false"/>
                <w:iCs w:val="false"/>
                <w:color w:val="1A7A4A"/>
                <w:sz w:val="21"/>
                <w:szCs w:val="21"/>
              </w:rPr>
              <w:t xml:space="preserve">Status: Complete</w:t>
            </w:r>
          </w:p>
        </w:tc>
        <w:tc>
          <w:tcPr>
            <w:tcW w:type="dxa" w:w="2300"/>
            <w:tcBorders>
              <w:top w:val="none" w:color="FFFFFF" w:sz="0"/>
              <w:left w:val="none" w:color="FFFFFF" w:sz="0"/>
              <w:bottom w:val="none" w:color="FFFFFF" w:sz="0"/>
              <w:right w:val="none" w:color="FFFFFF" w:sz="0"/>
            </w:tcBorders>
            <w:shd w:fill="E8F5EE" w:val="clear"/>
            <w:tcMar>
              <w:top w:type="dxa" w:w="60"/>
              <w:left w:type="dxa" w:w="120"/>
              <w:bottom w:type="dxa" w:w="60"/>
              <w:right w:type="dxa" w:w="120"/>
            </w:tcMar>
          </w:tcPr>
          <w:p>
            <w:pPr>
              <w:spacing w:after="120" w:before="0"/>
              <w:jc w:val="left"/>
            </w:pPr>
            <w:r>
              <w:rPr>
                <w:rFonts w:ascii="Arial" w:cs="Arial" w:eastAsia="Arial" w:hAnsi="Arial"/>
                <w:b/>
                <w:bCs/>
                <w:color w:val="1A7A4A"/>
                <w:sz w:val="20"/>
                <w:szCs w:val="20"/>
              </w:rPr>
              <w:t xml:space="preserve">✓  DONE</w:t>
            </w:r>
          </w:p>
        </w:tc>
      </w:tr>
    </w:tbl>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marketing website is a fully-built React 19 application with 7 pages (Home, Product, Services, Pricing, Security, About, Contact) running 460 lines of App.tsx plus 486 lines of global CSS. It is containerised in its own Docker container (nginx:1.27-alpine), served behind Caddy, and deployed on Hetzner.</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confirmed in the code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Completed items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7-page React 19 website with full navigation, responsive mobile layout, and footer</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Dark industrial brand identity: #050b18 background, #00d4ff cyan / #0a84ff blue accent system</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SOU SVG monogram logo (industrial S/U path) and PlantProcess IQ network-node logo — both production-quality SVGs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Pricing page: 4 tiers (Light EUR 1.2k–2k, Pro EUR 8k–12k, Pro Plus EUR 25k–40k, Enterprise custom) with feature lists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Security page: read-only positioning, RBAC roadmap, on-prem/private cloud deployment options stated</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Contact page: info@plantprocessiq.com, Düsseldorf Germany, EU/MENA industrial focus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Non-goals statement: explicitly says not replacing MES/SCADA/Level 2 — correct liability boundary</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Competitor positioning: Power BI comparison (no manufacturing domain model / genealogy) correctly placed on Pricing page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Docker build, nginx.conf with /health endpoint, Dockerfile — production-ready container</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2 — Website: Publish (Go Live)</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website is deployed on Hetzner and working locally. It is NOT yet publicly accessible under the real domain. This is a 2-step infrastructure task and a 1-step content task.</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Required steps to go live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B85C00"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Missing — must complete before launch</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DNS: Create an A record pointing plantprocessiq.com → Hetzner server IP. Currently Caddyfile uses {$PUBLIC_WEBSITE_HOST} which is set to website.localhost in the .env file.</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Caddyfile update: Change PUBLIC_WEBSITE_HOST, APP_FRONTEND_HOST, APP_API_HOST from *.localhost to the real domains (plantprocessiq.com, app.plantprocessiq.com, api.plantprocessiq.com) and update the .env on the Hetzner server.</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Contact / demo-request form: Currently shows static info@plantprocessiq.com text only. The 'Request Founder Demo' CTA button goes to /contact which has no form. Add a mailto:?subject=Demo+Request href or integrate Formspree/Resend so the CTA actually sends an email.</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Hero panel: The homepage hero panel shows a BarChart3 lucide icon placeholder (92px) — this is the first thing every visitor sees. Replace with one real dashboard screenshot before going live.</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Website lint and tests: Both are explicit echo placeholders in package.json ('echo Website lint placeholder'). Not a launch blocker but required before the Jenkinsfile CI gate passes properly.</w:t>
            </w:r>
          </w:p>
        </w:tc>
      </w:tr>
    </w:tbl>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iCs/>
          <w:color w:val="6B7A8D"/>
          <w:sz w:val="21"/>
          <w:szCs w:val="21"/>
        </w:rPr>
        <w:t xml:space="preserve">Estimated effort to publish: 2–3 hours (DNS + Caddyfile + contact form + one screenshot).</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3 — App: Deploy on Hetzner</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full application stack is deployed and running on Hetzner. Status: Complete.</w:t>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20"/>
        <w:gridCol w:w="2700"/>
      </w:tblGrid>
      <w:tr>
        <w:tc>
          <w:tcPr>
            <w:tcW w:type="dxa" w:w="18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Service</w:t>
            </w:r>
          </w:p>
        </w:tc>
        <w:tc>
          <w:tcPr>
            <w:tcW w:type="dxa" w:w="1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Container</w:t>
            </w:r>
          </w:p>
        </w:tc>
        <w:tc>
          <w:tcPr>
            <w:tcW w:type="dxa" w:w="30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Role</w:t>
            </w:r>
          </w:p>
        </w:tc>
        <w:tc>
          <w:tcPr>
            <w:tcW w:type="dxa" w:w="27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Status</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Caddy 2.8</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ppiq-caddy</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Reverse proxy / TLS termination</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PostgreSQL 17</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ppiq-postgres</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Primary database (512 MB shm)</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 with health check</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PlantProcess API</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ppiq-app-api</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ASP.NET 9 backend</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PlantProcess Workers</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ppiq-app-workers</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Background job service</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App Frontend</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ppiq-app-web</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React 19 / nginx</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Marketing Website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ppiq-website-web</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React 19 / nginx</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Jenkins</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ppiq-jenkins</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CI/CD server (Docker-in-Docker)</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w:t>
            </w:r>
          </w:p>
        </w:tc>
      </w:tr>
      <w:tr>
        <w:tc>
          <w:tcPr>
            <w:tcW w:type="dxa" w:w="18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Backup Runner</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ppiq-backup-runner</w:t>
            </w:r>
          </w:p>
        </w:tc>
        <w:tc>
          <w:tcPr>
            <w:tcW w:type="dxa" w:w="30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Placeholder log/dump backup</w:t>
            </w:r>
          </w:p>
        </w:tc>
        <w:tc>
          <w:tcPr>
            <w:tcW w:type="dxa" w:w="27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Running (placeholder)</w:t>
            </w:r>
          </w:p>
        </w:tc>
      </w:tr>
    </w:tbl>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iCs/>
          <w:color w:val="1C2B3A"/>
          <w:sz w:val="21"/>
          <w:szCs w:val="21"/>
        </w:rPr>
        <w:t xml:space="preserve">Volume mounts confirmed: postgres data, API logs, Worker logs, reports, app-dumps, backups, and Jenkins home — all persisted to host paths under /data/plantprocess-iq/.</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4 — CI/CD Pipeline</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A Jenkins pipeline (Jenkinsfile, 136 lines) exists and covers the full build cycle. It is estimated 60% complete — the build and deploy stages work, but four operational gaps make it unreliable for production use.</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the pipeline does (confirmed in Jenkinsfile)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Pipeline stages — implemented</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1 Checkout: git checkout via Jenkins SCM</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2 Context: prints workspace path, git/docker/compose versions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3 Backend Restore: dotnet restore inside mcr.microsoft.com/dotnet/sdk:9.0 container</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4 Backend Build: dotnet build -c Release --no-restore inside SDK container</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5 Backend Tests: dotnet test -c Release --no-build (runs all 5 test projects)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6 App Frontend Validate: npm ci + npm run build + npm run lint + npm run test + npm run language:audit inside node:24-alpine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7 Website Build: npm ci + npm run build inside node:24-alpine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8 Docker Compose Build: validates .env exists, then docker compose build</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Stage 9 Deploy Demo Stack: docker compose up -d --remove-orphans (only on main/master/develop/demo branches)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Safety: disableConcurrentBuilds + buildDiscarder(20 builds) + timestamps</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missing — 4 critical gaps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A32D2D"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Missing — pipeline gaps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GAP 1 — No EF Core migration step: After deploy, any pending DB migrations are NOT applied automatically. The first schema change after a clean deploy will cause the API to crash silently. Fix: add a dotnet ef database update step after docker compose up, or use EF Core's ApplyMigrations at startup.</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GAP 2 — No post-deploy smoke test: The pipeline does docker compose ps but never calls /health or /db-health on the newly deployed API. A broken deploy passes CI green. Fix: add a curl/Invoke-RestMethod /health check that fails the pipeline if the API does not respond Healthy within 60 seconds.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GAP 3 — No failure notification: The post block only does 'echo PlantProcess IQ CI/CD failed.' — no email, no Slack, no Teams alert. An overnight build failure goes unnoticed until you manually check Jenkins. Fix: add emailext or Slack notification plugin step in the post.failure block.</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GAP 4 — No rollback mechanism: If the Deploy Demo Stack stage fails or the health check fails, there is no automatic rollback to the previous image. Fix: capture the previous image tag before build and re-deploy it on failure, or use docker compose up with explicit image tags.</w:t>
            </w:r>
          </w:p>
        </w:tc>
      </w:tr>
    </w:tbl>
    <w:p>
      <w:pPr>
        <w:spacing w:after="0" w:before="0"/>
      </w:pPr>
      <w:r>
        <w:br w:type="page"/>
      </w:r>
    </w:p>
    <w:p>
      <w:pPr>
        <w:pStyle w:val="Heading2"/>
        <w:spacing w:after="120" w:before="360"/>
      </w:pPr>
      <w:r>
        <w:rPr>
          <w:rFonts w:ascii="Arial" w:cs="Arial" w:eastAsia="Arial" w:hAnsi="Arial"/>
          <w:b/>
          <w:bCs/>
          <w:color w:val="185FA5"/>
          <w:sz w:val="26"/>
          <w:szCs w:val="26"/>
        </w:rPr>
        <w:t xml:space="preserve">Dimension 5 — License / Feature / Pricing Enforcement</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GTM defines a detailed 36-row feature-to-license matrix across Light, Pro, Pro Plus, and Enterprise tiers. The website pricing page is written with accurate pricing and feature lists. Inside the application, there is ZERO license enforcement — no tier concept, no feature gates, no connector restrictions.</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exists today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85FA5"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Current state</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Website Pricing page: 4 tiers with starting-from pricing and feature lists — accurate and live</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GTM document: 36-row feature matrix defining exactly what each tier can access — detailed and correct</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RBAC policies in the API: PlantProcessAdmin and PlantProcessDataManager — 2 of 4 required roles implemented</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does NOT exist in the application code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A32D2D"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Missing — license enforcement</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LicenseTier entity or enum: the application has no concept of which commercial tier the current deployment is licensed for</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ILicenseService / feature flag system: no check anywhere that gates features by tier</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connector type restriction: a Light customer can configure PostgreSQL/MSSQL connectors that only Pro should access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page count limit: any user can create unlimited dashboards regardless of tier (Light should get 2–3, Pro 8, Pro Plus 20)</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refresh interval floor: Light tier is daily-only, Pro Plus minimum 2 minutes — but any value is currently accepted in ImportIntervalMinutes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SQL editor restriction: the Schema Configuration SQL editor should be Pro+ only — it is currently unrestricted</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correlation job restriction: scheduled correlation analysis should be Pro Plus only — no gate exists</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Recommended implementation path (3 steps, no DB schema changes needed initially)</w:t>
      </w:r>
    </w:p>
    <w:p>
      <w:pPr>
        <w:pStyle w:val="ListParagraph"/>
        <w:numPr>
          <w:ilvl w:val="0"/>
          <w:numId w:val="3"/>
        </w:numPr>
        <w:spacing w:after="60" w:before="40"/>
      </w:pPr>
      <w:r>
        <w:rPr>
          <w:rFonts w:ascii="Arial" w:cs="Arial" w:eastAsia="Arial" w:hAnsi="Arial"/>
          <w:color w:val="1C2B3A"/>
          <w:sz w:val="20"/>
          <w:szCs w:val="20"/>
        </w:rPr>
        <w:t xml:space="preserve">Step 1 — Add LicenseTier env variable and ILicenseService: A simple enum (Light, Pro, ProPlus, Enterprise) read from config and a single IsFeatureEnabled(LicenseFeature feature) method. No database entity needed initially — the license tier is a deployment-time configuration.</w:t>
      </w:r>
    </w:p>
    <w:p>
      <w:pPr>
        <w:pStyle w:val="ListParagraph"/>
        <w:numPr>
          <w:ilvl w:val="0"/>
          <w:numId w:val="3"/>
        </w:numPr>
        <w:spacing w:after="60" w:before="40"/>
      </w:pPr>
      <w:r>
        <w:rPr>
          <w:rFonts w:ascii="Arial" w:cs="Arial" w:eastAsia="Arial" w:hAnsi="Arial"/>
          <w:color w:val="1C2B3A"/>
          <w:sz w:val="20"/>
          <w:szCs w:val="20"/>
        </w:rPr>
        <w:t xml:space="preserve">Step 2 — Guard the 3 most visible gates: (a) Connector type allowed per tier — one check in ConnectorAdminEndpoints before CreateConnectionProfile. (b) Minimum refresh interval floor — one check in the scheduling update endpoint. (c) SQL editor / Schema View access — one RequireAuthorization policy check.</w:t>
      </w:r>
    </w:p>
    <w:p>
      <w:pPr>
        <w:pStyle w:val="ListParagraph"/>
        <w:numPr>
          <w:ilvl w:val="0"/>
          <w:numId w:val="3"/>
        </w:numPr>
        <w:spacing w:after="60" w:before="40"/>
      </w:pPr>
      <w:r>
        <w:rPr>
          <w:rFonts w:ascii="Arial" w:cs="Arial" w:eastAsia="Arial" w:hAnsi="Arial"/>
          <w:color w:val="1C2B3A"/>
          <w:sz w:val="20"/>
          <w:szCs w:val="20"/>
        </w:rPr>
        <w:t xml:space="preserve">Step 3 — Page count limit: Add a count query to DashboardDefinition before creating a new dashboard, compared against a tier-defined maximum. Implement at Phase 6 alongside PageDefinition entity.</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iCs/>
          <w:color w:val="6B7A8D"/>
          <w:sz w:val="21"/>
          <w:szCs w:val="21"/>
        </w:rPr>
        <w:t xml:space="preserve">Estimated effort: 4–6 hours for the basic license service and 3 feature gates. Full enforcement across all GTM features: 12–15 hours.</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6 — ML Engine: Why Not Started Yet</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ML engine has not been started — this is the CORRECT decision, not a gap. Starting ML before the data pipeline is operational would produce nothing of value. The GTM correctly positions ML at Month 16 (Phase 9). The prerequisites are not yet met.</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Why the delay is architecturally correct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Correct reasons for delay</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ML requires labeled training data. That data comes from ParameterObservations joined to QualityEvents through GenealogyEdges on real customer data. The data pipeline (Phase 5: source snapshot → staging → canonical mapping) is still incomplete. You cannot train on data that is not yet flowing.</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ML requires data volume. The GTM's own correlation readiness check requires at minimum 1,000 ParameterObservations and 200 QualityEvents. Today only synthetic seed data exists — no real customer data has flowed through the canonical pipeline.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ML library decision not yet made: the choice between ML.NET, Accord.NET, or a Python microservice has not been evaluated. This evaluation happens at Phase 9 start.</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GTM correctly places ML at Month 16. Current equivalent month is 3–4. Starting now would be 12+ months of premature implementation.</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in place for ML — ready to activate when prerequisites are met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85FA5"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ML infrastructure already built</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4 ML JobDefinitions registered in the database: SYSTEM_ML_PARAMS_VS_DEFECTS (daily 02:00), SYSTEM_ML_PARAMS_VS_DOWNTIME (daily 02:30), SYSTEM_ML_PARAMS_VS_KPIS (daily 03:00), SYSTEM_ML_WEEKLY_FULL (weekly Sunday 03:00) — all IsEnabled: false, single flag flip to activate</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ModelRegistry domain entity: stores trained model metadata, version, accuracy metrics</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CorrelationResult domain entity: stores correlation analysis output ready to display</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FeatureEngineeringService: builds MaterialFeatureVector from ParameterObservations — the direct ML model input</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Python synthetic data generator with hidden defect patterns: CastingSpeed→SurfaceCrack, Superheat→Inclusion — perfect for validating ML discovery before production data is available</w:t>
            </w:r>
          </w:p>
        </w:tc>
      </w:tr>
      <w:tr>
        <w:tc>
          <w:tcPr>
            <w:tcW w:type="dxa" w:w="9120"/>
            <w:tcBorders>
              <w:top w:val="none" w:color="FFFFFF" w:sz="0"/>
              <w:left w:val="none" w:color="FFFFFF" w:sz="0"/>
              <w:bottom w:val="none" w:color="FFFFFF" w:sz="0"/>
              <w:right w:val="none" w:color="FFFFFF" w:sz="0"/>
            </w:tcBorders>
            <w:shd w:fill="E6F1FB" w:val="clear"/>
            <w:tcMar>
              <w:top w:type="dxa" w:w="40"/>
              <w:left w:type="dxa" w:w="160"/>
              <w:bottom w:type="dxa" w:w="40"/>
              <w:right w:type="dxa" w:w="160"/>
            </w:tcMar>
          </w:tcPr>
          <w:p>
            <w:pPr>
              <w:spacing w:after="40" w:before="40"/>
            </w:pPr>
            <w:r>
              <w:rPr>
                <w:rFonts w:ascii="Arial" w:cs="Arial" w:eastAsia="Arial" w:hAnsi="Arial"/>
                <w:b/>
                <w:bCs/>
                <w:color w:val="185FA5"/>
                <w:sz w:val="20"/>
                <w:szCs w:val="20"/>
              </w:rPr>
              <w:t xml:space="preserve">▸  </w:t>
            </w:r>
            <w:r>
              <w:rPr>
                <w:rFonts w:ascii="Arial" w:cs="Arial" w:eastAsia="Arial" w:hAnsi="Arial"/>
                <w:color w:val="1C2B3A"/>
                <w:sz w:val="20"/>
                <w:szCs w:val="20"/>
              </w:rPr>
              <w:t xml:space="preserve">Worker.cs placeholder job folders: Jobs\CorrelationLearning\ registered in the .csproj ready to receive implementation files</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Prerequisites before ML starts (in order)</w:t>
      </w:r>
    </w:p>
    <w:p>
      <w:pPr>
        <w:pStyle w:val="ListParagraph"/>
        <w:numPr>
          <w:ilvl w:val="0"/>
          <w:numId w:val="3"/>
        </w:numPr>
        <w:spacing w:after="60" w:before="40"/>
      </w:pPr>
      <w:r>
        <w:rPr>
          <w:rFonts w:ascii="Arial" w:cs="Arial" w:eastAsia="Arial" w:hAnsi="Arial"/>
          <w:color w:val="1C2B3A"/>
          <w:sz w:val="20"/>
          <w:szCs w:val="20"/>
        </w:rPr>
        <w:t xml:space="preserve">Complete Phase 5: end-to-end data pipeline must run — source snapshot → staging → canonical mapping → ParameterObservations flowing in the DB</w:t>
      </w:r>
    </w:p>
    <w:p>
      <w:pPr>
        <w:pStyle w:val="ListParagraph"/>
        <w:numPr>
          <w:ilvl w:val="0"/>
          <w:numId w:val="3"/>
        </w:numPr>
        <w:spacing w:after="60" w:before="40"/>
      </w:pPr>
      <w:r>
        <w:rPr>
          <w:rFonts w:ascii="Arial" w:cs="Arial" w:eastAsia="Arial" w:hAnsi="Arial"/>
          <w:color w:val="1C2B3A"/>
          <w:sz w:val="20"/>
          <w:szCs w:val="20"/>
        </w:rPr>
        <w:t xml:space="preserve">Validate with first customer CSV data: FeatureEngineeringService must produce real MaterialFeatureVectors from customer-specific parameters, not just synthetic data</w:t>
      </w:r>
    </w:p>
    <w:p>
      <w:pPr>
        <w:pStyle w:val="ListParagraph"/>
        <w:numPr>
          <w:ilvl w:val="0"/>
          <w:numId w:val="3"/>
        </w:numPr>
        <w:spacing w:after="60" w:before="40"/>
      </w:pPr>
      <w:r>
        <w:rPr>
          <w:rFonts w:ascii="Arial" w:cs="Arial" w:eastAsia="Arial" w:hAnsi="Arial"/>
          <w:color w:val="1C2B3A"/>
          <w:sz w:val="20"/>
          <w:szCs w:val="20"/>
        </w:rPr>
        <w:t xml:space="preserve">Write QualityLabelBuilderService: GTM task ML-01 — joins ParameterObservations to quality outcomes using genealogy to create the labeled training dataset</w:t>
      </w:r>
    </w:p>
    <w:p>
      <w:pPr>
        <w:pStyle w:val="ListParagraph"/>
        <w:numPr>
          <w:ilvl w:val="0"/>
          <w:numId w:val="3"/>
        </w:numPr>
        <w:spacing w:after="60" w:before="40"/>
      </w:pPr>
      <w:r>
        <w:rPr>
          <w:rFonts w:ascii="Arial" w:cs="Arial" w:eastAsia="Arial" w:hAnsi="Arial"/>
          <w:color w:val="1C2B3A"/>
          <w:sz w:val="20"/>
          <w:szCs w:val="20"/>
        </w:rPr>
        <w:t xml:space="preserve">Evaluate and choose ML library: ML.NET for in-process .NET, or a Python FastAPI microservice called by the Worker for more ML flexibility</w:t>
      </w:r>
    </w:p>
    <w:p>
      <w:pPr>
        <w:spacing w:after="0" w:before="0"/>
      </w:pPr>
      <w:r>
        <w:br w:type="page"/>
      </w:r>
    </w:p>
    <w:p>
      <w:pPr>
        <w:pStyle w:val="Heading2"/>
        <w:spacing w:after="120" w:before="360"/>
      </w:pPr>
      <w:r>
        <w:rPr>
          <w:rFonts w:ascii="Arial" w:cs="Arial" w:eastAsia="Arial" w:hAnsi="Arial"/>
          <w:b/>
          <w:bCs/>
          <w:color w:val="185FA5"/>
          <w:sz w:val="26"/>
          <w:szCs w:val="26"/>
        </w:rPr>
        <w:t xml:space="preserve">Dimension 7 — Brand Identity &amp; Market Positioning</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brand foundation is solid and consistent across both the app and the marketing website. Three specific assets are missing before the brand can be considered launch-ready.</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complete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Brand assets confirmed</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Visual identity system: dark #050b18 background, cyan #00d4ff / blue #0a84ff accent palette — industrial digital-twin aesthetic consistent across all surfaces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SOU monogram: custom SVG with industrial S/U path, glow filter, cyan gradient — production quality, not a generic icon</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PlantProcess IQ logo: node-network mark with 'PROCESS-TO-QUALITY INTELLIGENCE' tagline — correct product positioning in the logo itself</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Both app and website share the same SOUBrand.tsx component with shared CSS variables — visual consistency guaranteed</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Positioning is honest and accurate: 'read-only intelligence layer', non-goals statement, 'not replacing MES/SCADA', comparison vs Power BI correct</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Industries stated: Steel (first demo), Aluminum, Paper, Automotive, Tire, Pharma, Food, Chemicals — correct generic positioning</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Location and contact: Düsseldorf Germany, EU/MENA focus, info@plantprocessiq.com — credible professional presence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Services differentiation: PlantProcess IQ (product) vs MES consulting vs Yard Management (services) clearly separated</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missing — 3 gaps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B85C00"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Brand gaps</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GAP 1 — Hero placeholder: The homepage hero panel shows a BarChart3 lucide icon (92px) as a placeholder for an app screenshot. This is the first thing every visitor sees and it looks unfinished. Must be replaced with one real dashboard screenshot before going live.</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GAP 2 — No screenshot gallery: The GTM Proof section specifies: Dashboard screenshot, Admin DB config, Schema config SQL editor, Jobs Monitor, Investigation report. None of these appear anywhere on the website. Engineers evaluating the product need to see it before booking a demo.</w:t>
            </w:r>
          </w:p>
        </w:tc>
      </w:tr>
      <w:tr>
        <w:tc>
          <w:tcPr>
            <w:tcW w:type="dxa" w:w="9120"/>
            <w:tcBorders>
              <w:top w:val="none" w:color="FFFFFF" w:sz="0"/>
              <w:left w:val="none" w:color="FFFFFF" w:sz="0"/>
              <w:bottom w:val="none" w:color="FFFFFF" w:sz="0"/>
              <w:right w:val="none" w:color="FFFFFF" w:sz="0"/>
            </w:tcBorders>
            <w:shd w:fill="FFF4E0" w:val="clear"/>
            <w:tcMar>
              <w:top w:type="dxa" w:w="40"/>
              <w:left w:type="dxa" w:w="160"/>
              <w:bottom w:type="dxa" w:w="40"/>
              <w:right w:type="dxa" w:w="160"/>
            </w:tcMar>
          </w:tcPr>
          <w:p>
            <w:pPr>
              <w:spacing w:after="40" w:before="40"/>
            </w:pPr>
            <w:r>
              <w:rPr>
                <w:rFonts w:ascii="Arial" w:cs="Arial" w:eastAsia="Arial" w:hAnsi="Arial"/>
                <w:b/>
                <w:bCs/>
                <w:color w:val="B85C00"/>
                <w:sz w:val="20"/>
                <w:szCs w:val="20"/>
              </w:rPr>
              <w:t xml:space="preserve">▸  </w:t>
            </w:r>
            <w:r>
              <w:rPr>
                <w:rFonts w:ascii="Arial" w:cs="Arial" w:eastAsia="Arial" w:hAnsi="Arial"/>
                <w:color w:val="1C2B3A"/>
                <w:sz w:val="20"/>
                <w:szCs w:val="20"/>
              </w:rPr>
              <w:t xml:space="preserve">GAP 3 — No 2-page engineer brief: The GTM (M1 task) calls for a downloadable 2-page PDF brief to attach to initial outreach. No such document exists yet. This is what you send to the 5 warm Ezz Steel contacts in Month 1.</w:t>
            </w:r>
          </w:p>
        </w:tc>
      </w:tr>
    </w:tbl>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iCs/>
          <w:color w:val="1C2B3A"/>
          <w:sz w:val="21"/>
          <w:szCs w:val="21"/>
        </w:rPr>
        <w:t xml:space="preserve">App-side brand note: The app header has the brand correctly applied. However, there is no 'demo environment' banner or onboarding state — when a first-time user opens the app they see a live dashboard immediately with no context about what they are looking at. A subtle 'Demo data — Steel plant synthetic dataset' banner in the header would significantly improve the demo experience.</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8 — Demo Preparation</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technical foundation for the demo is strong. The packaging — demo script, screenshots, pre-demo checklist, and the 'Request Demo' CTA flow — is incomplete.</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technically demo-ready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Demo-ready features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Synthetic data: Python generator produces 100,000 parameter rows with hidden defect patterns — CastingSpeed→SurfaceCrack, Superheat→Inclusion. Run: python generate_synthetic_plantprocessiq.py --rows 100000</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Realistic steel demo seed: 1,628-line SQL seed with Materials, ProcessSteps, ParameterObservations, QualityEvents, GenealogyEdges, RiskScores, DefectCatalog — loads directly into PostgreSQL</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Dashboard builder: drag/drop widget grid, widget wizard (5 steps: purpose → configure → data link → layout → preview), save/reload layout persistence — fully working</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Data Quality page: issue categories, severity breakdown, trend chart, material-level drill-down — complete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Risk Dashboard: risk class distribution, risk score table, contributor breakdown by equipment — complete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Correlation page: parameter vs defect analysis, lift scoring, binning — complete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Material Investigation: genealogy-aware defect trace (backed by 1,148 lines of WorkflowEndpoints.cs) — this is the strongest demo feature, backs the '3 days → minutes' claim</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7-dimension readiness PDF: ApplicationReadinessService is fully built with evidence collection and scoring logic — the Data Diagnostic deliverable is ready to sell today</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Admin area: DB configuration tab, schema config SQL editor, import scheduling UI, jobs monitor with real JobRunHistory — all wired to real API endpoints</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What is missing before the first M3 demo call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A32D2D"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Demo preparation gaps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CRITICAL: Excel connector falsely marked IsAvailableNow: true in ConnectorAdminEndpoints.cs. No ExcelConnector.cs exists. If a prospect clicks 'Import Excel' during a live demo, it will fail. Fix immediately: either implement Excel import (3–4 hrs, EPPlus library) or set IsAvailableNow to false.</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Demo script: no written script exists. The GTM calls for a structured 20-minute demo flow. Before the first call, define: opening hook, which page to start on, what data to show, what questions to ask, how to handle objections. A 15-step script needs to be written.</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Screenshot pack: GTM specifies 5 clean UI screenshots for the website Proof section and outreach materials. None have been prepared or placed on the website.</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'Request Demo' CTA goes to a static contact page with an email address. There is no form, no Calendly link, no mailto: prefill. A prospect who clicks 'Request Founder Demo' has to manually copy the email — most will not. Add a Calendly embed or a simple mailto:?subject=PlantProcess+IQ+Demo+Request&amp;body=... link.</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Pre-demo checklist: GTM defines tasks P0-01 to P0-14 as golden-path verification steps before the first demo. No evidence these have been formally run against the live Hetzner deployment.</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No 'demo environment' label in the app: when a prospect joins a screen share they see a live dashboard with no context. Add a subtle banner or header label: 'Demo environment — Synthetic steel plant data'.</w:t>
            </w:r>
          </w:p>
        </w:tc>
      </w:tr>
    </w:tbl>
    <w:p>
      <w:pPr>
        <w:spacing w:after="0" w:before="0"/>
      </w:pPr>
      <w:r>
        <w:br w:type="page"/>
      </w:r>
    </w:p>
    <w:p>
      <w:pPr>
        <w:pStyle w:val="Heading2"/>
        <w:spacing w:after="120" w:before="360"/>
      </w:pPr>
      <w:r>
        <w:rPr>
          <w:rFonts w:ascii="Arial" w:cs="Arial" w:eastAsia="Arial" w:hAnsi="Arial"/>
          <w:b/>
          <w:bCs/>
          <w:color w:val="185FA5"/>
          <w:sz w:val="26"/>
          <w:szCs w:val="26"/>
        </w:rPr>
        <w:t xml:space="preserve">Dimension 9 — App: Vision Completeness</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core architecture fully supports the vision. Five specific phases remain incomplete. Below is a detailed gap analysis with implementation guidance for each.</w:t>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1920"/>
      </w:tblGrid>
      <w:tr>
        <w:tc>
          <w:tcPr>
            <w:tcW w:type="dxa" w:w="14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Phase</w:t>
            </w:r>
          </w:p>
        </w:tc>
        <w:tc>
          <w:tcPr>
            <w:tcW w:type="dxa" w:w="2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Vision Requirement</w:t>
            </w:r>
          </w:p>
        </w:tc>
        <w:tc>
          <w:tcPr>
            <w:tcW w:type="dxa" w:w="32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Current State</w:t>
            </w:r>
          </w:p>
        </w:tc>
        <w:tc>
          <w:tcPr>
            <w:tcW w:type="dxa" w:w="19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Estimate</w:t>
            </w:r>
          </w:p>
        </w:tc>
      </w:tr>
      <w:tr>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5 — Scheduler</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Worker runs imports on connection-profile-defined intervals (2 min to days)</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 definitions exist, DQ scan and risk scoring run on timers, but the connection-profile-driven snapshot dispatch loop is missing from Worker.cs</w:t>
            </w:r>
          </w:p>
        </w:tc>
        <w:tc>
          <w:tcPr>
            <w:tcW w:type="dxa" w:w="19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6–8 hrs</w:t>
            </w:r>
          </w:p>
        </w:tc>
      </w:tr>
      <w:tr>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Excel Connector</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Excel file import into staging records</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Listed as IsAvailableNow: true — no implementation exists</w:t>
            </w:r>
          </w:p>
        </w:tc>
        <w:tc>
          <w:tcPr>
            <w:tcW w:type="dxa" w:w="19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3–4 hrs</w:t>
            </w:r>
          </w:p>
        </w:tc>
      </w:tr>
      <w:tr>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6 — Page Mgmt</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User creates/deletes/modifies custom pages with widget library drag-drop</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 PageDefinition entity. Dashboard CRUD exists but is not the same as a user-facing page builder with a template library</w:t>
            </w:r>
          </w:p>
        </w:tc>
        <w:tc>
          <w:tcPr>
            <w:tcW w:type="dxa" w:w="19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12–15 hrs</w:t>
            </w:r>
          </w:p>
        </w:tc>
      </w:tr>
      <w:tr>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7 — Script Layer</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Each widget carries a query expression (groupBy, aggregation, shift) — no endpoint per widget</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WidgetQueryExpression field not on DashboardWidgetDefinition. No POST /widgets/execute endpoint</w:t>
            </w:r>
          </w:p>
        </w:tc>
        <w:tc>
          <w:tcPr>
            <w:tcW w:type="dxa" w:w="19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10–12 hrs</w:t>
            </w:r>
          </w:p>
        </w:tc>
      </w:tr>
      <w:tr>
        <w:tc>
          <w:tcPr>
            <w:tcW w:type="dxa" w:w="1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Test Coverage</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Production-grade: &gt;30 unit tests for core analytics, security-critical SafeSqlValidator tests</w:t>
            </w:r>
          </w:p>
        </w:tc>
        <w:tc>
          <w:tcPr>
            <w:tcW w:type="dxa" w:w="3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17 test files, 602 lines total for a 34,734-line backend (~1.7% ratio). 5 test project skeletons exist in .sln but most are empty</w:t>
            </w:r>
          </w:p>
        </w:tc>
        <w:tc>
          <w:tcPr>
            <w:tcW w:type="dxa" w:w="19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6–8 hrs for 40 priority tests</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Phase 5 — Worker Snapshot Scheduler (highest priority)</w:t>
      </w:r>
    </w:p>
    <w:p>
      <w:pPr>
        <w:spacing w:after="100" w:before="60"/>
        <w:jc w:val="left"/>
      </w:pPr>
      <w:r>
        <w:rPr>
          <w:rFonts w:ascii="Arial" w:cs="Arial" w:eastAsia="Arial" w:hAnsi="Arial"/>
          <w:b w:val="false"/>
          <w:bCs w:val="false"/>
          <w:i w:val="false"/>
          <w:iCs w:val="false"/>
          <w:color w:val="1C2B3A"/>
          <w:sz w:val="21"/>
          <w:szCs w:val="21"/>
        </w:rPr>
        <w:t xml:space="preserve">The Worker.cs ExecuteAsync loop currently orchestrates: ImportQueueProcessor, DataQualityScan, and RiskScoring on static timers. What is missing is the dynamic scheduler that reads ConnectionProfile.ImportIntervalMinutes from the database and dispatches source snapshots on each profile's configured schedule.</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IncrementalSyncStateService and cursor tracking infrastructure already exists. The SourceDatasetDefinition.IncrementalCursorField and SourceDatasetDefinition.LastCursorValue fields are modelled. The missing piece is the dispatch loop in Worker.cs that: (1) queries all active ConnectionProfiles where NextRunAtUtc &lt;= UtcNow, (2) calls IImportWorkflowService per profile, (3) updates NextRunAtUtc = UtcNow + ImportIntervalMinutes. Additionally, the SYSTEM_CANONICAL_MAPPING job is registered as enabled but Worker.cs never dispatches it — the staging-to-canonical mapper needs its own execution path.</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Test Coverage Priority Targets</w:t>
      </w:r>
    </w:p>
    <w:p>
      <w:pPr>
        <w:spacing w:after="100" w:before="60"/>
        <w:jc w:val="left"/>
      </w:pPr>
      <w:r>
        <w:rPr>
          <w:rFonts w:ascii="Arial" w:cs="Arial" w:eastAsia="Arial" w:hAnsi="Arial"/>
          <w:b w:val="false"/>
          <w:bCs w:val="false"/>
          <w:i w:val="false"/>
          <w:iCs w:val="false"/>
          <w:color w:val="1C2B3A"/>
          <w:sz w:val="21"/>
          <w:szCs w:val="21"/>
        </w:rPr>
        <w:t xml:space="preserve">The following 5 service areas should receive tests first, in order of business risk:</w:t>
      </w:r>
    </w:p>
    <w:p>
      <w:pPr>
        <w:pStyle w:val="ListParagraph"/>
        <w:numPr>
          <w:ilvl w:val="0"/>
          <w:numId w:val="3"/>
        </w:numPr>
        <w:spacing w:after="60" w:before="40"/>
      </w:pPr>
      <w:r>
        <w:rPr>
          <w:rFonts w:ascii="Arial" w:cs="Arial" w:eastAsia="Arial" w:hAnsi="Arial"/>
          <w:color w:val="1C2B3A"/>
          <w:sz w:val="20"/>
          <w:szCs w:val="20"/>
        </w:rPr>
        <w:t xml:space="preserve">SafeSqlValidator: adversarial SQL injection tests (DROP, DELETE, INSERT, UPDATE, EXEC, xp_cmdshell, UNION-based injection). This guards the schema view builder which executes customer-authored SQL against the production database.</w:t>
      </w:r>
    </w:p>
    <w:p>
      <w:pPr>
        <w:pStyle w:val="ListParagraph"/>
        <w:numPr>
          <w:ilvl w:val="0"/>
          <w:numId w:val="3"/>
        </w:numPr>
        <w:spacing w:after="60" w:before="40"/>
      </w:pPr>
      <w:r>
        <w:rPr>
          <w:rFonts w:ascii="Arial" w:cs="Arial" w:eastAsia="Arial" w:hAnsi="Arial"/>
          <w:color w:val="1C2B3A"/>
          <w:sz w:val="20"/>
          <w:szCs w:val="20"/>
        </w:rPr>
        <w:t xml:space="preserve">CorrelationService: binning algorithm correctness, lift score calculation, edge cases (empty dataset, single-value bins, NaN parameters).</w:t>
      </w:r>
    </w:p>
    <w:p>
      <w:pPr>
        <w:pStyle w:val="ListParagraph"/>
        <w:numPr>
          <w:ilvl w:val="0"/>
          <w:numId w:val="3"/>
        </w:numPr>
        <w:spacing w:after="60" w:before="40"/>
      </w:pPr>
      <w:r>
        <w:rPr>
          <w:rFonts w:ascii="Arial" w:cs="Arial" w:eastAsia="Arial" w:hAnsi="Arial"/>
          <w:color w:val="1C2B3A"/>
          <w:sz w:val="20"/>
          <w:szCs w:val="20"/>
        </w:rPr>
        <w:t xml:space="preserve">CsvTextParser: edge cases (empty rows, malformed headers, quoted fields with commas, different delimiters, BOM prefix, very large files).</w:t>
      </w:r>
    </w:p>
    <w:p>
      <w:pPr>
        <w:pStyle w:val="ListParagraph"/>
        <w:numPr>
          <w:ilvl w:val="0"/>
          <w:numId w:val="3"/>
        </w:numPr>
        <w:spacing w:after="60" w:before="40"/>
      </w:pPr>
      <w:r>
        <w:rPr>
          <w:rFonts w:ascii="Arial" w:cs="Arial" w:eastAsia="Arial" w:hAnsi="Arial"/>
          <w:color w:val="1C2B3A"/>
          <w:sz w:val="20"/>
          <w:szCs w:val="20"/>
        </w:rPr>
        <w:t xml:space="preserve">RiskScoreService: rule evaluation logic, score clamping, class thresholds, multi-rule override precedence.</w:t>
      </w:r>
    </w:p>
    <w:p>
      <w:pPr>
        <w:pStyle w:val="ListParagraph"/>
        <w:numPr>
          <w:ilvl w:val="0"/>
          <w:numId w:val="3"/>
        </w:numPr>
        <w:spacing w:after="60" w:before="40"/>
      </w:pPr>
      <w:r>
        <w:rPr>
          <w:rFonts w:ascii="Arial" w:cs="Arial" w:eastAsia="Arial" w:hAnsi="Arial"/>
          <w:color w:val="1C2B3A"/>
          <w:sz w:val="20"/>
          <w:szCs w:val="20"/>
        </w:rPr>
        <w:t xml:space="preserve">MappingExecutionService: field mapping resolution, null value handling, type coercion, missing source field graceful degradation.</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bCs/>
          <w:i w:val="false"/>
          <w:iCs w:val="false"/>
          <w:color w:val="1C2B3A"/>
          <w:sz w:val="21"/>
          <w:szCs w:val="21"/>
        </w:rPr>
        <w:t xml:space="preserve">Code quality items to address while building new phases:</w:t>
      </w:r>
    </w:p>
    <w:p>
      <w:pPr>
        <w:pStyle w:val="ListParagraph"/>
        <w:numPr>
          <w:ilvl w:val="0"/>
          <w:numId w:val="2"/>
        </w:numPr>
        <w:spacing w:after="60" w:before="40"/>
      </w:pPr>
      <w:r>
        <w:rPr>
          <w:rFonts w:ascii="Arial" w:cs="Arial" w:eastAsia="Arial" w:hAnsi="Arial"/>
          <w:color w:val="1C2B3A"/>
          <w:sz w:val="20"/>
          <w:szCs w:val="20"/>
        </w:rPr>
        <w:t xml:space="preserve">AdminPageContent.tsx (2,362 lines) should be split into per-tab files: DbConfigurationTabContent, SchemaConfigurationTabContent, ImportingDataTabContent, JobsMonitorTabContent. Each should be under 500 lines. Without splitting, adding Phase 6 page management will push this file over 3,000 lines.</w:t>
      </w:r>
    </w:p>
    <w:p>
      <w:pPr>
        <w:pStyle w:val="ListParagraph"/>
        <w:numPr>
          <w:ilvl w:val="0"/>
          <w:numId w:val="2"/>
        </w:numPr>
        <w:spacing w:after="60" w:before="40"/>
      </w:pPr>
      <w:r>
        <w:rPr>
          <w:rFonts w:ascii="Arial" w:cs="Arial" w:eastAsia="Arial" w:hAnsi="Arial"/>
          <w:color w:val="1C2B3A"/>
          <w:sz w:val="20"/>
          <w:szCs w:val="20"/>
        </w:rPr>
        <w:t xml:space="preserve">Frontend API client refactor is mid-flight: legacy/plantProcessApi.ts (1,279 lines monolith) is being migrated to modular api/admin/, api/analytics/, api/dashboarding/, api/integration/. Complete the migration and delete the legacy file — a partially-migrated state creates dual sources of truth.</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Dimension 10 — Commercial Saleability</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PlantProcess IQ has two distinct commercial modes: the Data Diagnostic (EUR 3,500–6,500, no pilot required) and the Correlation Diagnostic Pilot (EUR 12,000–20,000, requires contract). Each has different readiness gates.</w:t>
      </w:r>
    </w:p>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Data Diagnostic — Ready to sell today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A7A4A"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Data Diagnostic: ready</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7-dimension readiness PDF: ApplicationReadinessService is fully implemented with data quality, completeness, timeliness, genealogy, correlation readiness, prediction readiness, and configurability dimensions — the 12-page PDF is the commercial deliverable</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CSV import path: customer provides CSV export, you import, run DQ scan and risk scoring, produce the readiness PDF — the complete diagnostic path is end-to-end operational</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Read-only positioning: correctly stated on website and in app — no liability for writing back to production systems</w:t>
            </w:r>
          </w:p>
        </w:tc>
      </w:tr>
      <w:tr>
        <w:tc>
          <w:tcPr>
            <w:tcW w:type="dxa" w:w="9120"/>
            <w:tcBorders>
              <w:top w:val="none" w:color="FFFFFF" w:sz="0"/>
              <w:left w:val="none" w:color="FFFFFF" w:sz="0"/>
              <w:bottom w:val="none" w:color="FFFFFF" w:sz="0"/>
              <w:right w:val="none" w:color="FFFFFF" w:sz="0"/>
            </w:tcBorders>
            <w:shd w:fill="E8F5EE" w:val="clear"/>
            <w:tcMar>
              <w:top w:type="dxa" w:w="40"/>
              <w:left w:type="dxa" w:w="160"/>
              <w:bottom w:type="dxa" w:w="40"/>
              <w:right w:type="dxa" w:w="160"/>
            </w:tcMar>
          </w:tcPr>
          <w:p>
            <w:pPr>
              <w:spacing w:after="40" w:before="40"/>
            </w:pPr>
            <w:r>
              <w:rPr>
                <w:rFonts w:ascii="Arial" w:cs="Arial" w:eastAsia="Arial" w:hAnsi="Arial"/>
                <w:b/>
                <w:bCs/>
                <w:color w:val="1A7A4A"/>
                <w:sz w:val="20"/>
                <w:szCs w:val="20"/>
              </w:rPr>
              <w:t xml:space="preserve">▸  </w:t>
            </w:r>
            <w:r>
              <w:rPr>
                <w:rFonts w:ascii="Arial" w:cs="Arial" w:eastAsia="Arial" w:hAnsi="Arial"/>
                <w:color w:val="1C2B3A"/>
                <w:sz w:val="20"/>
                <w:szCs w:val="20"/>
              </w:rPr>
              <w:t xml:space="preserve">Diagnostic SOW template: needed (not yet written, but a 1-page Word template is sufficient to start)</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Pilot Contract (EUR 12k–20k) — 6 hard blockers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A32D2D" w:val="clear"/>
            <w:tcMar>
              <w:top w:type="dxa" w:w="60"/>
              <w:left w:type="dxa" w:w="160"/>
              <w:bottom w:type="dxa" w:w="60"/>
              <w:right w:type="dxa" w:w="160"/>
            </w:tcMar>
          </w:tcPr>
          <w:p>
            <w:pPr>
              <w:spacing w:after="120" w:before="0"/>
              <w:jc w:val="left"/>
            </w:pPr>
            <w:r>
              <w:rPr>
                <w:rFonts w:ascii="Arial" w:cs="Arial" w:eastAsia="Arial" w:hAnsi="Arial"/>
                <w:b/>
                <w:bCs/>
                <w:color w:val="FFFFFF"/>
                <w:sz w:val="20"/>
                <w:szCs w:val="20"/>
              </w:rPr>
              <w:t xml:space="preserve">Pilot gate blockers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1 — RBAC only 2 of 4 roles: PlantProcessAdmin and PlantProcessDataManager exist. A pilot customer's IT department will require Engineer (read + correlate, no admin) and Viewer (read-only dashboards) roles before giving access to plant data. Missing: Engineer and Viewer policies, endpoint guards, and role assignment in AuthEndpoints.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2 — No immutable audit log: Phase 12 requires an AuditLogEntry entity recording every data access event (user, endpoint, timestamp, data touched). No such entity or middleware exists in the domain. Enterprise and Pro Plus customers will require evidence of data access auditing in their security review.</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3 — No tenant isolation: No TenantId on any domain entity. If two customers share the same deployment (even in a multi-demo scenario), their data has no separation boundary. A pilot customer's IT security review will ask: 'How is our data isolated?' There is currently no answer.</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4 — No MSSQL connector: Most steel, aluminum, and automotive plants run MSSQL for their Level 2 historians, MES databases, and QMS. Without an MSSQL read-only connector, every pilot requires manual CSV exports — defeating the 'live connection' value proposition and limiting all engagements to diagnostic-only deals.</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5 — No legal documents: NDA + Data Processing Statement (GTM LEGAL-02, M2) and Diagnostic SOW template (GTM SOW-01, M3) are prerequisites before receiving any customer data. These are legal requirements, not optional paperwork. No NDA or SOW template exists in the repository.</w:t>
            </w:r>
          </w:p>
        </w:tc>
      </w:tr>
      <w:tr>
        <w:tc>
          <w:tcPr>
            <w:tcW w:type="dxa" w:w="9120"/>
            <w:tcBorders>
              <w:top w:val="none" w:color="FFFFFF" w:sz="0"/>
              <w:left w:val="none" w:color="FFFFFF" w:sz="0"/>
              <w:bottom w:val="none" w:color="FFFFFF" w:sz="0"/>
              <w:right w:val="none" w:color="FFFFFF" w:sz="0"/>
            </w:tcBorders>
            <w:shd w:fill="FDEAEA" w:val="clear"/>
            <w:tcMar>
              <w:top w:type="dxa" w:w="40"/>
              <w:left w:type="dxa" w:w="160"/>
              <w:bottom w:type="dxa" w:w="40"/>
              <w:right w:type="dxa" w:w="160"/>
            </w:tcMar>
          </w:tcPr>
          <w:p>
            <w:pPr>
              <w:spacing w:after="40" w:before="40"/>
            </w:pPr>
            <w:r>
              <w:rPr>
                <w:rFonts w:ascii="Arial" w:cs="Arial" w:eastAsia="Arial" w:hAnsi="Arial"/>
                <w:b/>
                <w:bCs/>
                <w:color w:val="A32D2D"/>
                <w:sz w:val="20"/>
                <w:szCs w:val="20"/>
              </w:rPr>
              <w:t xml:space="preserve">▸  </w:t>
            </w:r>
            <w:r>
              <w:rPr>
                <w:rFonts w:ascii="Arial" w:cs="Arial" w:eastAsia="Arial" w:hAnsi="Arial"/>
                <w:color w:val="1C2B3A"/>
                <w:sz w:val="20"/>
                <w:szCs w:val="20"/>
              </w:rPr>
              <w:t xml:space="preserve">BLOCKER 6 — No license enforcement: If you sign a Pro customer but the app has no tier enforcement, the customer gets Pro Plus features by default. You cannot reclaim value from features you gave away for free during the pilot period.</w:t>
            </w:r>
          </w:p>
        </w:tc>
      </w:tr>
    </w:tbl>
    <w:p>
      <w:pPr>
        <w:spacing w:after="60" w:before="0"/>
      </w:pPr>
      <w:r>
        <w:rPr>
          <w:rFonts w:ascii="Arial" w:cs="Arial" w:eastAsia="Arial" w:hAnsi="Arial"/>
          <w:b w:val="false"/>
          <w:bCs w:val="false"/>
          <w:i w:val="false"/>
          <w:iCs w:val="false"/>
          <w:color w:val="1C2B3A"/>
          <w:sz w:val="22"/>
          <w:szCs w:val="22"/>
        </w:rPr>
        <w:t xml:space="preserve"/>
      </w:r>
    </w:p>
    <w:p>
      <w:pPr>
        <w:pStyle w:val="Heading3"/>
        <w:spacing w:after="80" w:before="240"/>
      </w:pPr>
      <w:r>
        <w:rPr>
          <w:rFonts w:ascii="Arial" w:cs="Arial" w:eastAsia="Arial" w:hAnsi="Arial"/>
          <w:b/>
          <w:bCs/>
          <w:color w:val="1C2B3A"/>
          <w:sz w:val="22"/>
          <w:szCs w:val="22"/>
        </w:rPr>
        <w:t xml:space="preserve">Priority sequence to reach pilot-ready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200"/>
        <w:gridCol w:w="3120"/>
      </w:tblGrid>
      <w:tr>
        <w:tc>
          <w:tcPr>
            <w:tcW w:type="dxa" w:w="9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Priority</w:t>
            </w:r>
          </w:p>
        </w:tc>
        <w:tc>
          <w:tcPr>
            <w:tcW w:type="dxa" w:w="39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Action</w:t>
            </w:r>
          </w:p>
        </w:tc>
        <w:tc>
          <w:tcPr>
            <w:tcW w:type="dxa" w:w="12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Effort</w:t>
            </w:r>
          </w:p>
        </w:tc>
        <w:tc>
          <w:tcPr>
            <w:tcW w:type="dxa" w:w="31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Gate</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Immediate</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Fix Excel connector (false claim)</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 hr</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Demo safety</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Immediate</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Write NDA + Data Processing Statement template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2–3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Legal before any customer data</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Verify employment contract side-work clause (GTM LEGAL-03)</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Legal before any paid work</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M2–3</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Write Diagnostic SOW template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Required for first paid diagnostic</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M5–6</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Add Engineer + Viewer RBAC roles</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4–6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Before pilot proposal</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M7</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Add AuditLogEntry entity + access logging middleware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6–8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Security review prerequisite</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M8</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Basic license enforcement (connector gate + interval floor + SQL editor gate)</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4–6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Honest commercial offering</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M9</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MSSQL read-only connector (Microsoft.Data.SqlClient, keyset pagination)</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4–6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Live connection pilot capability</w:t>
            </w:r>
          </w:p>
        </w:tc>
      </w:tr>
      <w:tr>
        <w:tc>
          <w:tcPr>
            <w:tcW w:type="dxa" w:w="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M9</w:t>
            </w:r>
          </w:p>
        </w:tc>
        <w:tc>
          <w:tcPr>
            <w:tcW w:type="dxa" w:w="39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Tenant isolation basics (TenantId on key entities)</w:t>
            </w:r>
          </w:p>
        </w:tc>
        <w:tc>
          <w:tcPr>
            <w:tcW w:type="dxa" w:w="1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8–12 hrs</w:t>
            </w:r>
          </w:p>
        </w:tc>
        <w:tc>
          <w:tcPr>
            <w:tcW w:type="dxa" w:w="3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Multi-tenant safety</w:t>
            </w:r>
          </w:p>
        </w:tc>
      </w:tr>
    </w:tbl>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3. Critical Technical Findings</w:t>
      </w:r>
    </w:p>
    <w:p>
      <w:pPr>
        <w:spacing w:after="100" w:before="60"/>
        <w:jc w:val="left"/>
      </w:pPr>
      <w:r>
        <w:rPr>
          <w:rFonts w:ascii="Arial" w:cs="Arial" w:eastAsia="Arial" w:hAnsi="Arial"/>
          <w:b w:val="false"/>
          <w:bCs w:val="false"/>
          <w:i w:val="false"/>
          <w:iCs w:val="false"/>
          <w:color w:val="1C2B3A"/>
          <w:sz w:val="21"/>
          <w:szCs w:val="21"/>
        </w:rPr>
        <w:t xml:space="preserve">Five technical findings require immediate or near-term attention. These were identified by deep code analysis and were not visible from a surface-level audit.</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3.1 Excel Connector False Claim [CRITICAL — fix before any demo]</w:t>
      </w:r>
    </w:p>
    <w:p>
      <w:pPr>
        <w:spacing w:after="100" w:before="60"/>
        <w:jc w:val="left"/>
      </w:pPr>
      <w:r>
        <w:rPr>
          <w:rFonts w:ascii="Arial" w:cs="Arial" w:eastAsia="Arial" w:hAnsi="Arial"/>
          <w:b w:val="false"/>
          <w:bCs w:val="false"/>
          <w:i w:val="false"/>
          <w:iCs w:val="false"/>
          <w:color w:val="1C2B3A"/>
          <w:sz w:val="21"/>
          <w:szCs w:val="21"/>
        </w:rPr>
        <w:t xml:space="preserve">In ConnectorAdminEndpoints.cs, the Excel provider is declared with IsAvailableNow: true. Searching the entire 453-file codebase reveals zero ExcelConnector.cs, zero EPPlus or ClosedXML library references, and zero Excel parsing logic. The UI and API tell users Excel is available — it is not. This will break during a live demo the moment a prospect attempts to import an Excel file.</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bCs/>
          <w:i w:val="false"/>
          <w:iCs w:val="false"/>
          <w:color w:val="1C2B3A"/>
          <w:sz w:val="21"/>
          <w:szCs w:val="21"/>
        </w:rPr>
        <w:t xml:space="preserve">Fix options (choose one):</w:t>
      </w:r>
    </w:p>
    <w:p>
      <w:pPr>
        <w:pStyle w:val="ListParagraph"/>
        <w:numPr>
          <w:ilvl w:val="0"/>
          <w:numId w:val="2"/>
        </w:numPr>
        <w:spacing w:after="60" w:before="40"/>
      </w:pPr>
      <w:r>
        <w:rPr>
          <w:rFonts w:ascii="Arial" w:cs="Arial" w:eastAsia="Arial" w:hAnsi="Arial"/>
          <w:color w:val="1C2B3A"/>
          <w:sz w:val="20"/>
          <w:szCs w:val="20"/>
        </w:rPr>
        <w:t xml:space="preserve">Option A (1 hour): Set IsAvailableNow to false for Excel. Honest and safe. Implement Excel later at Phase 3 continuation.</w:t>
      </w:r>
    </w:p>
    <w:p>
      <w:pPr>
        <w:pStyle w:val="ListParagraph"/>
        <w:numPr>
          <w:ilvl w:val="0"/>
          <w:numId w:val="2"/>
        </w:numPr>
        <w:spacing w:after="60" w:before="40"/>
      </w:pPr>
      <w:r>
        <w:rPr>
          <w:rFonts w:ascii="Arial" w:cs="Arial" w:eastAsia="Arial" w:hAnsi="Arial"/>
          <w:color w:val="1C2B3A"/>
          <w:sz w:val="20"/>
          <w:szCs w:val="20"/>
        </w:rPr>
        <w:t xml:space="preserve">Option B (3–4 hours): Implement ExcelConnector.cs using EPPlus (MIT license). Read first sheet, convert rows to Dictionary&lt;string, string&gt;, bulk insert to StagingRecords using the same path as CsvConnector. Register in IDataSourceConnectorFactory.</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3.2 Worker.cs Missing Connection-Profile Snapshot Scheduler [HIGH]</w:t>
      </w:r>
    </w:p>
    <w:p>
      <w:pPr>
        <w:spacing w:after="100" w:before="60"/>
        <w:jc w:val="left"/>
      </w:pPr>
      <w:r>
        <w:rPr>
          <w:rFonts w:ascii="Arial" w:cs="Arial" w:eastAsia="Arial" w:hAnsi="Arial"/>
          <w:b w:val="false"/>
          <w:bCs w:val="false"/>
          <w:i w:val="false"/>
          <w:iCs w:val="false"/>
          <w:color w:val="1C2B3A"/>
          <w:sz w:val="21"/>
          <w:szCs w:val="21"/>
        </w:rPr>
        <w:t xml:space="preserve">Worker.cs runs DataQualityScan and RiskScoring on configurable intervals. Both are fully operational with JobRunHistory tracking. The SYSTEM_SOURCE_SNAPSHOT and SYSTEM_CANONICAL_MAPPING jobs are registered and enabled in the JobDefinitions table but Worker.cs never dispatches them.</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missing loop reads all active ConnectionProfiles where NextRunAtUtc &lt;= UtcNow, dispatches IImportWorkflowService.RunSnapshotAsync per profile, and updates NextRunAtUtc = UtcNow + ImportIntervalMinutes. The IncrementalSyncStateService, cursor fields on SourceDatasetDefinition, and ImportBatch workflow are all in place. Only the dispatch loop is missing. Similarly, the canonical mapping job (staging → canonical records) needs its own timer or to be dispatched as part of the snapshot completion callback.</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3.3 Test Coverage Critically Thin [HIGH — demo and pilot risk]</w:t>
      </w:r>
    </w:p>
    <w:p>
      <w:pPr>
        <w:spacing w:after="100" w:before="60"/>
        <w:jc w:val="left"/>
      </w:pPr>
      <w:r>
        <w:rPr>
          <w:rFonts w:ascii="Arial" w:cs="Arial" w:eastAsia="Arial" w:hAnsi="Arial"/>
          <w:b w:val="false"/>
          <w:bCs w:val="false"/>
          <w:i w:val="false"/>
          <w:iCs w:val="false"/>
          <w:color w:val="1C2B3A"/>
          <w:sz w:val="21"/>
          <w:szCs w:val="21"/>
        </w:rPr>
        <w:t xml:space="preserve">17 test files with 602 lines cover a 34,734-line backend — a ~1.7% test-to-code ratio. The solution has 5 test project skeletons registered in PlantProcessIQ.sln (Domain.Tests, Application.UnitTests, Infrastructure.IntegrationTests, Api.IntegrationTests, PerformanceTests) but most are empty scaffolding.</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GTM task TEST-01 specifies &gt;30 unit tests with &gt;70% coverage on CorrelationService, FeatureEngineeringService, RiskScoreService, ParseDate transforms, and SafeSqlValidator. None of these exist today. A pilot customer's technical evaluator will ask 'how do you test this?' and the honest answer is 'we don't yet.'</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SafeSqlValidator is the highest-risk untested component. It guards the schema view builder which executes customer-authored SQL against the production database. Without adversarial unit tests, a SQL injection bypass could allow destructive queries to run.</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3.4 WorkflowEndpoints.cs Is the Strongest Feature — Underexposed in GTM</w:t>
      </w:r>
    </w:p>
    <w:p>
      <w:pPr>
        <w:spacing w:after="100" w:before="60"/>
        <w:jc w:val="left"/>
      </w:pPr>
      <w:r>
        <w:rPr>
          <w:rFonts w:ascii="Arial" w:cs="Arial" w:eastAsia="Arial" w:hAnsi="Arial"/>
          <w:b w:val="false"/>
          <w:bCs w:val="false"/>
          <w:i w:val="false"/>
          <w:iCs w:val="false"/>
          <w:color w:val="1C2B3A"/>
          <w:sz w:val="21"/>
          <w:szCs w:val="21"/>
        </w:rPr>
        <w:t xml:space="preserve">At 1,148 lines, WorkflowEndpoints.cs implements the full genealogy-aware material investigation workflow: traces a quality event backward through ProcessStepExecutions, ParameterObservations, and GenealogyEdges across equipment and production routes. This directly backs the core '3 days → minutes' investigation claim.</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It is currently almost invisible: referenced only in MaterialInvestigationPage.tsx (221 lines, a secondary page). It should be the centrepiece of every demo call. The GTM demo script should open with the investigation workflow — not the dashboard — because this is what makes a process engineer say 'we need this.'</w:t>
      </w:r>
    </w:p>
    <w:p>
      <w:pPr>
        <w:spacing w:after="60" w:before="0"/>
      </w:pPr>
      <w:r>
        <w:rPr>
          <w:rFonts w:ascii="Arial" w:cs="Arial" w:eastAsia="Arial" w:hAnsi="Arial"/>
          <w:b w:val="false"/>
          <w:bCs w:val="false"/>
          <w:i w:val="false"/>
          <w:iCs w:val="false"/>
          <w:color w:val="1C2B3A"/>
          <w:sz w:val="22"/>
          <w:szCs w:val="22"/>
        </w:rPr>
        <w:t xml:space="preserve"/>
      </w:r>
    </w:p>
    <w:p>
      <w:pPr>
        <w:pStyle w:val="Heading2"/>
        <w:spacing w:after="120" w:before="360"/>
      </w:pPr>
      <w:r>
        <w:rPr>
          <w:rFonts w:ascii="Arial" w:cs="Arial" w:eastAsia="Arial" w:hAnsi="Arial"/>
          <w:b/>
          <w:bCs/>
          <w:color w:val="185FA5"/>
          <w:sz w:val="26"/>
          <w:szCs w:val="26"/>
        </w:rPr>
        <w:t xml:space="preserve">3.5 TelemetryIngestionWorker — Infrastructure Ahead of Its Data Source</w:t>
      </w:r>
    </w:p>
    <w:p>
      <w:pPr>
        <w:spacing w:after="100" w:before="60"/>
        <w:jc w:val="left"/>
      </w:pPr>
      <w:r>
        <w:rPr>
          <w:rFonts w:ascii="Arial" w:cs="Arial" w:eastAsia="Arial" w:hAnsi="Arial"/>
          <w:b w:val="false"/>
          <w:bCs w:val="false"/>
          <w:i w:val="false"/>
          <w:iCs w:val="false"/>
          <w:color w:val="1C2B3A"/>
          <w:sz w:val="21"/>
          <w:szCs w:val="21"/>
        </w:rPr>
        <w:t xml:space="preserve">TelemetryIngestionWorker.cs is a production-grade Channel-based bulk ingestion service designed for real-time parameter observation streams at 5,000 rows / 1-second batches using System.Threading.Channels. It is complete and well-implemented. However, there is currently no live telemetry producer — no process historian connector, no OPC-UA reader, no MSSQL live read — to push data into the channel.</w:t>
      </w:r>
    </w:p>
    <w:p>
      <w:pPr>
        <w:spacing w:after="60" w:before="0"/>
      </w:pPr>
      <w:r>
        <w:rPr>
          <w:rFonts w:ascii="Arial" w:cs="Arial" w:eastAsia="Arial" w:hAnsi="Arial"/>
          <w:b w:val="false"/>
          <w:bCs w:val="false"/>
          <w:i w:val="false"/>
          <w:iCs w:val="false"/>
          <w:color w:val="1C2B3A"/>
          <w:sz w:val="22"/>
          <w:szCs w:val="22"/>
        </w:rPr>
        <w:t xml:space="preserve"/>
      </w:r>
    </w:p>
    <w:p>
      <w:pPr>
        <w:spacing w:after="100" w:before="60"/>
        <w:jc w:val="left"/>
      </w:pPr>
      <w:r>
        <w:rPr>
          <w:rFonts w:ascii="Arial" w:cs="Arial" w:eastAsia="Arial" w:hAnsi="Arial"/>
          <w:b w:val="false"/>
          <w:bCs w:val="false"/>
          <w:i w:val="false"/>
          <w:iCs w:val="false"/>
          <w:color w:val="1C2B3A"/>
          <w:sz w:val="21"/>
          <w:szCs w:val="21"/>
        </w:rPr>
        <w:t xml:space="preserve">The snapshot import path (CSV/Excel → StagingRecords) is the active ingestion path today. The TelemetryIngestionWorker will activate when real-time database connectors land in Phase 9+. This is not a bug — it is correct forward-looking infrastructure. But it should be noted that the worker currently processes zero rows per second.</w:t>
      </w:r>
    </w:p>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4. Technical Roadmap — Next 6 Months</w:t>
      </w:r>
    </w:p>
    <w:p>
      <w:pPr>
        <w:spacing w:after="100" w:before="60"/>
        <w:jc w:val="left"/>
      </w:pPr>
      <w:r>
        <w:rPr>
          <w:rFonts w:ascii="Arial" w:cs="Arial" w:eastAsia="Arial" w:hAnsi="Arial"/>
          <w:b w:val="false"/>
          <w:bCs w:val="false"/>
          <w:i w:val="false"/>
          <w:iCs w:val="false"/>
          <w:color w:val="1C2B3A"/>
          <w:sz w:val="21"/>
          <w:szCs w:val="21"/>
        </w:rPr>
        <w:t xml:space="preserve">Aligned with GTM V4.1. Effort estimates are for one engineer working part-time (2–5 hours/week).</w:t>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120"/>
        <w:gridCol w:w="2400"/>
      </w:tblGrid>
      <w:tr>
        <w:tc>
          <w:tcPr>
            <w:tcW w:type="dxa" w:w="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Month</w:t>
            </w:r>
          </w:p>
        </w:tc>
        <w:tc>
          <w:tcPr>
            <w:tcW w:type="dxa" w:w="20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Primary Focus</w:t>
            </w:r>
          </w:p>
        </w:tc>
        <w:tc>
          <w:tcPr>
            <w:tcW w:type="dxa" w:w="41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Key Deliverables</w:t>
            </w:r>
          </w:p>
        </w:tc>
        <w:tc>
          <w:tcPr>
            <w:tcW w:type="dxa" w:w="24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Revenue Gate</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M3 (now)</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Demo packaging + publish website</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Fix Excel connector. Update DNS + Caddyfile. Write demo script. 5 screenshots. Contact form. Pre-demo golden-path checklist.</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First demo calls</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M4</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Data Diagnostic commercial launch</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Diagnostic SOW template. NDA template. Verify side-work clause. First paid diagnostic (EUR 3,500–4,500). Readiness PDF delivery.</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EUR 3,500–5,000</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M5–M6</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5: Import scheduler + MSSQL connector</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Worker snapshot dispatch loop. Canonical mapping job execution. ImportIntervalMinutes scheduling. MSSQL read-only connector via Microsoft.Data.SqlClient.</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Second diagnostic EUR 5k–6.5k</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M6–M7</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5 completion + security foundations</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Engineer + Viewer RBAC roles. AuditLogEntry entity + middleware. Basic license enforcement (3 gates). Excel connector implemented.</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Pilot proposal EUR 12k–18k</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M8</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12: Pilot security gate</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Full RBAC 4 roles. Immutable audit log. Tenant isolation basics. Secret resolution via env vars only. Production security checklist.</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Pilot contract signature</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M9–M10</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6: Page management</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PageDefinition entity + CRUD API. Page builder UI with widget library drag-drop. Template library. Edit/delete existing pages.</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 Plus upgrade path</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M11–M12</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7: Widget script layer + tests</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WidgetQueryExpression on DashboardWidgetDefinition. POST /widgets/execute generic endpoint. SafeSqlValidator extended. 40+ unit tests written.</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 Plus feature completeness</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M13–M15</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8: Advanced features</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Transform rules. Failed-row viewer. Data lineage. Dashboard page templates. License enforcement full implementation.</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Annual license renewal</w:t>
            </w:r>
          </w:p>
        </w:tc>
      </w:tr>
      <w:tr>
        <w:tc>
          <w:tcPr>
            <w:tcW w:type="dxa" w:w="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M16+</w:t>
            </w:r>
          </w:p>
        </w:tc>
        <w:tc>
          <w:tcPr>
            <w:tcW w:type="dxa" w:w="20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9: ML engine</w:t>
            </w:r>
          </w:p>
        </w:tc>
        <w:tc>
          <w:tcPr>
            <w:tcW w:type="dxa" w:w="41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QualityLabelBuilderService. 4 learning jobs activated. Correlation Page InspectionJob runner. ML library integration. Suggestion and recommendation page design.</w:t>
            </w:r>
          </w:p>
        </w:tc>
        <w:tc>
          <w:tcPr>
            <w:tcW w:type="dxa" w:w="24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 Plus ML tier</w:t>
            </w:r>
          </w:p>
        </w:tc>
      </w:tr>
    </w:tbl>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5. GTM Alignment — Code vs Plan</w:t>
      </w:r>
    </w:p>
    <w:p>
      <w:pPr>
        <w:spacing w:after="100" w:before="60"/>
        <w:jc w:val="left"/>
      </w:pPr>
      <w:r>
        <w:rPr>
          <w:rFonts w:ascii="Arial" w:cs="Arial" w:eastAsia="Arial" w:hAnsi="Arial"/>
          <w:b w:val="false"/>
          <w:bCs w:val="false"/>
          <w:i w:val="false"/>
          <w:iCs w:val="false"/>
          <w:color w:val="1C2B3A"/>
          <w:sz w:val="21"/>
          <w:szCs w:val="21"/>
        </w:rPr>
        <w:t xml:space="preserve">The following table maps every major GTM task category to its current implementation state in the codebase.</w:t>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880"/>
        <w:gridCol w:w="2600"/>
        <w:gridCol w:w="3040"/>
      </w:tblGrid>
      <w:tr>
        <w:tc>
          <w:tcPr>
            <w:tcW w:type="dxa" w:w="2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GTM Task</w:t>
            </w:r>
          </w:p>
        </w:tc>
        <w:tc>
          <w:tcPr>
            <w:tcW w:type="dxa" w:w="88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Phase</w:t>
            </w:r>
          </w:p>
        </w:tc>
        <w:tc>
          <w:tcPr>
            <w:tcW w:type="dxa" w:w="2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Code State</w:t>
            </w:r>
          </w:p>
        </w:tc>
        <w:tc>
          <w:tcPr>
            <w:tcW w:type="dxa" w:w="304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Remaining</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P0 — Golden path E2E (H-01 to H-14)</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0</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CSV import → DQ scan → risk → correlation → PDF: all API endpoints exist</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Formal golden-path run on Hetzner not documented</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CSV connector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ConnectorAdminEndpoints + CsvConnector + CsvTextParser: complete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Excel connector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Listed as IsAvailableNow: true — zero implementation</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3–4 hrs to implement or 1 hr to set false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PostgreSQL connector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3</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Listed as planned, not implemented</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Phase 9+ roadmap</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MSSQL connector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Connector</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Listed as planned, not implemented</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4–6 hrs (Microsoft.Data.SqlClient)</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 View Builder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SchemaViewDefinition + SQL editor UI + approval workflow: complete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KPI view builder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KpiDefinition entity + UI builder: complete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Import scheduling UI</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UI scheduling panel + JobDefinition + ImportIntervalMinutes: complete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Worker dispatch loop: 6–8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Jobs Monitor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5</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JobDefinition + JobRunHistory + AdminEndpoints: fully wired to real data</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Page management</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started — no PageDefinition entity</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12–15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Widget script layer</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7</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started — no WidgetQueryExpression, no /widgets/execute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10–12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RBAC 4 roles</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 of 4: PlantProcessAdmin, PlantProcessDataManager</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Engineer + Viewer: 4–6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Audit log</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started — no AuditLogEntry entity</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6–8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Tenant isolation</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12</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started — no TenantId on entities</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8–12 hrs</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ML learning jobs</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9</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 job stubs registered, all IsEnabled: false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Depends on Phase 5 completion</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QualityLabelBuilderService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9</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written</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Required for ML-01 (Phase 9)</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Dashboard builder (widget wizard)</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Complete: drag/drop, wizard, save, persistence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Data Quality page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H-phase</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Complete: categories, severity, trend, drill-down</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Risk Dashboard</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H-phase</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Complete: class distribution, contributors, score table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Correlation page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H-phase</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Complete: parameter vs defect, lift scoring, binning</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 Investigation</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H-phase</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Complete: 1,148-line genealogy-aware workflow</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Needs more prominent demo placement</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7-dimension readiness PDF</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11</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ApplicationReadinessService: complete</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None — ready to deliver</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Diagnostic SOW template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SOW-01</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written — legal document needed</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 hrs to draft</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NDA template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LEGAL-02</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Not written — legal document needed</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2–3 hrs to draft</w:t>
            </w:r>
          </w:p>
        </w:tc>
      </w:tr>
      <w:tr>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Unit test suite</w:t>
            </w:r>
          </w:p>
        </w:tc>
        <w:tc>
          <w:tcPr>
            <w:tcW w:type="dxa" w:w="88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TEST-01</w:t>
            </w:r>
          </w:p>
        </w:tc>
        <w:tc>
          <w:tcPr>
            <w:tcW w:type="dxa" w:w="2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17 files / 602 lines — 5 project skeletons empty</w:t>
            </w:r>
          </w:p>
        </w:tc>
        <w:tc>
          <w:tcPr>
            <w:tcW w:type="dxa" w:w="304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40 priority tests: 6–8 hrs</w:t>
            </w:r>
          </w:p>
        </w:tc>
      </w:tr>
    </w:tbl>
    <w:p>
      <w:pPr>
        <w:spacing w:after="0" w:before="0"/>
      </w:pPr>
      <w:r>
        <w:br w:type="page"/>
      </w:r>
    </w:p>
    <w:p>
      <w:pPr>
        <w:pStyle w:val="Heading1"/>
        <w:pBdr>
          <w:bottom w:val="single" w:color="00A8CC" w:sz="8" w:space="4"/>
        </w:pBdr>
        <w:spacing w:after="200" w:before="480"/>
      </w:pPr>
      <w:r>
        <w:rPr>
          <w:rFonts w:ascii="Arial" w:cs="Arial" w:eastAsia="Arial" w:hAnsi="Arial"/>
          <w:b/>
          <w:bCs/>
          <w:color w:val="0B1E3D"/>
          <w:sz w:val="36"/>
          <w:szCs w:val="36"/>
        </w:rPr>
        <w:t xml:space="preserve">6. Appendix — Domain Entity Reference</w:t>
      </w:r>
    </w:p>
    <w:p>
      <w:pPr>
        <w:spacing w:after="100" w:before="60"/>
        <w:jc w:val="left"/>
      </w:pPr>
      <w:r>
        <w:rPr>
          <w:rFonts w:ascii="Arial" w:cs="Arial" w:eastAsia="Arial" w:hAnsi="Arial"/>
          <w:b w:val="false"/>
          <w:bCs w:val="false"/>
          <w:i w:val="false"/>
          <w:iCs w:val="false"/>
          <w:color w:val="1C2B3A"/>
          <w:sz w:val="21"/>
          <w:szCs w:val="21"/>
        </w:rPr>
        <w:t xml:space="preserve">Complete list of all 35 domain entities in the PlantProcess IQ domain model.</w:t>
      </w:r>
    </w:p>
    <w:p>
      <w:pPr>
        <w:spacing w:after="60" w:before="0"/>
      </w:pPr>
      <w:r>
        <w:rPr>
          <w:rFonts w:ascii="Arial" w:cs="Arial" w:eastAsia="Arial" w:hAnsi="Arial"/>
          <w:b w:val="false"/>
          <w:bCs w:val="false"/>
          <w:i w:val="false"/>
          <w:iCs w:val="false"/>
          <w:color w:val="1C2B3A"/>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320"/>
      </w:tblGrid>
      <w:tr>
        <w:tc>
          <w:tcPr>
            <w:tcW w:type="dxa" w:w="22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Entity</w:t>
            </w:r>
          </w:p>
        </w:tc>
        <w:tc>
          <w:tcPr>
            <w:tcW w:type="dxa" w:w="160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Namespace</w:t>
            </w:r>
          </w:p>
        </w:tc>
        <w:tc>
          <w:tcPr>
            <w:tcW w:type="dxa" w:w="5320"/>
            <w:tcBorders>
              <w:top w:val="single" w:color="0B1E3D" w:sz="4"/>
              <w:left w:val="single" w:color="0B1E3D" w:sz="4"/>
              <w:bottom w:val="single" w:color="0B1E3D" w:sz="4"/>
              <w:right w:val="single" w:color="0B1E3D" w:sz="4"/>
            </w:tcBorders>
            <w:shd w:fill="0B1E3D" w:val="clear"/>
            <w:tcMar>
              <w:top w:type="dxa" w:w="80"/>
              <w:left w:type="dxa" w:w="120"/>
              <w:bottom w:type="dxa" w:w="80"/>
              <w:right w:type="dxa" w:w="120"/>
            </w:tcMar>
          </w:tcPr>
          <w:p>
            <w:pPr>
              <w:spacing w:after="120" w:before="0"/>
              <w:jc w:val="left"/>
            </w:pPr>
            <w:r>
              <w:rPr>
                <w:rFonts w:ascii="Arial" w:cs="Arial" w:eastAsia="Arial" w:hAnsi="Arial"/>
                <w:b/>
                <w:bCs/>
                <w:color w:val="FFFFFF"/>
                <w:sz w:val="18"/>
                <w:szCs w:val="18"/>
              </w:rPr>
              <w:t xml:space="preserve">Purpose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Site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PlantLayout</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Physical plant/site location — top of the location hierarchy</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Area</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PlantLayout</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Production area within a site (e.g. steelmaking, rolling)</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Equipment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PlantLayout</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Individual machine or workstation (e.g. Caster A, HSM-01)</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IndustryTemplate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Configuration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Industry-specific configuration template (e.g. FlatSteel)</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MaterialUnitTypeDefinition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Configuration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Defines material unit types: Heat, Slab, Coil, Piece, Sample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OperationDefinition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Configuration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Defines named operations: ContinuousCasting, HotRolling, Inspection</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Route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Configuration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Ordered sequence of operations a material unit follows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RouteStep</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Configuration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Single step in a Route with sequence order and operation reference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SourceSystemDefinition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Customer source system registration (MES, QMS, process historian)</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ConnectionProfile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Read-only DB link to a customer source (host, port, credentials ref, import interval)</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SourceDatasetDefinition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One table/sheet/query within a ConnectionProfile (cursor field, refresh interval)</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SourceFieldDefinition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 discovery result: field name, type, sample values from a source dataset</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StagingRecord</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Raw dump of a source row before canonical mapping (JSON payload, processing status)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ImportBatch</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Groups a set of StagingRecords imported in one job run (batch code, status, row count)</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MappingDefinition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Maps a source object (StagingRecord.SourceObjectName) to a canonical target entity</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SchemaViewDefinition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Customer-authored SQL view over staging data (SELECT/WITH only, approval required)</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KpiDefinition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Customer-defined KPI from a SchemaViewDefinition (expression, unit, aggregation type)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Scheduled job registration (type, schedule expression, enabled flag, last run status)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JobRunHistory</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Integration</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Immutable operational record of one job execution (duration, status, result summary)</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MaterialUnit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Core trackable unit: Heat, Slab, Coil, Piece — carries production timestamps and grade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MaterialAlias</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Cross-system ID mapping (e.g. QMS_ID → MaterialUnit) for genealogy joins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GenealogyEdge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Materials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Parent-child material relationship (Heat→Slab, Slab→Coil) with effective timestamps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ProcessStepExecution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One production step execution: operation, equipment, crew, start/end timestamps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ParameterDefinition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Named process parameter definition (e.g. CastingSpeed, Superheat, RollingForce)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ParameterObservation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One measurement of a ParameterDefinition linked to MaterialUnit and ProcessStep</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ProcessEvent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Discrete process event: alarm, setpoint change, mode transition</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DowntimeEvent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Process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Equipment downtime record: cause code, duration, linked material unit</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DefectCatalog</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Library of known defect types: code, severity category, description</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QualityEvent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Defect detection or quality decision linked to a MaterialUnit</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DataQualityIssue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Quality</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Data pipeline integrity finding: missing IDs, broken genealogy, duplicate records</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RiskScore</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Analytics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Rule-based quality risk score for a MaterialUnit (score, class, contributors JSON)</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CorrelationResult</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Analytics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ML correlation output: parameter vs outcome lift score, confidence, sample count</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ModelRegistry</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Analytics</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Trained ML model metadata: type, version, accuracy metrics, training date</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DashboardDefinition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Dashboarding</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User-defined dashboard: layout JSON, default flag, system template flag</w:t>
            </w:r>
          </w:p>
        </w:tc>
      </w:tr>
      <w:tr>
        <w:tc>
          <w:tcPr>
            <w:tcW w:type="dxa" w:w="22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DashboardWidgetDefinition</w:t>
            </w:r>
          </w:p>
        </w:tc>
        <w:tc>
          <w:tcPr>
            <w:tcW w:type="dxa" w:w="160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Dashboarding</w:t>
            </w:r>
          </w:p>
        </w:tc>
        <w:tc>
          <w:tcPr>
            <w:tcW w:type="dxa" w:w="5320"/>
            <w:tcBorders>
              <w:top w:val="single" w:color="C5D2E0" w:sz="4"/>
              <w:left w:val="single" w:color="C5D2E0" w:sz="4"/>
              <w:bottom w:val="single" w:color="C5D2E0" w:sz="4"/>
              <w:right w:val="single" w:color="C5D2E0"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color w:val="1C2B3A"/>
                <w:sz w:val="19"/>
                <w:szCs w:val="19"/>
              </w:rPr>
              <w:t xml:space="preserve">One widget on a dashboard: chart type, dimension, measure, filter JSON, layout JSON</w:t>
            </w:r>
          </w:p>
        </w:tc>
      </w:tr>
    </w:tbl>
    <w:p>
      <w:pPr>
        <w:spacing w:after="60" w:before="0"/>
      </w:pPr>
      <w:r>
        <w:rPr>
          <w:rFonts w:ascii="Arial" w:cs="Arial" w:eastAsia="Arial" w:hAnsi="Arial"/>
          <w:b w:val="false"/>
          <w:bCs w:val="false"/>
          <w:i w:val="false"/>
          <w:iCs w:val="false"/>
          <w:color w:val="1C2B3A"/>
          <w:sz w:val="22"/>
          <w:szCs w:val="22"/>
        </w:rPr>
        <w:t xml:space="preserve"/>
      </w:r>
    </w:p>
    <w:p>
      <w:pPr>
        <w:spacing w:after="60" w:before="0"/>
      </w:pPr>
      <w:r>
        <w:rPr>
          <w:rFonts w:ascii="Arial" w:cs="Arial" w:eastAsia="Arial" w:hAnsi="Arial"/>
          <w:b w:val="false"/>
          <w:bCs w:val="false"/>
          <w:i w:val="false"/>
          <w:iCs w:val="false"/>
          <w:color w:val="1C2B3A"/>
          <w:sz w:val="22"/>
          <w:szCs w:val="22"/>
        </w:rPr>
        <w:t xml:space="preserve"/>
      </w:r>
    </w:p>
    <w:p>
      <w:pPr>
        <w:pBdr>
          <w:bottom w:val="single" w:color="E8EEF5" w:sz="4" w:space="2"/>
        </w:pBdr>
        <w:spacing w:after="120" w:before="120"/>
      </w:pPr>
      <w:r>
        <w:rPr>
          <w:rFonts w:ascii="Arial" w:cs="Arial" w:eastAsia="Arial" w:hAnsi="Arial"/>
          <w:sz w:val="4"/>
          <w:szCs w:val="4"/>
        </w:rPr>
        <w:t xml:space="preserve"/>
      </w:r>
    </w:p>
    <w:p>
      <w:pPr>
        <w:spacing w:after="60" w:before="0"/>
      </w:pPr>
      <w:r>
        <w:rPr>
          <w:rFonts w:ascii="Arial" w:cs="Arial" w:eastAsia="Arial" w:hAnsi="Arial"/>
          <w:b w:val="false"/>
          <w:bCs w:val="false"/>
          <w:i w:val="false"/>
          <w:iCs w:val="false"/>
          <w:color w:val="1C2B3A"/>
          <w:sz w:val="22"/>
          <w:szCs w:val="22"/>
        </w:rPr>
        <w:t xml:space="preserve"/>
      </w:r>
    </w:p>
    <w:p>
      <w:pPr>
        <w:spacing w:after="0" w:before="120"/>
        <w:jc w:val="center"/>
      </w:pPr>
      <w:r>
        <w:rPr>
          <w:rFonts w:ascii="Arial" w:cs="Arial" w:eastAsia="Arial" w:hAnsi="Arial"/>
          <w:i/>
          <w:iCs/>
          <w:color w:val="6B7A8D"/>
          <w:sz w:val="20"/>
          <w:szCs w:val="20"/>
        </w:rPr>
        <w:t xml:space="preserve">End of Report</w:t>
      </w:r>
    </w:p>
    <w:p>
      <w:pPr>
        <w:spacing w:after="0" w:before="60"/>
        <w:jc w:val="center"/>
      </w:pPr>
      <w:r>
        <w:rPr>
          <w:rFonts w:ascii="Arial" w:cs="Arial" w:eastAsia="Arial" w:hAnsi="Arial"/>
          <w:color w:val="6B7A8D"/>
          <w:sz w:val="18"/>
          <w:szCs w:val="18"/>
        </w:rPr>
        <w:t xml:space="preserve">PlantProcess IQ  ·  SOU Industrial Software  ·  Confidential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5" w:sz="4" w:space="2"/>
      </w:pBdr>
      <w:tabs>
        <w:tab w:val="right" w:pos="9360"/>
      </w:tabs>
      <w:spacing w:after="0" w:before="120"/>
    </w:pPr>
    <w:r>
      <w:rPr>
        <w:rFonts w:ascii="Arial" w:cs="Arial" w:eastAsia="Arial" w:hAnsi="Arial"/>
        <w:color w:val="6B7A8D"/>
        <w:sz w:val="18"/>
        <w:szCs w:val="18"/>
      </w:rPr>
      <w:t xml:space="preserve">SOU Industrial Software</w:t>
    </w:r>
    <w:r>
      <w:rPr>
        <w:rFonts w:ascii="Arial" w:cs="Arial" w:eastAsia="Arial" w:hAnsi="Arial"/>
        <w:sz w:val="18"/>
        <w:szCs w:val="18"/>
      </w:rPr>
      <w:t xml:space="preserve">	</w:t>
    </w:r>
    <w:r>
      <w:rPr>
        <w:rFonts w:ascii="Arial" w:cs="Arial" w:eastAsia="Arial" w:hAnsi="Arial"/>
        <w:color w:val="6B7A8D"/>
        <w:sz w:val="18"/>
        <w:szCs w:val="18"/>
      </w:rPr>
      <w:t xml:space="preserve">Page </w:t>
    </w:r>
    <w:r>
      <w:rPr>
        <w:rFonts w:ascii="Arial" w:cs="Arial" w:eastAsia="Arial" w:hAnsi="Arial"/>
        <w:color w:val="6B7A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5" w:sz="4" w:space="2"/>
      </w:pBdr>
      <w:tabs>
        <w:tab w:val="right" w:pos="9360"/>
      </w:tabs>
      <w:spacing w:after="120" w:before="0"/>
    </w:pPr>
    <w:r>
      <w:rPr>
        <w:rFonts w:ascii="Arial" w:cs="Arial" w:eastAsia="Arial" w:hAnsi="Arial"/>
        <w:color w:val="6B7A8D"/>
        <w:sz w:val="18"/>
        <w:szCs w:val="18"/>
      </w:rPr>
      <w:t xml:space="preserve">PlantProcess IQ — Full-Stack Status &amp; Strategic Audit Report</w:t>
    </w:r>
    <w:r>
      <w:rPr>
        <w:rFonts w:ascii="Arial" w:cs="Arial" w:eastAsia="Arial" w:hAnsi="Arial"/>
        <w:sz w:val="18"/>
        <w:szCs w:val="18"/>
      </w:rPr>
      <w:t xml:space="preserve">	</w:t>
    </w:r>
    <w:r>
      <w:rPr>
        <w:rFonts w:ascii="Arial" w:cs="Arial" w:eastAsia="Arial" w:hAnsi="Arial"/>
        <w:color w:val="6B7A8D"/>
        <w:sz w:val="18"/>
        <w:szCs w:val="18"/>
      </w:rPr>
      <w:t xml:space="preserve">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1E3D"/>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C2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2026-05-20T07:53:18.466Z</dcterms:created>
  <dcterms:modified xsi:type="dcterms:W3CDTF">2026-05-20T07:53:18.479Z</dcterms:modified>
</cp:coreProperties>
</file>

<file path=docProps/custom.xml><?xml version="1.0" encoding="utf-8"?>
<Properties xmlns="http://schemas.openxmlformats.org/officeDocument/2006/custom-properties" xmlns:vt="http://schemas.openxmlformats.org/officeDocument/2006/docPropsVTypes"/>
</file>