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rFonts w:ascii="Calibri" w:hAnsi="Calibri" w:eastAsia="Calibri"/>
          <w:b/>
          <w:color w:val="1D4ED8"/>
          <w:sz w:val="24"/>
        </w:rPr>
        <w:t>SimpleBIZ</w:t>
      </w:r>
      <w:r>
        <w:rPr>
          <w:rFonts w:ascii="Calibri" w:hAnsi="Calibri" w:eastAsia="Calibri"/>
          <w:b/>
          <w:color w:val="5B6573"/>
          <w:sz w:val="19"/>
        </w:rPr>
        <w:t xml:space="preserve">  |  SIMPLEBIZ ONE</w:t>
      </w:r>
    </w:p>
    <w:p>
      <w:pPr>
        <w:spacing w:after="400"/>
        <w:pBdr>
          <w:bottom w:val="single" w:sz="14" w:space="5" w:color="F59E0B"/>
        </w:pBdr>
      </w:pPr>
    </w:p>
    <w:p>
      <w:pPr>
        <w:pStyle w:val="Title"/>
      </w:pPr>
      <w:r>
        <w:t>MDS-000</w:t>
      </w:r>
    </w:p>
    <w:p>
      <w:pPr>
        <w:pStyle w:val="Title"/>
        <w:spacing w:before="0"/>
      </w:pPr>
      <w:r>
        <w:rPr>
          <w:rFonts w:ascii="Calibri" w:hAnsi="Calibri" w:eastAsia="Calibri"/>
          <w:b/>
          <w:color w:val="0B2545"/>
          <w:sz w:val="58"/>
        </w:rPr>
        <w:t>SimpleBIZ One Core</w:t>
      </w:r>
    </w:p>
    <w:p>
      <w:pPr>
        <w:pStyle w:val="Subtitle"/>
      </w:pPr>
      <w:r>
        <w:t>Module Design Specification</w:t>
      </w:r>
    </w:p>
    <w:p>
      <w:pPr>
        <w:spacing w:after="480"/>
      </w:pPr>
      <w:r>
        <w:rPr>
          <w:rFonts w:ascii="Calibri" w:hAnsi="Calibri" w:eastAsia="Calibri"/>
          <w:color w:val="5B6573"/>
          <w:sz w:val="23"/>
        </w:rPr>
        <w:t>The governing design framework for the shared platform services, processing model, module boundaries, controls, and product experience used by every SimpleBIZ One module.</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1.2</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Classification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spacing w:before="360" w:after="0"/>
        <w:shd w:fill="F4F8FC" w:val="clear"/>
      </w:pPr>
      <w:r>
        <w:rPr>
          <w:rFonts w:ascii="Calibri" w:hAnsi="Calibri" w:eastAsia="Calibri"/>
          <w:b/>
          <w:color w:val="1D4ED8"/>
          <w:sz w:val="19"/>
        </w:rPr>
        <w:t xml:space="preserve">CORE DESIGN DIRECTIVE  </w:t>
      </w:r>
      <w:r>
        <w:rPr>
          <w:rFonts w:ascii="Calibri" w:hAnsi="Calibri" w:eastAsia="Calibri"/>
          <w:b/>
          <w:color w:val="0B2545"/>
          <w:sz w:val="21"/>
        </w:rPr>
        <w:t>One platform, one governed source of truth, simple user journeys, and controlled growth from free business tools to a full ERP.</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ID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MDS-000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title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 Core 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1.2</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family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Repository location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03 - Architecture &amp; Design / 02 - Module Design Specifications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Supersedes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MDS-000 Core Module Design Specification v1.1</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pStyle w:val="Heading1"/>
      </w:pPr>
      <w:r>
        <w:t>Revision History</w:t>
      </w:r>
    </w:p>
    <w:tbl>
      <w:tblPr>
        <w:tblW w:type="dxa" w:w="9360"/>
        <w:jc w:val="left"/>
        <w:tblLayout w:type="fixed"/>
        <w:tblLook w:firstColumn="1" w:firstRow="1" w:lastColumn="0" w:lastRow="0" w:noHBand="0" w:noVBand="1" w:val="04A0"/>
        <w:tblInd w:w="120" w:type="dxa"/>
      </w:tblPr>
      <w:tblGrid>
        <w:gridCol w:w="900"/>
        <w:gridCol w:w="1550"/>
        <w:gridCol w:w="5210"/>
        <w:gridCol w:w="1700"/>
      </w:tblGrid>
      <w:tr>
        <w:trPr>
          <w:cantSplit/>
          <w:tblHeader w:val="true"/>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Version</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Date</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Description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Status</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1.0</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11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Established the common module design framework.</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Draft</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1.1</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17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Added the module/UI boundary, UI Navigation Independence, Multiple UI Entry Points, landing-page standards, and accounting terminology safeguards.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For Review</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1.2</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30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Aligned the Core specification with the 12-document MDS series, current workspaces, Master Registries, shared Core services, modular-monolith implementation, AI-ready controls, and legacy functional continuity.</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For Review</w:t>
            </w:r>
          </w:p>
        </w:tc>
      </w:tr>
    </w:tbl>
    <w:p>
      <w:pPr>
        <w:spacing w:after="0"/>
      </w:pPr>
    </w:p>
    <w:p>
      <w:pPr>
        <w:pStyle w:val="Heading1"/>
      </w:pPr>
      <w:r>
        <w:t>Related and Governing Documents</w:t>
      </w:r>
    </w:p>
    <w:tbl>
      <w:tblPr>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 family</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Relationship to MDS-000</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SBZ</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Product vision, strategy, governance, editions, and roadmap.</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STD</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Documentation, naming, design, icon, coding, and other approved standards.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ARC-100–ARC-800</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Business, object, event, transaction, data, module, platform, integration, security, technology, and deployment architecture.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DEV-000</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Development environment, architecture implementation, repository, coding, database, testing, delivery, and AI-development controls.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UID-000</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Core user-interface framework, application shell, workspace patterns, accessibility, responsive behavior, and interaction standards.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WF / SCR</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Approved workspace wireframes and screen specifications.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DBS / API / TST / MET</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Database, interface, testing, and methodology specifications required for implementation and assurance.</w:t>
            </w:r>
          </w:p>
        </w:tc>
      </w:tr>
    </w:tbl>
    <w:p>
      <w:pPr>
        <w:spacing w:after="0"/>
      </w:pPr>
    </w:p>
    <w:p>
      <w:pPr>
        <w:pStyle w:val="Heading1"/>
      </w:pPr>
      <w:r>
        <w:t>Contents at a Glance</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Part</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Coverage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 — Foundation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1–6: purpose, scope, product context, objectives, principles, and Core boundary.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 — Application and Module Architecture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7–12: official MDS series, ownership, architecture, module components, Core services, and technology baseline.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III — Processing and Data Standards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13–22: data, documents, events, transactions, lifecycle, validation, audit, and integration.</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IV — Product Experience Standards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23–28: application shell, workspaces, shared frameworks, entry points, responsive design, accessibility, and localization.</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 — Security, Administration, and Product Controls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29–35: identity, permissions, tenant isolation, registries, settings, entitlements, privacy, backup, and recovery.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VI — Reporting, Intelligence, and Quality</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36–41: reporting, notifications, AI readiness, non-functional requirements, observability, and acceptance.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VII — Specification Governance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42–48: module template, naming, traceability, change control, ERP expansion, success indicators, and formal statement.</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VIII — Appendices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Legacy continuity, Core terminology, adopted decisions, and review checklist.</w:t>
            </w:r>
          </w:p>
        </w:tc>
      </w:tr>
    </w:tbl>
    <w:p>
      <w:pPr>
        <w:spacing w:after="0"/>
      </w:pPr>
    </w:p>
    <w:p>
      <w:r>
        <w:br w:type="page"/>
      </w:r>
    </w:p>
    <w:p>
      <w:pPr>
        <w:spacing w:before="920" w:after="100"/>
      </w:pPr>
      <w:r>
        <w:rPr>
          <w:rFonts w:ascii="Calibri" w:hAnsi="Calibri" w:eastAsia="Calibri"/>
          <w:b/>
          <w:color w:val="F59E0B"/>
          <w:sz w:val="20"/>
        </w:rPr>
        <w:t>PART I</w:t>
      </w:r>
    </w:p>
    <w:p>
      <w:pPr>
        <w:spacing w:after="160"/>
      </w:pPr>
      <w:r>
        <w:rPr>
          <w:rFonts w:ascii="Calibri" w:hAnsi="Calibri" w:eastAsia="Calibri"/>
          <w:b/>
          <w:color w:val="0B2545"/>
          <w:sz w:val="50"/>
        </w:rPr>
        <w:t>Foundation</w:t>
      </w:r>
    </w:p>
    <w:p>
      <w:pPr>
        <w:spacing w:after="360"/>
        <w:pBdr>
          <w:bottom w:val="single" w:sz="8" w:space="5" w:color="E8EEF5"/>
        </w:pBdr>
      </w:pPr>
      <w:r>
        <w:rPr>
          <w:rFonts w:ascii="Calibri" w:hAnsi="Calibri" w:eastAsia="Calibri"/>
          <w:color w:val="5B6573"/>
          <w:sz w:val="24"/>
        </w:rPr>
        <w:t>Purpose, scope, product context, principles, objectives, and the boundary of the Core.</w:t>
      </w:r>
    </w:p>
    <w:p>
      <w:pPr>
        <w:pStyle w:val="Heading1"/>
      </w:pPr>
      <w:r>
        <w:t>1. Purpose</w:t>
      </w:r>
    </w:p>
    <w:p>
      <w:r>
        <w:rPr>
          <w:rFonts w:ascii="Calibri" w:hAnsi="Calibri" w:eastAsia="Calibri"/>
          <w:color w:val="111827"/>
        </w:rPr>
        <w:t>MDS-000 establishes the governing design framework for SimpleBIZ One. It defines the shared platform capabilities, module design standards, processing controls, data conventions, interface principles, and governance requirements that every SimpleBIZ module shall follow.</w:t>
      </w:r>
    </w:p>
    <w:p>
      <w:r>
        <w:rPr>
          <w:rFonts w:ascii="Calibri" w:hAnsi="Calibri" w:eastAsia="Calibri"/>
          <w:color w:val="111827"/>
        </w:rPr>
        <w:t>It is the bridge between the approved SimpleBIZ architecture and the individual Module Design Specifications. It ensures that Dashboard, Sales, Collections, Purchases, Payments, Inventory, Cash Accounts, Expenses, Reports, Master Registries, and Settings operate as cohesive parts of one product instead of becoming separate applications.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GOVERNING RULE  </w:t>
            </w:r>
            <w:r>
              <w:rPr>
                <w:rFonts w:ascii="Calibri" w:hAnsi="Calibri" w:eastAsia="Calibri"/>
                <w:b/>
                <w:color w:val="0B2545"/>
                <w:sz w:val="20"/>
              </w:rPr>
              <w:t>MDS-000 is authoritative for common behavior. A module-specific MDS may extend Core behavior but shall not silently redefine or bypass it.</w:t>
            </w:r>
          </w:p>
        </w:tc>
      </w:tr>
    </w:tbl>
    <w:p>
      <w:pPr>
        <w:spacing w:after="0"/>
      </w:pPr>
    </w:p>
    <w:p>
      <w:pPr>
        <w:pStyle w:val="Heading1"/>
      </w:pPr>
      <w:r>
        <w:t>2. Scope</w:t>
      </w:r>
    </w:p>
    <w:p>
      <w:r>
        <w:rPr>
          <w:rFonts w:ascii="Calibri" w:hAnsi="Calibri" w:eastAsia="Calibri"/>
          <w:color w:val="111827"/>
        </w:rPr>
        <w:t>This specification governs the following application-wide concerns:</w:t>
      </w:r>
    </w:p>
    <w:p>
      <w:pPr>
        <w:numPr>
          <w:ilvl w:val="0"/>
          <w:numId w:val="10"/>
        </w:numPr>
        <w:spacing w:after="80" w:line="300" w:lineRule="auto"/>
      </w:pPr>
      <w:r>
        <w:rPr>
          <w:rFonts w:ascii="Calibri" w:hAnsi="Calibri" w:eastAsia="Calibri"/>
          <w:color w:val="111827"/>
          <w:sz w:val="21"/>
        </w:rPr>
        <w:t>Core identity, authentication, session, company context, access, entitlement, and audit services.</w:t>
      </w:r>
    </w:p>
    <w:p>
      <w:pPr>
        <w:numPr>
          <w:ilvl w:val="0"/>
          <w:numId w:val="10"/>
        </w:numPr>
        <w:spacing w:after="80" w:line="300" w:lineRule="auto"/>
      </w:pPr>
      <w:r>
        <w:rPr>
          <w:rFonts w:ascii="Calibri" w:hAnsi="Calibri" w:eastAsia="Calibri"/>
          <w:color w:val="111827"/>
          <w:sz w:val="21"/>
        </w:rPr>
        <w:t>Standard module structure, functional ownership, Business Events, Business Transactions, statuses, and validations.</w:t>
      </w:r>
    </w:p>
    <w:p>
      <w:pPr>
        <w:numPr>
          <w:ilvl w:val="0"/>
          <w:numId w:val="10"/>
        </w:numPr>
        <w:spacing w:after="80" w:line="300" w:lineRule="auto"/>
      </w:pPr>
      <w:r>
        <w:rPr>
          <w:rFonts w:ascii="Calibri" w:hAnsi="Calibri" w:eastAsia="Calibri"/>
          <w:color w:val="111827"/>
          <w:sz w:val="21"/>
        </w:rPr>
        <w:t>Shared document numbering, approvals, attachments, activity history, notifications, global search, reporting access, and common UI frameworks.</w:t>
      </w:r>
    </w:p>
    <w:p>
      <w:pPr>
        <w:numPr>
          <w:ilvl w:val="0"/>
          <w:numId w:val="10"/>
        </w:numPr>
        <w:spacing w:after="80" w:line="300" w:lineRule="auto"/>
      </w:pPr>
      <w:r>
        <w:rPr>
          <w:rFonts w:ascii="Calibri" w:hAnsi="Calibri" w:eastAsia="Calibri"/>
          <w:color w:val="111827"/>
          <w:sz w:val="21"/>
        </w:rPr>
        <w:t>Cross-module integration, single-source-of-truth rules, data classifications, transaction integrity, and controlled correction.</w:t>
      </w:r>
    </w:p>
    <w:p>
      <w:pPr>
        <w:numPr>
          <w:ilvl w:val="0"/>
          <w:numId w:val="10"/>
        </w:numPr>
        <w:spacing w:after="80" w:line="300" w:lineRule="auto"/>
      </w:pPr>
      <w:r>
        <w:rPr>
          <w:rFonts w:ascii="Calibri" w:hAnsi="Calibri" w:eastAsia="Calibri"/>
          <w:color w:val="111827"/>
          <w:sz w:val="21"/>
        </w:rPr>
        <w:t>Edition-aware behavior, responsive and accessible experience, localization, non-functional requirements, AI readiness, and ERP expansion.</w:t>
      </w:r>
    </w:p>
    <w:p>
      <w:pPr>
        <w:numPr>
          <w:ilvl w:val="0"/>
          <w:numId w:val="10"/>
        </w:numPr>
        <w:spacing w:after="80" w:line="300" w:lineRule="auto"/>
      </w:pPr>
      <w:r>
        <w:rPr>
          <w:rFonts w:ascii="Calibri" w:hAnsi="Calibri" w:eastAsia="Calibri"/>
          <w:color w:val="111827"/>
          <w:sz w:val="21"/>
        </w:rPr>
        <w:t>The minimum content, traceability, and acceptance evidence required in every module-specific MDS.</w:t>
      </w:r>
    </w:p>
    <w:p>
      <w:r>
        <w:rPr>
          <w:rFonts w:ascii="Calibri" w:hAnsi="Calibri" w:eastAsia="Calibri"/>
          <w:color w:val="111827"/>
        </w:rPr>
        <w:t>This specification does not define the following implementation details:</w:t>
      </w:r>
    </w:p>
    <w:p>
      <w:pPr>
        <w:numPr>
          <w:ilvl w:val="0"/>
          <w:numId w:val="10"/>
        </w:numPr>
        <w:spacing w:after="80" w:line="300" w:lineRule="auto"/>
      </w:pPr>
      <w:r>
        <w:rPr>
          <w:rFonts w:ascii="Calibri" w:hAnsi="Calibri" w:eastAsia="Calibri"/>
          <w:color w:val="111827"/>
          <w:sz w:val="21"/>
        </w:rPr>
        <w:t>Final source code, database scripts, API contracts, detailed test cases, deployment procedures, or infrastructure runbooks.</w:t>
      </w:r>
    </w:p>
    <w:p>
      <w:pPr>
        <w:numPr>
          <w:ilvl w:val="0"/>
          <w:numId w:val="10"/>
        </w:numPr>
        <w:spacing w:after="80" w:line="300" w:lineRule="auto"/>
      </w:pPr>
      <w:r>
        <w:rPr>
          <w:rFonts w:ascii="Calibri" w:hAnsi="Calibri" w:eastAsia="Calibri"/>
          <w:color w:val="111827"/>
          <w:sz w:val="21"/>
        </w:rPr>
        <w:t>Pixel-level screen layouts, final icons, or component-level visual specifications governed by UID, WF, and SCR documents.</w:t>
      </w:r>
    </w:p>
    <w:p>
      <w:pPr>
        <w:numPr>
          <w:ilvl w:val="0"/>
          <w:numId w:val="10"/>
        </w:numPr>
        <w:spacing w:after="80" w:line="300" w:lineRule="auto"/>
      </w:pPr>
      <w:r>
        <w:rPr>
          <w:rFonts w:ascii="Calibri" w:hAnsi="Calibri" w:eastAsia="Calibri"/>
          <w:color w:val="111827"/>
          <w:sz w:val="21"/>
        </w:rPr>
        <w:t>Module-specific transaction logic that belongs in MDS-100 through MDS-1100.</w:t>
      </w:r>
    </w:p>
    <w:p>
      <w:pPr>
        <w:numPr>
          <w:ilvl w:val="0"/>
          <w:numId w:val="10"/>
        </w:numPr>
        <w:spacing w:after="80" w:line="300" w:lineRule="auto"/>
      </w:pPr>
      <w:r>
        <w:rPr>
          <w:rFonts w:ascii="Calibri" w:hAnsi="Calibri" w:eastAsia="Calibri"/>
          <w:color w:val="111827"/>
          <w:sz w:val="21"/>
        </w:rPr>
        <w:t>Final subscription pricing or commercial packaging, which remain product-governance decisions.</w:t>
      </w:r>
    </w:p>
    <w:p>
      <w:pPr>
        <w:pStyle w:val="Heading1"/>
      </w:pPr>
      <w:r>
        <w:t>3. Product Context</w:t>
      </w:r>
    </w:p>
    <w:p>
      <w:r>
        <w:rPr>
          <w:rFonts w:ascii="Calibri" w:hAnsi="Calibri" w:eastAsia="Calibri"/>
          <w:color w:val="111827"/>
        </w:rPr>
        <w:t>SimpleBIZ One is the modern, web-based successor to the legacy SimpleBIZ SME Tools application. The legacy system demonstrated enduring SME needs—cash and credit sales, collections, receivables, purchases, payables, expenses, stock movement, cash funds, ledgers, reports, users, and master lists. The new product preserves those valid business foundations while replacing the desktop-era interface and tightly coupled design with a modern platform.</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Product direction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design response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Start simple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Present familiar SME tasks, safe defaults, plain language, and progressive disclosure.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Grow limitless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Use shared objects, events, transactions, services, and extension points that support ERP expansion.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Free-first reach</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Keep the core experience useful and complete while enforcing plan entitlements transparently.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Payment-ready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Treat receipts, disbursements, payment methods, cash accounts, references, and audit evidence as governed capabilities.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AI-ready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Produce structured, permission-aware, traceable data and events that AI assistance can use without weakening human control.</w:t>
            </w:r>
          </w:p>
        </w:tc>
      </w:tr>
    </w:tbl>
    <w:p>
      <w:pPr>
        <w:spacing w:after="0"/>
      </w:pPr>
    </w:p>
    <w:p>
      <w:pPr>
        <w:pStyle w:val="Heading1"/>
      </w:pPr>
      <w:r>
        <w:t>4. Core Objectives</w:t>
      </w:r>
    </w:p>
    <w:p>
      <w:pPr>
        <w:numPr>
          <w:ilvl w:val="0"/>
          <w:numId w:val="10"/>
        </w:numPr>
        <w:spacing w:after="80" w:line="300" w:lineRule="auto"/>
      </w:pPr>
      <w:r>
        <w:rPr>
          <w:rFonts w:ascii="Calibri" w:hAnsi="Calibri" w:eastAsia="Calibri"/>
          <w:color w:val="111827"/>
          <w:sz w:val="21"/>
        </w:rPr>
        <w:t>Standardize module design and reduce duplicated logic.</w:t>
      </w:r>
    </w:p>
    <w:p>
      <w:pPr>
        <w:numPr>
          <w:ilvl w:val="0"/>
          <w:numId w:val="10"/>
        </w:numPr>
        <w:spacing w:after="80" w:line="300" w:lineRule="auto"/>
      </w:pPr>
      <w:r>
        <w:rPr>
          <w:rFonts w:ascii="Calibri" w:hAnsi="Calibri" w:eastAsia="Calibri"/>
          <w:color w:val="111827"/>
          <w:sz w:val="21"/>
        </w:rPr>
        <w:t>Protect one authoritative source of truth for every governed capability.</w:t>
      </w:r>
    </w:p>
    <w:p>
      <w:pPr>
        <w:numPr>
          <w:ilvl w:val="0"/>
          <w:numId w:val="10"/>
        </w:numPr>
        <w:spacing w:after="80" w:line="300" w:lineRule="auto"/>
      </w:pPr>
      <w:r>
        <w:rPr>
          <w:rFonts w:ascii="Calibri" w:hAnsi="Calibri" w:eastAsia="Calibri"/>
          <w:color w:val="111827"/>
          <w:sz w:val="21"/>
        </w:rPr>
        <w:t>Make cross-module workflows simple for SME users without merging distinct accounting responsibilities.</w:t>
      </w:r>
    </w:p>
    <w:p>
      <w:pPr>
        <w:numPr>
          <w:ilvl w:val="0"/>
          <w:numId w:val="10"/>
        </w:numPr>
        <w:spacing w:after="80" w:line="300" w:lineRule="auto"/>
      </w:pPr>
      <w:r>
        <w:rPr>
          <w:rFonts w:ascii="Calibri" w:hAnsi="Calibri" w:eastAsia="Calibri"/>
          <w:color w:val="111827"/>
          <w:sz w:val="21"/>
        </w:rPr>
        <w:t>Provide reusable platform services for security, transaction processing, auditability, notifications, search, reporting, and configuration.</w:t>
      </w:r>
    </w:p>
    <w:p>
      <w:pPr>
        <w:numPr>
          <w:ilvl w:val="0"/>
          <w:numId w:val="10"/>
        </w:numPr>
        <w:spacing w:after="80" w:line="300" w:lineRule="auto"/>
      </w:pPr>
      <w:r>
        <w:rPr>
          <w:rFonts w:ascii="Calibri" w:hAnsi="Calibri" w:eastAsia="Calibri"/>
          <w:color w:val="111827"/>
          <w:sz w:val="21"/>
        </w:rPr>
        <w:t>Support progressive capability from SimpleBIZ Free through paid SimpleBIZ One editions and future ERP editions.</w:t>
      </w:r>
    </w:p>
    <w:p>
      <w:pPr>
        <w:numPr>
          <w:ilvl w:val="0"/>
          <w:numId w:val="10"/>
        </w:numPr>
        <w:spacing w:after="80" w:line="300" w:lineRule="auto"/>
      </w:pPr>
      <w:r>
        <w:rPr>
          <w:rFonts w:ascii="Calibri" w:hAnsi="Calibri" w:eastAsia="Calibri"/>
          <w:color w:val="111827"/>
          <w:sz w:val="21"/>
        </w:rPr>
        <w:t>Allow current and future developers to implement modules consistently within the approved React, Laravel, and PostgreSQL platform.</w:t>
      </w:r>
    </w:p>
    <w:p>
      <w:pPr>
        <w:numPr>
          <w:ilvl w:val="0"/>
          <w:numId w:val="10"/>
        </w:numPr>
        <w:spacing w:after="80" w:line="300" w:lineRule="auto"/>
      </w:pPr>
      <w:r>
        <w:rPr>
          <w:rFonts w:ascii="Calibri" w:hAnsi="Calibri" w:eastAsia="Calibri"/>
          <w:color w:val="111827"/>
          <w:sz w:val="21"/>
        </w:rPr>
        <w:t>Preserve reliable business records, correction paths, and management information as product scope expands.</w:t>
      </w:r>
    </w:p>
    <w:p>
      <w:pPr>
        <w:pStyle w:val="Heading1"/>
      </w:pPr>
      <w:r>
        <w:t>5. Governing Design Principles</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Principle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interpretation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Entrepreneur-First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Design around the decisions and tasks of owners, managers, cashiers, sellers, purchasers, and bookkeepers.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Business-First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Use recognizable business language and outcomes; technical structures remain behind the experience.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One Platform</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Modules share Core services, data conventions, security, audit, and processing standards.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Single Functional Ownership</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Every capability has one authoritative owning module even when it is visible elsewhere.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UI Navigation Independence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Navigation placement may follow user tasks and does not redefine architectural ownership.</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Multiple Entry Point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Several authorized paths may invoke one governed function and one source of truth.</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Simple but Controlled</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Minimize user effort while preserving validation, authorization, traceability, and accounting integrity.</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ERP-Ready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Design extension points now without forcing enterprise complexity into the basic experience.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Security and Privacy by Design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Apply least privilege, tenant isolation, protected data handling, and auditability from the start.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Human Accountability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Material actions remain attributable; AI assistance does not remove approval or responsibility.</w:t>
            </w:r>
          </w:p>
        </w:tc>
      </w:tr>
    </w:tbl>
    <w:p>
      <w:pPr>
        <w:spacing w:after="0"/>
      </w:pPr>
    </w:p>
    <w:p>
      <w:pPr>
        <w:pStyle w:val="Heading1"/>
      </w:pPr>
      <w:r>
        <w:t>6. Core Responsibilities and Boundaries</w:t>
      </w:r>
    </w:p>
    <w:p>
      <w:r>
        <w:rPr>
          <w:rFonts w:ascii="Calibri" w:hAnsi="Calibri" w:eastAsia="Calibri"/>
          <w:color w:val="111827"/>
        </w:rPr>
        <w:t>MDS-000 describes the Core as the shared application backbone. Core is not a sales, collection, purchase, payment, inventory, cash, expense, or reporting transaction module.</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owns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does not own</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Authentication, sessions, company context, roles, permissions, entitlements, audit services, and shared application conventions.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The commercial meaning of a sale, collection, purchase, payment, stock movement, expense, or other domain transaction.</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Shared processing controls, status framework, validation categories, numbering service, attachments, notifications, search, exports, and activity history.</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Module-specific calculations, posting logic, document content, reports, approvals, or workflow exceptions.</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Reusable application-shell and workspace frameworks populated by authorized module data.</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 duplicate copy of module records for Dashboard, Action Center, Needs Attention, or Recent Activity.</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Enforcement of approved settings and master-record availability.</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Day-to-day ownership of master records or administrative configuration; these belong to MDS-1000 and MDS-1100.</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BOUNDARY TEST  </w:t>
            </w:r>
            <w:r>
              <w:rPr>
                <w:rFonts w:ascii="Calibri" w:hAnsi="Calibri" w:eastAsia="Calibri"/>
                <w:b/>
                <w:color w:val="0B2545"/>
                <w:sz w:val="20"/>
              </w:rPr>
              <w:t>Core standardizes how a capability is secured, processed, traced, presented, and integrated. The owning module defines why the capability exists and what its business effect means.</w:t>
            </w:r>
          </w:p>
        </w:tc>
      </w:tr>
    </w:tbl>
    <w:p>
      <w:pPr>
        <w:spacing w:after="0"/>
      </w:pPr>
    </w:p>
    <w:p>
      <w:r>
        <w:br w:type="page"/>
      </w:r>
    </w:p>
    <w:p>
      <w:pPr>
        <w:spacing w:before="920" w:after="100"/>
      </w:pPr>
      <w:r>
        <w:rPr>
          <w:rFonts w:ascii="Calibri" w:hAnsi="Calibri" w:eastAsia="Calibri"/>
          <w:b/>
          <w:color w:val="F59E0B"/>
          <w:sz w:val="20"/>
        </w:rPr>
        <w:t>PART II</w:t>
      </w:r>
    </w:p>
    <w:p>
      <w:pPr>
        <w:spacing w:after="160"/>
      </w:pPr>
      <w:r>
        <w:rPr>
          <w:rFonts w:ascii="Calibri" w:hAnsi="Calibri" w:eastAsia="Calibri"/>
          <w:b/>
          <w:color w:val="0B2545"/>
          <w:sz w:val="50"/>
        </w:rPr>
        <w:t>Application and Module Architecture</w:t>
      </w:r>
    </w:p>
    <w:p>
      <w:pPr>
        <w:spacing w:after="360"/>
        <w:pBdr>
          <w:bottom w:val="single" w:sz="8" w:space="5" w:color="E8EEF5"/>
        </w:pBdr>
      </w:pPr>
      <w:r>
        <w:rPr>
          <w:rFonts w:ascii="Calibri" w:hAnsi="Calibri" w:eastAsia="Calibri"/>
          <w:color w:val="5B6573"/>
          <w:sz w:val="24"/>
        </w:rPr>
        <w:t>The official MDS series, module ownership, shared services, module anatomy, and implementation baseline.</w:t>
      </w:r>
    </w:p>
    <w:p>
      <w:pPr>
        <w:pStyle w:val="Heading1"/>
      </w:pPr>
      <w:r>
        <w:t>7. Official MDS Series</w:t>
      </w:r>
    </w:p>
    <w:p>
      <w:r>
        <w:rPr>
          <w:rFonts w:ascii="Calibri" w:hAnsi="Calibri" w:eastAsia="Calibri"/>
          <w:color w:val="111827"/>
        </w:rPr>
        <w:t>The following series is the current functional baseline for SimpleBIZ One. It replaces the earlier nine-document sequence and aligns module ownership with the approved workspaces.</w:t>
      </w:r>
    </w:p>
    <w:tbl>
      <w:tblPr>
        <w:tblW w:type="dxa" w:w="9360"/>
        <w:jc w:val="left"/>
        <w:tblLayout w:type="fixed"/>
        <w:tblLook w:firstColumn="1" w:firstRow="1" w:lastColumn="0" w:lastRow="0" w:noHBand="0" w:noVBand="1" w:val="04A0"/>
        <w:tblInd w:w="120" w:type="dxa"/>
      </w:tblPr>
      <w:tblGrid>
        <w:gridCol w:w="1300"/>
        <w:gridCol w:w="2800"/>
        <w:gridCol w:w="5260"/>
      </w:tblGrid>
      <w:tr>
        <w:trPr>
          <w:cantSplit/>
          <w:tblHeader w:val="true"/>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 ID</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Official module name</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responsibility</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MDS-000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SimpleBIZ One Core</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Application-wide platform services, common processing, controls, and design standards.</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MDS-100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Dashboard</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Business-wide overview, management insight, alerts, and navigation to source modules.</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MDS-200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&amp; Receivables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creation, customer charges, billing, receivable recognition, and sales-side adjustments.</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MDS-300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Collections &amp; Receipts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Money received, receipt issuance, application to receivables, remittance, and customer collection history.</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MDS-400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Purchases &amp; Payables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Procurement, supplier documents, payable recognition, due dates, and supplier-side adjustments.</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MDS-500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Payments &amp; Disbursements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Outgoing payment initiation, approval, execution, allocation, confirmation, voiding, and reporting.</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MDS-600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Inventory</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Stock receipts, issues, transfers, adjustments, counts, availability, and valuation support.</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MDS-700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Accounts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boxes, petty cash, bank accounts, e-wallets, transfers, ledgers, balances, and reconciliation.</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MDS-800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Expenses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Expense recognition, classification, evidence, allocation, approval, accrual, and monitoring.</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MDS-900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Reports &amp; Analytics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Report catalog, consolidated reporting, filters, generation, preview, export, and cross-module analytics.</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MDS-1000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Master Registries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Authoritative shared operational records used by transactions.</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MDS-1100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Settings &amp; Administration</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Configuration, users, roles, security, subscription, numbering, preferences, and administration.</w:t>
            </w:r>
          </w:p>
        </w:tc>
      </w:tr>
    </w:tbl>
    <w:p>
      <w:pPr>
        <w:spacing w:after="0"/>
      </w:pPr>
    </w:p>
    <w:p>
      <w:pPr>
        <w:pStyle w:val="Heading1"/>
      </w:pPr>
      <w:r>
        <w:t>8. Functional Ownership and Workspace Model</w:t>
      </w:r>
    </w:p>
    <w:p>
      <w:r>
        <w:rPr>
          <w:rFonts w:ascii="Calibri" w:hAnsi="Calibri" w:eastAsia="Calibri"/>
          <w:color w:val="111827"/>
        </w:rPr>
        <w:t>A module is the governed owner of a business capability, its objects, events, transactions, rules, data responsibilities, and controls. A workspace is a user-centered area that organizes actions and information around recognizable work. A workspace may surface capabilities from several modules.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CORE RULE  </w:t>
            </w:r>
            <w:r>
              <w:rPr>
                <w:rFonts w:ascii="Calibri" w:hAnsi="Calibri" w:eastAsia="Calibri"/>
                <w:b/>
                <w:color w:val="0B2545"/>
                <w:sz w:val="20"/>
              </w:rPr>
              <w:t>A shortcut, card, dashboard alert, contextual action, or related-record link does not transfer functional ownership to the workspace where it appears.</w:t>
            </w:r>
          </w:p>
        </w:tc>
      </w:tr>
    </w:tbl>
    <w:p>
      <w:pPr>
        <w:spacing w:after="0"/>
      </w:pPr>
    </w:p>
    <w:tbl>
      <w:tblPr>
        <w:tblW w:type="dxa" w:w="9360"/>
        <w:jc w:val="left"/>
        <w:tblLayout w:type="fixed"/>
        <w:tblLook w:firstColumn="1" w:firstRow="1" w:lastColumn="0" w:lastRow="0" w:noHBand="0" w:noVBand="1" w:val="04A0"/>
        <w:tblInd w:w="120" w:type="dxa"/>
      </w:tblPr>
      <w:tblGrid>
        <w:gridCol w:w="3300"/>
        <w:gridCol w:w="1700"/>
        <w:gridCol w:w="4360"/>
      </w:tblGrid>
      <w:tr>
        <w:trPr>
          <w:cantSplit/>
          <w:tblHeader w:val="true"/>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Owning MDS</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Approved additional entry points</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or credit sale</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MDS-200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Dashboard, customer context.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 collection and receipt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MDS-300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&amp; Receivables, Dashboard, customer context.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Billing statement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MDS-200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Collections &amp; Receipts, Dashboard, customer context.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Supplier obligation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MDS-400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Payments &amp; Disbursements, supplier context.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Supplier payment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MDS-500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Purchases &amp; Payables, Dashboard, due-for-payment queue.</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Expense recognition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MDS-800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Payments when paying now; Dashboard and Action Center.</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Cash-account balance and ledger</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MDS-700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Collections, Payments, Sales, Expenses, Dashboard.</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 or supplier creation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MDS-1000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Collections, Purchases, Payments.</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User, role, numbering, or plan configuration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MDS-1100</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Authorized administration links only.</w:t>
            </w:r>
          </w:p>
        </w:tc>
      </w:tr>
    </w:tbl>
    <w:p>
      <w:pPr>
        <w:spacing w:after="0"/>
      </w:pPr>
    </w:p>
    <w:p>
      <w:pPr>
        <w:pStyle w:val="Heading1"/>
      </w:pPr>
      <w:r>
        <w:t>9. Standard Functional Architecture</w:t>
      </w:r>
    </w:p>
    <w:p>
      <w:r>
        <w:rPr>
          <w:rFonts w:ascii="Calibri" w:hAnsi="Calibri" w:eastAsia="Calibri"/>
          <w:color w:val="111827"/>
        </w:rPr>
        <w:t>SimpleBIZ One shall use a layered, modular architecture. User interfaces initiate or query governed capabilities through the application API. The owning module applies validation and permissions, invokes transaction processing when business state changes, persists authoritative records, publishes resulting events, and exposes permitted outputs to other modules and shared experience frameworks.</w:t>
      </w:r>
    </w:p>
    <w:tbl>
      <w:tblPr>
        <w:tblW w:type="dxa" w:w="9360"/>
        <w:jc w:val="left"/>
        <w:tblLayout w:type="fixed"/>
        <w:tblLook w:firstColumn="1" w:firstRow="1" w:lastColumn="0" w:lastRow="0" w:noHBand="0" w:noVBand="1" w:val="04A0"/>
        <w:tblInd w:w="120" w:type="dxa"/>
      </w:tblPr>
      <w:tblGrid>
        <w:gridCol w:w="1800"/>
        <w:gridCol w:w="4460"/>
        <w:gridCol w:w="3100"/>
      </w:tblGrid>
      <w:tr>
        <w:trPr>
          <w:cantSplit/>
          <w:tblHeader w:val="true"/>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Layer</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responsibility</w:t>
            </w:r>
          </w:p>
        </w:tc>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control</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Experience</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Application shell, workspaces, screens, forms, tables, reports, and contextual entry points.</w:t>
            </w:r>
          </w:p>
        </w:tc>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direct database access; preserve role, status, edition, and company context.</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API / Application</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Request handling, use-case orchestration, input contracts, authorization, and response shaping.</w:t>
            </w:r>
          </w:p>
        </w:tc>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Validate context, authorize action, protect idempotency, and return safe errors.</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Domain Module</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objects, Module Rules, calculations, document meaning, lifecycle, and ownership.</w:t>
            </w:r>
          </w:p>
        </w:tc>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One authoritative implementation per capability.</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Transaction Processing</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Atomic state change, cross-object effects, event publication, correction, and rollback.</w:t>
            </w:r>
          </w:p>
        </w:tc>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All-or-nothing integrity for the defined transaction boundary.</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Data</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PostgreSQL persistence, constraints, indexes, history, and reporting views.</w:t>
            </w:r>
          </w:p>
        </w:tc>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Tenant isolation, referential integrity, immutable posted effects, and recoverability.</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Shared Platform</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Identity, permissions, numbering, audit, attachments, notifications, search, entitlement, and observability.</w:t>
            </w:r>
          </w:p>
        </w:tc>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Reusable service contracts with no duplicated domain logic.</w:t>
            </w:r>
          </w:p>
        </w:tc>
      </w:tr>
    </w:tbl>
    <w:p>
      <w:pPr>
        <w:spacing w:after="0"/>
      </w:pPr>
    </w:p>
    <w:p>
      <w:pPr>
        <w:pStyle w:val="Heading1"/>
      </w:pPr>
      <w:r>
        <w:t>10. Standard Module Components</w:t>
      </w:r>
    </w:p>
    <w:p>
      <w:r>
        <w:rPr>
          <w:rFonts w:ascii="Calibri" w:hAnsi="Calibri" w:eastAsia="Calibri"/>
          <w:color w:val="111827"/>
        </w:rPr>
        <w:t>Every module-specific MDS shall define at least the following components:</w:t>
      </w:r>
    </w:p>
    <w:tbl>
      <w:tblPr>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Component</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Minimum definition</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Overview and boundary</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Purpose, users, editions, in-scope and out-of-scope responsibilities, owning objects, and dependencies.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Functional capabilities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Major functions, user outcomes, records, workflows, and service responsibilities.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Objects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Real-world entities, ownership, relationships, identity, and lifecycle.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Master Data</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Authoritative registries used or owned, activation behavior, validation, and historical references.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Documents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Document meaning, fields, numbering, totals, evidence, lifecycle, and correction path.</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Events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Trigger, actor, inputs, validations, outputs, resulting transactions, notifications, and audit evidence.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Transactions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Atomic processing, affected objects, cash/stock/receivable/payable/reporting impact, posting, and rollback.</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Data entities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Master, transaction, reference, configuration, audit, attachment, and reporting entities.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User experience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Workspace, screen inventory, entry points, actions, status behavior, responsive rules, and accessibility.</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Reports and notifications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Operational and analytical outputs, alerts, reminders, drill-down, and source-of-truth rules.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Security and integration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Permissions, data scope, sensitive fields, event publication/subscription, APIs, and external dependencies.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Edition and future expansion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Current availability, locked or hidden behavior, extension points, and ERP roadmap.</w:t>
            </w:r>
          </w:p>
        </w:tc>
      </w:tr>
    </w:tbl>
    <w:p>
      <w:pPr>
        <w:spacing w:after="0"/>
      </w:pPr>
    </w:p>
    <w:p>
      <w:pPr>
        <w:pStyle w:val="Heading1"/>
      </w:pPr>
      <w:r>
        <w:t>11. Core Platform Services</w:t>
      </w:r>
    </w:p>
    <w:tbl>
      <w:tblPr>
        <w:tblW w:type="dxa" w:w="9360"/>
        <w:jc w:val="left"/>
        <w:tblLayout w:type="fixed"/>
        <w:tblLook w:firstColumn="1" w:firstRow="1" w:lastColumn="0" w:lastRow="0" w:noHBand="0" w:noVBand="1" w:val="04A0"/>
        <w:tblInd w:w="120" w:type="dxa"/>
      </w:tblPr>
      <w:tblGrid>
        <w:gridCol w:w="1900"/>
        <w:gridCol w:w="3730"/>
        <w:gridCol w:w="373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Service</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responsibility</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Module responsibility</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Identity and session</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Sign-in, sign-out, session expiry, recovery, device/session controls.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Declare permitted roles and handle authorization failures safely.</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Company context</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Active company, branch, time zone, business date, and tenant boundary.</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Require and persist relevant context on records and queries.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Roles and permissions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Permission evaluation and data-scope enforcement.</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Define granular actions and record-scope requirements.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Entitlements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Plan, edition, capability availability, and upgrade/downgrade enforcement.</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Declare capability keys and safe excluded behavior.</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Numbering</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Series allocation, uniqueness, prefix/period handling, and concurrency control.</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Declare document types and when final numbers are assigned.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Workflow / approval</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Reusable request, assignment, approval, rejection, escalation, and history framework.</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Define when approval applies, authorities, thresholds, and protected fields.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Business Events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Common envelope, actor/context metadata, publication, and traceability.</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Define domain event names, payloads, rules, and subscribers.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Transaction controls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Idempotency, atomicity conventions, retry safeguards, and result identity.</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Implement module-specific transaction effects and rollback.</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Audit and activity</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Immutable audit evidence and user-readable activity history services.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Identify material events, before/after values, reasons, and sensitive fields.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Attachments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Secure upload, metadata, access, retention, preview, and linkage.</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Define allowed evidence, requirement conditions, and document relationship.</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Notifications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Delivery, preferences, templates, read state, and channels.</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Define triggers, recipients, urgency, content, and deep link.</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Global search</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Authorized cross-module indexing and result presentation.</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Supply searchable fields, permissions, result labels, and destination.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Exports and printing</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Common formats, authorization, watermark/metadata, and audit.</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Define report/document layouts and protected data handling.</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Observability</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Correlation IDs, logs, metrics, health, and fault evidence.</w:t>
            </w:r>
          </w:p>
        </w:tc>
        <w:tc>
          <w:tcPr>
            <w:tcW w:type="dxa" w:w="373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Emit meaningful module events and safe diagnostic context.</w:t>
            </w:r>
          </w:p>
        </w:tc>
      </w:tr>
    </w:tbl>
    <w:p>
      <w:pPr>
        <w:spacing w:after="0"/>
      </w:pPr>
    </w:p>
    <w:p>
      <w:pPr>
        <w:pStyle w:val="Heading1"/>
      </w:pPr>
      <w:r>
        <w:t>12. Technology and Repository Baseline</w:t>
      </w:r>
    </w:p>
    <w:p>
      <w:r>
        <w:rPr>
          <w:rFonts w:ascii="Calibri" w:hAnsi="Calibri" w:eastAsia="Calibri"/>
          <w:color w:val="111827"/>
        </w:rPr>
        <w:t>MDS-000 is technology-aware but not a coding standard. DEV-000 governs implementation details. The current product baseline is a modular monolith designed for disciplined growth.</w:t>
      </w:r>
    </w:p>
    <w:tbl>
      <w:tblPr>
        <w:tblW w:type="dxa" w:w="9360"/>
        <w:jc w:val="left"/>
        <w:tblLayout w:type="fixed"/>
        <w:tblLook w:firstColumn="1" w:firstRow="1" w:lastColumn="0" w:lastRow="0" w:noHBand="0" w:noVBand="1" w:val="04A0"/>
        <w:tblInd w:w="120" w:type="dxa"/>
      </w:tblPr>
      <w:tblGrid>
        <w:gridCol w:w="1600"/>
        <w:gridCol w:w="2300"/>
        <w:gridCol w:w="5460"/>
      </w:tblGrid>
      <w:tr>
        <w:trPr>
          <w:cantSplit/>
          <w:tblHeader w:val="true"/>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Area</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Baseline</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 implication</w:t>
            </w:r>
          </w:p>
        </w:tc>
      </w:tr>
      <w:tr>
        <w:trPr>
          <w:cantSplit/>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Frontend</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React.js in simplebiz-web</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UI modules shall reuse the application shell and shared components while keeping domain-specific code in approved module folders.</w:t>
            </w:r>
          </w:p>
        </w:tc>
      </w:tr>
      <w:tr>
        <w:trPr>
          <w:cantSplit/>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Backend</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Laravel in simplebiz-api</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logic shall be organized by module under app/Modules; controllers remain thin application/API adapters.</w:t>
            </w:r>
          </w:p>
        </w:tc>
      </w:tr>
      <w:tr>
        <w:trPr>
          <w:cantSplit/>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Routes</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Module-split API routes under routes/api/*</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Endpoints shall map to governed capabilities and preserve one authoritative processing path.</w:t>
            </w:r>
          </w:p>
        </w:tc>
      </w:tr>
      <w:tr>
        <w:trPr>
          <w:cantSplit/>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Database</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PostgreSQL; design assets in simplebiz-db</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Schemas shall enforce tenant isolation, referential integrity, uniqueness, constraints, and transaction safety.</w:t>
            </w:r>
          </w:p>
        </w:tc>
      </w:tr>
      <w:tr>
        <w:trPr>
          <w:cantSplit/>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Architecture</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Modular monolith</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Modules remain logically bounded and communicate through approved services/events, avoiding uncontrolled cross-module coupling.</w:t>
            </w:r>
          </w:p>
        </w:tc>
      </w:tr>
      <w:tr>
        <w:trPr>
          <w:cantSplit/>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Documentation</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simplebiz-docs</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 UID, WF, SCR, DBS, API, TST, STD, ARC, and MET artifacts shall remain traceable.</w:t>
            </w:r>
          </w:p>
        </w:tc>
      </w:tr>
      <w:tr>
        <w:trPr>
          <w:cantSplit/>
        </w:trPr>
        <w:tc>
          <w:tcPr>
            <w:tcW w:type="dxa" w:w="1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Future services</w:t>
            </w:r>
          </w:p>
        </w:tc>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Redis, object storage, queues, and AI services when approved</w:t>
            </w:r>
          </w:p>
        </w:tc>
        <w:tc>
          <w:tcPr>
            <w:tcW w:type="dxa" w:w="5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Treat as extension services; no module may require them without an approved architecture and operational fallback.</w:t>
            </w:r>
          </w:p>
        </w:tc>
      </w:tr>
    </w:tbl>
    <w:p>
      <w:pPr>
        <w:spacing w:after="0"/>
      </w:pPr>
    </w:p>
    <w:p>
      <w:r>
        <w:br w:type="page"/>
      </w:r>
    </w:p>
    <w:p>
      <w:pPr>
        <w:spacing w:before="920" w:after="100"/>
      </w:pPr>
      <w:r>
        <w:rPr>
          <w:rFonts w:ascii="Calibri" w:hAnsi="Calibri" w:eastAsia="Calibri"/>
          <w:b/>
          <w:color w:val="F59E0B"/>
          <w:sz w:val="20"/>
        </w:rPr>
        <w:t>PART III</w:t>
      </w:r>
    </w:p>
    <w:p>
      <w:pPr>
        <w:spacing w:after="160"/>
      </w:pPr>
      <w:r>
        <w:rPr>
          <w:rFonts w:ascii="Calibri" w:hAnsi="Calibri" w:eastAsia="Calibri"/>
          <w:b/>
          <w:color w:val="0B2545"/>
          <w:sz w:val="50"/>
        </w:rPr>
        <w:t>Processing and Data Standards</w:t>
      </w:r>
    </w:p>
    <w:p>
      <w:pPr>
        <w:spacing w:after="360"/>
        <w:pBdr>
          <w:bottom w:val="single" w:sz="8" w:space="5" w:color="E8EEF5"/>
        </w:pBdr>
      </w:pPr>
      <w:r>
        <w:rPr>
          <w:rFonts w:ascii="Calibri" w:hAnsi="Calibri" w:eastAsia="Calibri"/>
          <w:color w:val="5B6573"/>
          <w:sz w:val="24"/>
        </w:rPr>
        <w:t>Business objects, documents, events, transactions, states, validations, correction, audit, and integration.</w:t>
      </w:r>
    </w:p>
    <w:p>
      <w:pPr>
        <w:pStyle w:val="Heading1"/>
      </w:pPr>
      <w:r>
        <w:t>13. Standard Data Classification</w:t>
      </w:r>
    </w:p>
    <w:tbl>
      <w:tblPr>
        <w:tblW w:type="dxa" w:w="9360"/>
        <w:jc w:val="left"/>
        <w:tblLayout w:type="fixed"/>
        <w:tblLook w:firstColumn="1" w:firstRow="1" w:lastColumn="0" w:lastRow="0" w:noHBand="0" w:noVBand="1" w:val="04A0"/>
        <w:tblInd w:w="120" w:type="dxa"/>
      </w:tblPr>
      <w:tblGrid>
        <w:gridCol w:w="1900"/>
        <w:gridCol w:w="3600"/>
        <w:gridCol w:w="38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Classification</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Meaning</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Examples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Master Data</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Relatively stable operational records shared by transactions.</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 Supplier, Product, Service, Cash Account, Warehouse, Payment Method.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Transaction Data</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Records created from business activity and controlled state change.</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 Receipt, Purchase, Payment, Stock Movement, Expense.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Reference Data</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Controlled lookup values used for validation and standardization.</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Status, Unit of Measure, Tax Code, Currency, Adjustment Type.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Configuration Data</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Values that control application or module behavior.</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Numbering series, approval threshold, fiscal settings, enabled module.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Audit Data</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Immutable evidence of material actions and state changes.</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Actor, timestamp, action, old/new values, reason, source, correlation ID.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Attachment Data</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Protected evidence linked to a business record.</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Receipt image, supplier invoice, payment confirmation, supporting file.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Reporting Data</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Derived, summarized, indexed, or cached data for authorized reporting.</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KPI aggregate, aging bucket, daily totals, materialized reporting view.</w:t>
            </w:r>
          </w:p>
        </w:tc>
      </w:tr>
    </w:tbl>
    <w:p>
      <w:pPr>
        <w:spacing w:after="0"/>
      </w:pPr>
    </w:p>
    <w:p>
      <w:pPr>
        <w:pStyle w:val="Heading1"/>
      </w:pPr>
      <w:r>
        <w:t>14. Common Record Design</w:t>
      </w:r>
    </w:p>
    <w:p>
      <w:r>
        <w:rPr>
          <w:rFonts w:ascii="Calibri" w:hAnsi="Calibri" w:eastAsia="Calibri"/>
          <w:color w:val="111827"/>
        </w:rPr>
        <w:t>Every persistent governed record shall use the common fields that are relevant to its type:</w:t>
      </w:r>
    </w:p>
    <w:tbl>
      <w:tblPr>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Field group</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design consideration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Identity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Stable internal identifier; human-readable number only when the record is a governed Business Document.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Tenant and organization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Company/tenant identifier and, when applicable, branch, business unit, department, warehouse, project, or cost center.</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Lifecycle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Status, business date, posting/completion timestamp, closed state, and correction linkage.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Ownership and actors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Created by, updated by, responsible user, approved by, posted by, reversed by, and reason where applicable.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Concurrency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Version or timestamp control to prevent lost updates and duplicate completion.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Currency and amount</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Currency identity, precision, signed amount convention, taxes, totals, and exchange information when supported.</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Evidence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Notes, attachments, source document, external reference, and related-document links.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Audit metadata</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Created/updated timestamps, source channel, request/correlation ID, and permitted before/after evidence.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RECORD INTEGRITY  </w:t>
            </w:r>
            <w:r>
              <w:rPr>
                <w:rFonts w:ascii="Calibri" w:hAnsi="Calibri" w:eastAsia="Calibri"/>
                <w:b/>
                <w:color w:val="0B2545"/>
                <w:sz w:val="20"/>
              </w:rPr>
              <w:t>Posted or completed business effects shall not be physically deleted or silently edited. Corrections shall use an approved cancel, void, reversal, adjustment, or replacement path.</w:t>
            </w:r>
          </w:p>
        </w:tc>
      </w:tr>
    </w:tbl>
    <w:p>
      <w:pPr>
        <w:spacing w:after="0"/>
      </w:pPr>
    </w:p>
    <w:p>
      <w:pPr>
        <w:pStyle w:val="Heading1"/>
      </w:pPr>
      <w:r>
        <w:t>15. Business Objects and Master Data</w:t>
      </w:r>
    </w:p>
    <w:p>
      <w:r>
        <w:rPr>
          <w:rFonts w:ascii="Calibri" w:hAnsi="Calibri" w:eastAsia="Calibri"/>
          <w:color w:val="111827"/>
        </w:rPr>
        <w:t>Every Business Object shall have one owning module and one authoritative record. Other modules may reference, search, display, or contextually create the object through the owning service.</w:t>
      </w:r>
    </w:p>
    <w:p>
      <w:pPr>
        <w:numPr>
          <w:ilvl w:val="0"/>
          <w:numId w:val="10"/>
        </w:numPr>
        <w:spacing w:after="80" w:line="300" w:lineRule="auto"/>
      </w:pPr>
      <w:r>
        <w:rPr>
          <w:rFonts w:ascii="Calibri" w:hAnsi="Calibri" w:eastAsia="Calibri"/>
          <w:color w:val="111827"/>
          <w:sz w:val="21"/>
        </w:rPr>
        <w:t>Master Registries own operational records used in transactions; Settings owns configuration that controls behavior.</w:t>
      </w:r>
    </w:p>
    <w:p>
      <w:pPr>
        <w:numPr>
          <w:ilvl w:val="0"/>
          <w:numId w:val="10"/>
        </w:numPr>
        <w:spacing w:after="80" w:line="300" w:lineRule="auto"/>
      </w:pPr>
      <w:r>
        <w:rPr>
          <w:rFonts w:ascii="Calibri" w:hAnsi="Calibri" w:eastAsia="Calibri"/>
          <w:color w:val="111827"/>
          <w:sz w:val="21"/>
        </w:rPr>
        <w:t>A master record with transaction history shall normally be deactivated, not deleted.</w:t>
      </w:r>
    </w:p>
    <w:p>
      <w:pPr>
        <w:numPr>
          <w:ilvl w:val="0"/>
          <w:numId w:val="10"/>
        </w:numPr>
        <w:spacing w:after="80" w:line="300" w:lineRule="auto"/>
      </w:pPr>
      <w:r>
        <w:rPr>
          <w:rFonts w:ascii="Calibri" w:hAnsi="Calibri" w:eastAsia="Calibri"/>
          <w:color w:val="111827"/>
          <w:sz w:val="21"/>
        </w:rPr>
        <w:t>Historical documents shall preserve their original identity and values even when a current master record changes.</w:t>
      </w:r>
    </w:p>
    <w:p>
      <w:pPr>
        <w:numPr>
          <w:ilvl w:val="0"/>
          <w:numId w:val="10"/>
        </w:numPr>
        <w:spacing w:after="80" w:line="300" w:lineRule="auto"/>
      </w:pPr>
      <w:r>
        <w:rPr>
          <w:rFonts w:ascii="Calibri" w:hAnsi="Calibri" w:eastAsia="Calibri"/>
          <w:color w:val="111827"/>
          <w:sz w:val="21"/>
        </w:rPr>
        <w:t>Duplicate detection, required identity, activation status, effective dates, and permitted company/branch scope shall be explicit.</w:t>
      </w:r>
    </w:p>
    <w:p>
      <w:pPr>
        <w:numPr>
          <w:ilvl w:val="0"/>
          <w:numId w:val="10"/>
        </w:numPr>
        <w:spacing w:after="80" w:line="300" w:lineRule="auto"/>
      </w:pPr>
      <w:r>
        <w:rPr>
          <w:rFonts w:ascii="Calibri" w:hAnsi="Calibri" w:eastAsia="Calibri"/>
          <w:color w:val="111827"/>
          <w:sz w:val="21"/>
        </w:rPr>
        <w:t>Contextual quick-create shall invoke the authoritative Master Registry capability and return the created record to the originating task.</w:t>
      </w:r>
    </w:p>
    <w:p>
      <w:pPr>
        <w:pStyle w:val="Heading1"/>
      </w:pPr>
      <w:r>
        <w:t>16. Business Documents and Numbering</w:t>
      </w:r>
    </w:p>
    <w:p>
      <w:r>
        <w:rPr>
          <w:rFonts w:ascii="Calibri" w:hAnsi="Calibri" w:eastAsia="Calibri"/>
          <w:color w:val="111827"/>
        </w:rPr>
        <w:t>A Business Document is a structured record that captures, authorizes, evidences, or reports a business commitment or transaction. Each module shall define its document types, meaning, required fields, numbering, totals, lifecycle, printable form, evidence, and correction rules.</w:t>
      </w:r>
    </w:p>
    <w:tbl>
      <w:tblPr>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 area</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Minimum content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Identity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Document type, internal ID, reference number, company, branch, business date, and status.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Parties / accounts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Customer, supplier, payee, cash account, warehouse/location, employee, project, and other relevant references.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Details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Line items, quantities, prices, taxes, categories, allocations, payment information, or parameters.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Totals and impact</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Subtotal, discounts, tax, total, paid/applied amount, balance, stock effect, cash effect, and material consequences.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Evidence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Attachments, source documents, notes, external references, and related documents.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Lifecycle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Created, submitted, approved, posted/completed, cancelled/voided/reversed, and closed evidence as applicable.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Actions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Only actions valid for the current status, permission, edition, context, and dependency.</w:t>
            </w:r>
          </w:p>
        </w:tc>
      </w:tr>
    </w:tbl>
    <w:p>
      <w:pPr>
        <w:spacing w:after="0"/>
      </w:pPr>
    </w:p>
    <w:p>
      <w:pPr>
        <w:numPr>
          <w:ilvl w:val="0"/>
          <w:numId w:val="10"/>
        </w:numPr>
        <w:spacing w:after="80" w:line="300" w:lineRule="auto"/>
      </w:pPr>
      <w:r>
        <w:rPr>
          <w:rFonts w:ascii="Calibri" w:hAnsi="Calibri" w:eastAsia="Calibri"/>
          <w:color w:val="111827"/>
          <w:sz w:val="21"/>
        </w:rPr>
        <w:t>Drafts may use an internal identity; a final human-readable number shall be assigned at the approved lifecycle point.</w:t>
      </w:r>
    </w:p>
    <w:p>
      <w:pPr>
        <w:numPr>
          <w:ilvl w:val="0"/>
          <w:numId w:val="10"/>
        </w:numPr>
        <w:spacing w:after="80" w:line="300" w:lineRule="auto"/>
      </w:pPr>
      <w:r>
        <w:rPr>
          <w:rFonts w:ascii="Calibri" w:hAnsi="Calibri" w:eastAsia="Calibri"/>
          <w:color w:val="111827"/>
          <w:sz w:val="21"/>
        </w:rPr>
        <w:t>Number allocation shall be concurrency-safe, unique within the defined scope, and protected from casual reuse.</w:t>
      </w:r>
    </w:p>
    <w:p>
      <w:pPr>
        <w:numPr>
          <w:ilvl w:val="0"/>
          <w:numId w:val="10"/>
        </w:numPr>
        <w:spacing w:after="80" w:line="300" w:lineRule="auto"/>
      </w:pPr>
      <w:r>
        <w:rPr>
          <w:rFonts w:ascii="Calibri" w:hAnsi="Calibri" w:eastAsia="Calibri"/>
          <w:color w:val="111827"/>
          <w:sz w:val="21"/>
        </w:rPr>
        <w:t>Voided or cancelled issued numbers shall remain visible in history when legal, tax, or control requirements demand continuity.</w:t>
      </w:r>
    </w:p>
    <w:p>
      <w:pPr>
        <w:numPr>
          <w:ilvl w:val="0"/>
          <w:numId w:val="10"/>
        </w:numPr>
        <w:spacing w:after="80" w:line="300" w:lineRule="auto"/>
      </w:pPr>
      <w:r>
        <w:rPr>
          <w:rFonts w:ascii="Calibri" w:hAnsi="Calibri" w:eastAsia="Calibri"/>
          <w:color w:val="111827"/>
          <w:sz w:val="21"/>
        </w:rPr>
        <w:t>Document numbering configuration is maintained in Settings and enforced by the Core numbering service.</w:t>
      </w:r>
    </w:p>
    <w:p>
      <w:pPr>
        <w:pStyle w:val="Heading1"/>
      </w:pPr>
      <w:r>
        <w:t>17. Standard Business Event Model</w:t>
      </w:r>
    </w:p>
    <w:p>
      <w:r>
        <w:rPr>
          <w:rFonts w:ascii="Calibri" w:hAnsi="Calibri" w:eastAsia="Calibri"/>
          <w:color w:val="111827"/>
        </w:rPr>
        <w:t>A Business Event represents a meaningful activity or condition that initiates or results from platform processing. Event names shall use business language and past-tense outcome names for published results where practical.</w:t>
      </w:r>
    </w:p>
    <w:tbl>
      <w:tblPr>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Event attribute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definition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Identity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Event code/name, version, event ID, correlation ID, timestamp, and owning module.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Trigger and actor</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User action, scheduled condition, external event, actor identity, and active company context.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Inputs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Required fields, referenced objects, source record, attachments, and optional metadata.</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Validations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Required, reference, Module Rule, security, transaction, and system validations.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Processing</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case invoked, transaction boundary, idempotency key, and authorization point.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Outputs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Created/updated records, final reference, status, totals, related documents, and permitted response.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Downstream effects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Events published, reports/KPIs affected, notifications, cash/stock/subledger impact, and subscribers.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Audit</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What is recorded, who may view it, sensitive values to protect, and retention requirement.</w:t>
            </w:r>
          </w:p>
        </w:tc>
      </w:tr>
    </w:tbl>
    <w:p>
      <w:pPr>
        <w:spacing w:after="0"/>
      </w:pPr>
    </w:p>
    <w:p>
      <w:pPr>
        <w:pStyle w:val="Heading1"/>
      </w:pPr>
      <w:r>
        <w:t>18. Standard Business Transaction Model</w:t>
      </w:r>
    </w:p>
    <w:p>
      <w:r>
        <w:rPr>
          <w:rFonts w:ascii="Calibri" w:hAnsi="Calibri" w:eastAsia="Calibri"/>
          <w:color w:val="111827"/>
        </w:rPr>
        <w:t>A Business Transaction is the validated, authorized, and processed result of a Business Event that changes business state. The Business Transaction Engine is the common processing pattern—not permission to centralize all domain logic in one undifferentiated service.</w:t>
      </w:r>
    </w:p>
    <w:p>
      <w:pPr>
        <w:numPr>
          <w:ilvl w:val="0"/>
          <w:numId w:val="11"/>
        </w:numPr>
        <w:spacing w:after="80" w:line="300" w:lineRule="auto"/>
      </w:pPr>
      <w:r>
        <w:rPr>
          <w:rFonts w:ascii="Calibri" w:hAnsi="Calibri" w:eastAsia="Calibri"/>
          <w:color w:val="111827"/>
          <w:sz w:val="21"/>
        </w:rPr>
        <w:t>Capture the request with actor, company context, source, idempotency key, and required input.</w:t>
      </w:r>
    </w:p>
    <w:p>
      <w:pPr>
        <w:numPr>
          <w:ilvl w:val="0"/>
          <w:numId w:val="11"/>
        </w:numPr>
        <w:spacing w:after="80" w:line="300" w:lineRule="auto"/>
      </w:pPr>
      <w:r>
        <w:rPr>
          <w:rFonts w:ascii="Calibri" w:hAnsi="Calibri" w:eastAsia="Calibri"/>
          <w:color w:val="111827"/>
          <w:sz w:val="21"/>
        </w:rPr>
        <w:t>Validate required fields, references, Module Rules, permissions, related-document state, and system configuration.</w:t>
      </w:r>
    </w:p>
    <w:p>
      <w:pPr>
        <w:numPr>
          <w:ilvl w:val="0"/>
          <w:numId w:val="11"/>
        </w:numPr>
        <w:spacing w:after="80" w:line="300" w:lineRule="auto"/>
      </w:pPr>
      <w:r>
        <w:rPr>
          <w:rFonts w:ascii="Calibri" w:hAnsi="Calibri" w:eastAsia="Calibri"/>
          <w:color w:val="111827"/>
          <w:sz w:val="21"/>
        </w:rPr>
        <w:t>Calculate totals and effects using the owning module’s authoritative logic.</w:t>
      </w:r>
    </w:p>
    <w:p>
      <w:pPr>
        <w:numPr>
          <w:ilvl w:val="0"/>
          <w:numId w:val="11"/>
        </w:numPr>
        <w:spacing w:after="80" w:line="300" w:lineRule="auto"/>
      </w:pPr>
      <w:r>
        <w:rPr>
          <w:rFonts w:ascii="Calibri" w:hAnsi="Calibri" w:eastAsia="Calibri"/>
          <w:color w:val="111827"/>
          <w:sz w:val="21"/>
        </w:rPr>
        <w:t>Present review/approval information when material impact or policy requires it.</w:t>
      </w:r>
    </w:p>
    <w:p>
      <w:pPr>
        <w:numPr>
          <w:ilvl w:val="0"/>
          <w:numId w:val="11"/>
        </w:numPr>
        <w:spacing w:after="80" w:line="300" w:lineRule="auto"/>
      </w:pPr>
      <w:r>
        <w:rPr>
          <w:rFonts w:ascii="Calibri" w:hAnsi="Calibri" w:eastAsia="Calibri"/>
          <w:color w:val="111827"/>
          <w:sz w:val="21"/>
        </w:rPr>
        <w:t>Commit all defined state changes atomically within the transaction boundary.</w:t>
      </w:r>
    </w:p>
    <w:p>
      <w:pPr>
        <w:numPr>
          <w:ilvl w:val="0"/>
          <w:numId w:val="11"/>
        </w:numPr>
        <w:spacing w:after="80" w:line="300" w:lineRule="auto"/>
      </w:pPr>
      <w:r>
        <w:rPr>
          <w:rFonts w:ascii="Calibri" w:hAnsi="Calibri" w:eastAsia="Calibri"/>
          <w:color w:val="111827"/>
          <w:sz w:val="21"/>
        </w:rPr>
        <w:t>Publish resulting Business Events only after successful commit using an approved reliable mechanism.</w:t>
      </w:r>
    </w:p>
    <w:p>
      <w:pPr>
        <w:numPr>
          <w:ilvl w:val="0"/>
          <w:numId w:val="11"/>
        </w:numPr>
        <w:spacing w:after="80" w:line="300" w:lineRule="auto"/>
      </w:pPr>
      <w:r>
        <w:rPr>
          <w:rFonts w:ascii="Calibri" w:hAnsi="Calibri" w:eastAsia="Calibri"/>
          <w:color w:val="111827"/>
          <w:sz w:val="21"/>
        </w:rPr>
        <w:t>Update authorized reporting/search projections and create notifications without duplicating source records.</w:t>
      </w:r>
    </w:p>
    <w:p>
      <w:pPr>
        <w:numPr>
          <w:ilvl w:val="0"/>
          <w:numId w:val="11"/>
        </w:numPr>
        <w:spacing w:after="80" w:line="300" w:lineRule="auto"/>
      </w:pPr>
      <w:r>
        <w:rPr>
          <w:rFonts w:ascii="Calibri" w:hAnsi="Calibri" w:eastAsia="Calibri"/>
          <w:color w:val="111827"/>
          <w:sz w:val="21"/>
        </w:rPr>
        <w:t>Record audit evidence and return the final reference, status, summary, and safe next actions.</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Transaction property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standard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Atomicity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All required effects complete or none are committed within the defined boundary.</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Idempotency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A repeated request with the same key does not create a duplicate business effect.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Consistency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Balances, quantities, allocations, subledgers, totals, and statuses satisfy documented invariants.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Isolation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Concurrent actions do not over-collect, over-pay, oversell, duplicate numbering, or overwrite protected state.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Durability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Committed effects remain recoverable and traceable after system or network failure.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8"/>
              </w:rPr>
              <w:t>Correction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8"/>
              </w:rPr>
              <w:t>Posted effects are counteracted through linked controlled records, not destructive editing.</w:t>
            </w:r>
          </w:p>
        </w:tc>
      </w:tr>
    </w:tbl>
    <w:p>
      <w:pPr>
        <w:spacing w:after="0"/>
      </w:pPr>
    </w:p>
    <w:p>
      <w:pPr>
        <w:pStyle w:val="Heading1"/>
      </w:pPr>
      <w:r>
        <w:t>19. Standard Lifecycle and Status Framework</w:t>
      </w:r>
    </w:p>
    <w:p>
      <w:r>
        <w:rPr>
          <w:rFonts w:ascii="Calibri" w:hAnsi="Calibri" w:eastAsia="Calibri"/>
          <w:color w:val="111827"/>
        </w:rPr>
        <w:t>Modules shall select only the statuses that are meaningful to their records. Status labels shall carry consistent semantics across the product.</w:t>
      </w:r>
    </w:p>
    <w:tbl>
      <w:tblPr>
        <w:tblW w:type="dxa" w:w="9360"/>
        <w:jc w:val="left"/>
        <w:tblLayout w:type="fixed"/>
        <w:tblLook w:firstColumn="1" w:firstRow="1" w:lastColumn="0" w:lastRow="0" w:noHBand="0" w:noVBand="1" w:val="04A0"/>
        <w:tblInd w:w="120" w:type="dxa"/>
      </w:tblPr>
      <w:tblGrid>
        <w:gridCol w:w="1700"/>
        <w:gridCol w:w="2900"/>
        <w:gridCol w:w="4760"/>
      </w:tblGrid>
      <w:tr>
        <w:trPr>
          <w:cantSplit/>
          <w:tblHeader w:val="true"/>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Status family</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Typical statuses</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Meaning</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Neutral</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Draft, Inactive, Closed</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active processing, not currently available, or operationally concluded.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Attention</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Pending, For Approval, Partially Paid, Low Stock</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Requires action or remains incomplete.</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Progress</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Scheduled, Processing, In Progress</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Work or system processing is underway.</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Authorized</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Approved, Ready</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Required authority or prerequisite is satisfied.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Completed</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Posted, Completed, Paid, Cleared</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intended business effect completed successfully.</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Stopped</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Cancelled, Voided</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record or instrument was intentionally stopped and retained.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Corrected</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Reversed, Adjusted</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prior effect was counteracted or corrected through a linked transaction.</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Failure</w:t>
            </w:r>
          </w:p>
        </w:tc>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Failed, Rolled Back</w:t>
            </w:r>
          </w:p>
        </w:tc>
        <w:tc>
          <w:tcPr>
            <w:tcW w:type="dxa" w:w="4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Processing did not complete and recovery or review is required.</w:t>
            </w:r>
          </w:p>
        </w:tc>
      </w:tr>
    </w:tbl>
    <w:p>
      <w:pPr>
        <w:spacing w:after="0"/>
      </w:pPr>
    </w:p>
    <w:tbl>
      <w:tblPr>
        <w:tblW w:type="dxa" w:w="9360"/>
        <w:jc w:val="left"/>
        <w:tblLayout w:type="fixed"/>
        <w:tblLook w:firstColumn="1" w:firstRow="1" w:lastColumn="0" w:lastRow="0" w:noHBand="0" w:noVBand="1" w:val="04A0"/>
        <w:tblInd w:w="120" w:type="dxa"/>
      </w:tblPr>
      <w:tblGrid>
        <w:gridCol w:w="1300"/>
        <w:gridCol w:w="3900"/>
        <w:gridCol w:w="4160"/>
      </w:tblGrid>
      <w:tr>
        <w:trPr>
          <w:cantSplit/>
          <w:tblHeader w:val="true"/>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Action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Use</w:t>
            </w:r>
          </w:p>
        </w:tc>
        <w:tc>
          <w:tcPr>
            <w:tcW w:type="dxa" w:w="4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 requirement</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Cancel</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Stop a draft, pending, or cancellable record before final effect.</w:t>
            </w:r>
          </w:p>
        </w:tc>
        <w:tc>
          <w:tcPr>
            <w:tcW w:type="dxa" w:w="4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Retain identity and reason when audit or business history requires it.</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Void</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Invalidate an issued specialized record such as a receipt, check, or voucher.</w:t>
            </w:r>
          </w:p>
        </w:tc>
        <w:tc>
          <w:tcPr>
            <w:tcW w:type="dxa" w:w="4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Require authority, reason, and linkage to original identity.</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Reverse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Counteract a posted transaction through a correcting transaction.</w:t>
            </w:r>
          </w:p>
        </w:tc>
        <w:tc>
          <w:tcPr>
            <w:tcW w:type="dxa" w:w="4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Never present as deletion; show both original and reversal effects.</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Deactivate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Prevent future use of Master Data or configuration.</w:t>
            </w:r>
          </w:p>
        </w:tc>
        <w:tc>
          <w:tcPr>
            <w:tcW w:type="dxa" w:w="4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Preserve historical references and allow controlled reactivation.</w:t>
            </w:r>
          </w:p>
        </w:tc>
      </w:tr>
      <w:tr>
        <w:trPr>
          <w:cantSplit/>
        </w:trPr>
        <w:tc>
          <w:tcPr>
            <w:tcW w:type="dxa" w:w="1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Delete Draft</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Remove an unposted draft with no protected history where policy permits.</w:t>
            </w:r>
          </w:p>
        </w:tc>
        <w:tc>
          <w:tcPr>
            <w:tcW w:type="dxa" w:w="4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Never allow for posted, issued, approved, or audit-protected records.</w:t>
            </w:r>
          </w:p>
        </w:tc>
      </w:tr>
    </w:tbl>
    <w:p>
      <w:pPr>
        <w:spacing w:after="0"/>
      </w:pPr>
    </w:p>
    <w:p>
      <w:pPr>
        <w:pStyle w:val="Heading1"/>
      </w:pPr>
      <w:r>
        <w:t>20. Validation and Error Handling</w:t>
      </w:r>
    </w:p>
    <w:tbl>
      <w:tblPr>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Validation category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behavior</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Required Field</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Identify missing input near the field and in an accessible summary after submission.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Reference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Confirm referenced Master Data exists, is active, and is permitted in the active context.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Module Rule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Explain the business requirement in user language, including the value, limit, status, or dependency involved.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Security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Do not expose protected information; identify required authority or available approval path.</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Transaction</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Validate related status, remaining amount/quantity, duplicate reference, valid allocation, and correction path.</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System</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Identify missing configuration, dependency, or service and provide a safe recovery route.</w:t>
            </w:r>
          </w:p>
        </w:tc>
      </w:tr>
    </w:tbl>
    <w:p>
      <w:pPr>
        <w:spacing w:after="0"/>
      </w:pPr>
    </w:p>
    <w:p>
      <w:pPr>
        <w:numPr>
          <w:ilvl w:val="0"/>
          <w:numId w:val="10"/>
        </w:numPr>
        <w:spacing w:after="80" w:line="300" w:lineRule="auto"/>
      </w:pPr>
      <w:r>
        <w:rPr>
          <w:rFonts w:ascii="Calibri" w:hAnsi="Calibri" w:eastAsia="Calibri"/>
          <w:color w:val="111827"/>
          <w:sz w:val="21"/>
        </w:rPr>
        <w:t>Valid user input shall be preserved after recoverable validation or connectivity failure.</w:t>
      </w:r>
    </w:p>
    <w:p>
      <w:pPr>
        <w:numPr>
          <w:ilvl w:val="0"/>
          <w:numId w:val="10"/>
        </w:numPr>
        <w:spacing w:after="80" w:line="300" w:lineRule="auto"/>
      </w:pPr>
      <w:r>
        <w:rPr>
          <w:rFonts w:ascii="Calibri" w:hAnsi="Calibri" w:eastAsia="Calibri"/>
          <w:color w:val="111827"/>
          <w:sz w:val="21"/>
        </w:rPr>
        <w:t>Messages shall state what failed, what remains safe, and what the user can do next.</w:t>
      </w:r>
    </w:p>
    <w:p>
      <w:pPr>
        <w:numPr>
          <w:ilvl w:val="0"/>
          <w:numId w:val="10"/>
        </w:numPr>
        <w:spacing w:after="80" w:line="300" w:lineRule="auto"/>
      </w:pPr>
      <w:r>
        <w:rPr>
          <w:rFonts w:ascii="Calibri" w:hAnsi="Calibri" w:eastAsia="Calibri"/>
          <w:color w:val="111827"/>
          <w:sz w:val="21"/>
        </w:rPr>
        <w:t>A network timeout shall not be treated as proof that a transaction failed; the application shall check authoritative status before retry.</w:t>
      </w:r>
    </w:p>
    <w:p>
      <w:pPr>
        <w:numPr>
          <w:ilvl w:val="0"/>
          <w:numId w:val="10"/>
        </w:numPr>
        <w:spacing w:after="80" w:line="300" w:lineRule="auto"/>
      </w:pPr>
      <w:r>
        <w:rPr>
          <w:rFonts w:ascii="Calibri" w:hAnsi="Calibri" w:eastAsia="Calibri"/>
          <w:color w:val="111827"/>
          <w:sz w:val="21"/>
        </w:rPr>
        <w:t>Partial success shall identify successful and failed items separately and shall never display a generic success message.</w:t>
      </w:r>
    </w:p>
    <w:p>
      <w:pPr>
        <w:numPr>
          <w:ilvl w:val="0"/>
          <w:numId w:val="10"/>
        </w:numPr>
        <w:spacing w:after="80" w:line="300" w:lineRule="auto"/>
      </w:pPr>
      <w:r>
        <w:rPr>
          <w:rFonts w:ascii="Calibri" w:hAnsi="Calibri" w:eastAsia="Calibri"/>
          <w:color w:val="111827"/>
          <w:sz w:val="21"/>
        </w:rPr>
        <w:t>Technical details, stack traces, secrets, identifiers, or protected data shall not be exposed to ordinary users.</w:t>
      </w:r>
    </w:p>
    <w:p>
      <w:pPr>
        <w:pStyle w:val="Heading1"/>
      </w:pPr>
      <w:r>
        <w:t>21. Audit, Activity, Attachments, and Traceability</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Concern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standard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Audit trail</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Immutable evidence of material actions, actor, time, company context, source, reason, and permitted before/after values.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Activity history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Readable business timeline drawn from authoritative audit/event evidence, filtered by role and sensitivity.</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Attachments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Securely stored evidence with type, size, owner, linked record, upload time, access, retention, and malware scanning when available.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Related documents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Bidirectional traceability among source, resulting, settlement, adjustment, reversal, and replacement documents.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Correlation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One correlation/request identity shall connect UI action, API request, transaction, events, logs, notifications, and failure evidence.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Retention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Policies shall reflect legal, tax, accounting, privacy, subscription, and operational requirements; deletion shall be controlled.</w:t>
            </w:r>
          </w:p>
        </w:tc>
      </w:tr>
    </w:tbl>
    <w:p>
      <w:pPr>
        <w:spacing w:after="0"/>
      </w:pPr>
    </w:p>
    <w:p>
      <w:pPr>
        <w:pStyle w:val="Heading1"/>
      </w:pPr>
      <w:r>
        <w:t>22. Cross-Module Integration</w:t>
      </w:r>
    </w:p>
    <w:p>
      <w:r>
        <w:rPr>
          <w:rFonts w:ascii="Calibri" w:hAnsi="Calibri" w:eastAsia="Calibri"/>
          <w:color w:val="111827"/>
        </w:rPr>
        <w:t>Modules shall integrate through approved application services, APIs, events, and shared references. Direct table-level dependencies across modules are prohibited unless explicitly approved in the architecture and protected by an owned data-access contract.</w:t>
      </w:r>
    </w:p>
    <w:p>
      <w:pPr>
        <w:numPr>
          <w:ilvl w:val="0"/>
          <w:numId w:val="10"/>
        </w:numPr>
        <w:spacing w:after="80" w:line="300" w:lineRule="auto"/>
      </w:pPr>
      <w:r>
        <w:rPr>
          <w:rFonts w:ascii="Calibri" w:hAnsi="Calibri" w:eastAsia="Calibri"/>
          <w:color w:val="111827"/>
          <w:sz w:val="21"/>
        </w:rPr>
        <w:t>The originating module explains why a business state or obligation exists.</w:t>
      </w:r>
    </w:p>
    <w:p>
      <w:pPr>
        <w:numPr>
          <w:ilvl w:val="0"/>
          <w:numId w:val="10"/>
        </w:numPr>
        <w:spacing w:after="80" w:line="300" w:lineRule="auto"/>
      </w:pPr>
      <w:r>
        <w:rPr>
          <w:rFonts w:ascii="Calibri" w:hAnsi="Calibri" w:eastAsia="Calibri"/>
          <w:color w:val="111827"/>
          <w:sz w:val="21"/>
        </w:rPr>
        <w:t>The settlement module records how and when an amount is received or paid.</w:t>
      </w:r>
    </w:p>
    <w:p>
      <w:pPr>
        <w:numPr>
          <w:ilvl w:val="0"/>
          <w:numId w:val="10"/>
        </w:numPr>
        <w:spacing w:after="80" w:line="300" w:lineRule="auto"/>
      </w:pPr>
      <w:r>
        <w:rPr>
          <w:rFonts w:ascii="Calibri" w:hAnsi="Calibri" w:eastAsia="Calibri"/>
          <w:color w:val="111827"/>
          <w:sz w:val="21"/>
        </w:rPr>
        <w:t>Cash Accounts owns the cash-account identity, ledger, running balance, transfer, and reconciliation.</w:t>
      </w:r>
    </w:p>
    <w:p>
      <w:pPr>
        <w:numPr>
          <w:ilvl w:val="0"/>
          <w:numId w:val="10"/>
        </w:numPr>
        <w:spacing w:after="80" w:line="300" w:lineRule="auto"/>
      </w:pPr>
      <w:r>
        <w:rPr>
          <w:rFonts w:ascii="Calibri" w:hAnsi="Calibri" w:eastAsia="Calibri"/>
          <w:color w:val="111827"/>
          <w:sz w:val="21"/>
        </w:rPr>
        <w:t>Inventory owns stock quantities, movements, availability, and valuation support.</w:t>
      </w:r>
    </w:p>
    <w:p>
      <w:pPr>
        <w:numPr>
          <w:ilvl w:val="0"/>
          <w:numId w:val="10"/>
        </w:numPr>
        <w:spacing w:after="80" w:line="300" w:lineRule="auto"/>
      </w:pPr>
      <w:r>
        <w:rPr>
          <w:rFonts w:ascii="Calibri" w:hAnsi="Calibri" w:eastAsia="Calibri"/>
          <w:color w:val="111827"/>
          <w:sz w:val="21"/>
        </w:rPr>
        <w:t>Reports consume governed records and shall not create an independent competing balance or transaction source.</w:t>
      </w:r>
    </w:p>
    <w:p>
      <w:pPr>
        <w:numPr>
          <w:ilvl w:val="0"/>
          <w:numId w:val="10"/>
        </w:numPr>
        <w:spacing w:after="80" w:line="300" w:lineRule="auto"/>
      </w:pPr>
      <w:r>
        <w:rPr>
          <w:rFonts w:ascii="Calibri" w:hAnsi="Calibri" w:eastAsia="Calibri"/>
          <w:color w:val="111827"/>
          <w:sz w:val="21"/>
        </w:rPr>
        <w:t>Events shall be versioned, permission-safe, and designed for retry without duplicate effect.</w:t>
      </w:r>
    </w:p>
    <w:tbl>
      <w:tblPr>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event</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Ownership chain</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Paid expense recorded now</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MDS-800 recognizes and classifies the expense → MDS-500 records settlement → MDS-700 records the cash-account effect.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Accrued expense paid later</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MDS-800 creates the unpaid expense → MDS-500 settles it when due → MDS-700 updates the selected cash account.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Supplier invoice paid</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MDS-400 recognizes the payable → MDS-500 applies the payment → MDS-700 records the cash reduction.</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 collection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MDS-300 receives and applies money → MDS-200 receivable balance is settled → MDS-700 records the receipt into the cash account.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sale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MDS-200 owns the sale → MDS-300/Core receipt service may issue receipt evidence → MDS-700 records the cash-account effect → MDS-600 records stock effect.</w:t>
            </w:r>
          </w:p>
        </w:tc>
      </w:tr>
    </w:tbl>
    <w:p>
      <w:pPr>
        <w:spacing w:after="0"/>
      </w:pPr>
    </w:p>
    <w:p>
      <w:r>
        <w:br w:type="page"/>
      </w:r>
    </w:p>
    <w:p>
      <w:pPr>
        <w:spacing w:before="920" w:after="100"/>
      </w:pPr>
      <w:r>
        <w:rPr>
          <w:rFonts w:ascii="Calibri" w:hAnsi="Calibri" w:eastAsia="Calibri"/>
          <w:b/>
          <w:color w:val="F59E0B"/>
          <w:sz w:val="20"/>
        </w:rPr>
        <w:t>PART IV</w:t>
      </w:r>
    </w:p>
    <w:p>
      <w:pPr>
        <w:spacing w:after="160"/>
      </w:pPr>
      <w:r>
        <w:rPr>
          <w:rFonts w:ascii="Calibri" w:hAnsi="Calibri" w:eastAsia="Calibri"/>
          <w:b/>
          <w:color w:val="0B2545"/>
          <w:sz w:val="50"/>
        </w:rPr>
        <w:t>Product Experience Standards</w:t>
      </w:r>
    </w:p>
    <w:p>
      <w:pPr>
        <w:spacing w:after="360"/>
        <w:pBdr>
          <w:bottom w:val="single" w:sz="8" w:space="5" w:color="E8EEF5"/>
        </w:pBdr>
      </w:pPr>
      <w:r>
        <w:rPr>
          <w:rFonts w:ascii="Calibri" w:hAnsi="Calibri" w:eastAsia="Calibri"/>
          <w:color w:val="5B6573"/>
          <w:sz w:val="24"/>
        </w:rPr>
        <w:t>Application shell, workspace patterns, entry points, shared panels, responsive behavior, accessibility, and localization.</w:t>
      </w:r>
    </w:p>
    <w:p>
      <w:pPr>
        <w:pStyle w:val="Heading1"/>
      </w:pPr>
      <w:r>
        <w:t>23. Application Shell</w:t>
      </w:r>
    </w:p>
    <w:p>
      <w:r>
        <w:rPr>
          <w:rFonts w:ascii="Calibri" w:hAnsi="Calibri" w:eastAsia="Calibri"/>
          <w:color w:val="111827"/>
        </w:rPr>
        <w:t>The application shell is the persistent structure surrounding every workspace. UID-000 governs its final layout and behavior; MDS-000 defines the functional responsibilities that the shell must support.</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Shell area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Functional requirement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Brand and product identity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Show SimpleBIZ identity and active product/edition without distracting from work.</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Company context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Display and control the active company and, when enabled, branch or operating context.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Primary navigation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Expose permitted workspaces with clear labels, active state, responsive behavior, and edition awareness.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Global search</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Search authorized records across modules and route to the authoritative record or action.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Notifications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Show unread state, urgency, source, timestamp, and direct route to the relevant record or task.</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User profile and session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Account, preferences, help, security, and sign-out functions.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Workspace region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Render landing, list, form, detail, report, and administration archetypes consistently.</w:t>
            </w:r>
          </w:p>
        </w:tc>
      </w:tr>
    </w:tbl>
    <w:p>
      <w:pPr>
        <w:spacing w:after="0"/>
      </w:pPr>
    </w:p>
    <w:p>
      <w:pPr>
        <w:pStyle w:val="Heading1"/>
      </w:pPr>
      <w:r>
        <w:t>24. Workspace Landing Page Standard</w:t>
      </w:r>
    </w:p>
    <w:p>
      <w:r>
        <w:rPr>
          <w:rFonts w:ascii="Calibri" w:hAnsi="Calibri" w:eastAsia="Calibri"/>
          <w:color w:val="111827"/>
        </w:rPr>
        <w:t>Each primary workspace shall provide an outcome-oriented landing page that helps a user begin work, identify what needs attention, find recent records, and reach authoritative history or reports.</w:t>
      </w:r>
    </w:p>
    <w:p>
      <w:pPr>
        <w:numPr>
          <w:ilvl w:val="0"/>
          <w:numId w:val="10"/>
        </w:numPr>
        <w:spacing w:after="80" w:line="300" w:lineRule="auto"/>
      </w:pPr>
      <w:r>
        <w:rPr>
          <w:rFonts w:ascii="Calibri" w:hAnsi="Calibri" w:eastAsia="Calibri"/>
          <w:color w:val="111827"/>
          <w:sz w:val="21"/>
        </w:rPr>
        <w:t>Use a clear workspace title and a short subtitle written in plain business language.</w:t>
      </w:r>
    </w:p>
    <w:p>
      <w:pPr>
        <w:numPr>
          <w:ilvl w:val="0"/>
          <w:numId w:val="10"/>
        </w:numPr>
        <w:spacing w:after="80" w:line="300" w:lineRule="auto"/>
      </w:pPr>
      <w:r>
        <w:rPr>
          <w:rFonts w:ascii="Calibri" w:hAnsi="Calibri" w:eastAsia="Calibri"/>
          <w:color w:val="111827"/>
          <w:sz w:val="21"/>
        </w:rPr>
        <w:t>Default to no more than three visually dominant primary actions. Additional high-priority destination cards require an approved UID/WF exception and a clear visual hierarchy.</w:t>
      </w:r>
    </w:p>
    <w:p>
      <w:pPr>
        <w:numPr>
          <w:ilvl w:val="0"/>
          <w:numId w:val="10"/>
        </w:numPr>
        <w:spacing w:after="80" w:line="300" w:lineRule="auto"/>
      </w:pPr>
      <w:r>
        <w:rPr>
          <w:rFonts w:ascii="Calibri" w:hAnsi="Calibri" w:eastAsia="Calibri"/>
          <w:color w:val="111827"/>
          <w:sz w:val="21"/>
        </w:rPr>
        <w:t>Use familiar, flat, purposeful icons governed by the SimpleBIZ icon standard; decoration shall not obscure meaning.</w:t>
      </w:r>
    </w:p>
    <w:p>
      <w:pPr>
        <w:numPr>
          <w:ilvl w:val="0"/>
          <w:numId w:val="10"/>
        </w:numPr>
        <w:spacing w:after="80" w:line="300" w:lineRule="auto"/>
      </w:pPr>
      <w:r>
        <w:rPr>
          <w:rFonts w:ascii="Calibri" w:hAnsi="Calibri" w:eastAsia="Calibri"/>
          <w:color w:val="111827"/>
          <w:sz w:val="21"/>
        </w:rPr>
        <w:t>Show subordinate access to Needs Attention, history, Recent Activity, Records &amp; Ledgers, reports, or additional actions where relevant.</w:t>
      </w:r>
    </w:p>
    <w:p>
      <w:pPr>
        <w:numPr>
          <w:ilvl w:val="0"/>
          <w:numId w:val="10"/>
        </w:numPr>
        <w:spacing w:after="80" w:line="300" w:lineRule="auto"/>
      </w:pPr>
      <w:r>
        <w:rPr>
          <w:rFonts w:ascii="Calibri" w:hAnsi="Calibri" w:eastAsia="Calibri"/>
          <w:color w:val="111827"/>
          <w:sz w:val="21"/>
        </w:rPr>
        <w:t>On non-landing screens, show a breadcrumb or equivalent return path to the workspace landing page.</w:t>
      </w:r>
    </w:p>
    <w:p>
      <w:pPr>
        <w:numPr>
          <w:ilvl w:val="0"/>
          <w:numId w:val="10"/>
        </w:numPr>
        <w:spacing w:after="80" w:line="300" w:lineRule="auto"/>
      </w:pPr>
      <w:r>
        <w:rPr>
          <w:rFonts w:ascii="Calibri" w:hAnsi="Calibri" w:eastAsia="Calibri"/>
          <w:color w:val="111827"/>
          <w:sz w:val="21"/>
        </w:rPr>
        <w:t>Do not make a user choose between architectural modules merely to complete one ordinary business task.</w:t>
      </w:r>
    </w:p>
    <w:p>
      <w:pPr>
        <w:pStyle w:val="Heading1"/>
      </w:pPr>
      <w:r>
        <w:t>25. Shared Workspace Frameworks</w:t>
      </w:r>
    </w:p>
    <w:tbl>
      <w:tblPr>
        <w:tblW w:type="dxa" w:w="9360"/>
        <w:jc w:val="left"/>
        <w:tblLayout w:type="fixed"/>
        <w:tblLook w:firstColumn="1" w:firstRow="1" w:lastColumn="0" w:lastRow="0" w:noHBand="0" w:noVBand="1" w:val="04A0"/>
        <w:tblInd w:w="120" w:type="dxa"/>
      </w:tblPr>
      <w:tblGrid>
        <w:gridCol w:w="1900"/>
        <w:gridCol w:w="3580"/>
        <w:gridCol w:w="388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Framework</w:t>
            </w:r>
          </w:p>
        </w:tc>
        <w:tc>
          <w:tcPr>
            <w:tcW w:type="dxa" w:w="35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responsibility</w:t>
            </w:r>
          </w:p>
        </w:tc>
        <w:tc>
          <w:tcPr>
            <w:tcW w:type="dxa" w:w="38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Module contribution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Needs Attention</w:t>
            </w:r>
          </w:p>
        </w:tc>
        <w:tc>
          <w:tcPr>
            <w:tcW w:type="dxa" w:w="35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Common priority, count, status, due/age, visibility, and deep-link behavior.</w:t>
            </w:r>
          </w:p>
        </w:tc>
        <w:tc>
          <w:tcPr>
            <w:tcW w:type="dxa" w:w="38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Supply authorized actionable items and explain why attention is required.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Recent Activity</w:t>
            </w:r>
          </w:p>
        </w:tc>
        <w:tc>
          <w:tcPr>
            <w:tcW w:type="dxa" w:w="35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Common timeline/list presentation and cross-module filtering.</w:t>
            </w:r>
          </w:p>
        </w:tc>
        <w:tc>
          <w:tcPr>
            <w:tcW w:type="dxa" w:w="38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Supply governed activity events and authoritative destinations.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Records &amp; Ledgers</w:t>
            </w:r>
          </w:p>
        </w:tc>
        <w:tc>
          <w:tcPr>
            <w:tcW w:type="dxa" w:w="35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Consistent discovery and entry pattern for histories, registries, and ledgers.</w:t>
            </w:r>
          </w:p>
        </w:tc>
        <w:tc>
          <w:tcPr>
            <w:tcW w:type="dxa" w:w="38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 record definitions, fields, filters, permissions, and balances.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Reports</w:t>
            </w:r>
          </w:p>
        </w:tc>
        <w:tc>
          <w:tcPr>
            <w:tcW w:type="dxa" w:w="35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Common catalog link, date/filter context, generation state, preview/export behavior.</w:t>
            </w:r>
          </w:p>
        </w:tc>
        <w:tc>
          <w:tcPr>
            <w:tcW w:type="dxa" w:w="38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 report meaning and source data; MDS-900 owns consolidated presentation.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 Center</w:t>
            </w:r>
          </w:p>
        </w:tc>
        <w:tc>
          <w:tcPr>
            <w:tcW w:type="dxa" w:w="35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Common task queue, assignment, priority, approval, due state, and completion behavior.</w:t>
            </w:r>
          </w:p>
        </w:tc>
        <w:tc>
          <w:tcPr>
            <w:tcW w:type="dxa" w:w="38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Publish authorized tasks and accept completion through the owning capability.</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Snapshot</w:t>
            </w:r>
          </w:p>
        </w:tc>
        <w:tc>
          <w:tcPr>
            <w:tcW w:type="dxa" w:w="35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Common KPI-card and drill-down conventions.</w:t>
            </w:r>
          </w:p>
        </w:tc>
        <w:tc>
          <w:tcPr>
            <w:tcW w:type="dxa" w:w="38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Provide source measures; Dashboard aggregates without becoming a duplicate ledger.</w:t>
            </w:r>
          </w:p>
        </w:tc>
      </w:tr>
    </w:tbl>
    <w:p>
      <w:pPr>
        <w:spacing w:after="0"/>
      </w:pPr>
    </w:p>
    <w:p>
      <w:pPr>
        <w:pStyle w:val="Heading1"/>
      </w:pPr>
      <w:r>
        <w:t>26. UI Navigation Independence and Multiple Entry Point</w:t>
      </w:r>
    </w:p>
    <w:p>
      <w:r>
        <w:rPr>
          <w:rFonts w:ascii="Calibri" w:hAnsi="Calibri" w:eastAsia="Calibri"/>
          <w:color w:val="111827"/>
        </w:rPr>
        <w:t>A governed capability may be initiated from its primary workspace, Dashboard, Needs Attention, Action Center, a related record, global search, a history view, a contextual quick action, or another approved path.</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All entry points shall preserve</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Prohibited divergence</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One permission and data-scope decision.</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 shortcut that bypasses authorization or approval.</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One validation and transaction-processing implementation.</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Separate quick-action logic that calculates or posts differently.</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One authoritative record, number, status, and audit trail.</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 workspace-local duplicate record or copied balance.</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The same edition entitlement and dependency checks.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 hidden path that exposes a paid or disabled capability.</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Consistent success, failure, reversal, and recovery behavior.</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Different correction rules based solely on where the action started.</w:t>
            </w:r>
          </w:p>
        </w:tc>
      </w:tr>
    </w:tbl>
    <w:p>
      <w:pPr>
        <w:spacing w:after="0"/>
      </w:pPr>
    </w:p>
    <w:p>
      <w:pPr>
        <w:pStyle w:val="Heading1"/>
      </w:pPr>
      <w:r>
        <w:t>27. Role-, Status-, Context-, and Edition-Aware UI</w:t>
      </w:r>
    </w:p>
    <w:p>
      <w:r>
        <w:rPr>
          <w:rFonts w:ascii="Calibri" w:hAnsi="Calibri" w:eastAsia="Calibri"/>
          <w:color w:val="111827"/>
        </w:rPr>
        <w:t>Visibility and action availability shall be derived from permission, record status, active company context, edition entitlement, configuration, and dependency—not from visual placement alone.</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Situation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treatment</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Authorized and available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the normal action and apply status/dependency rules.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Unauthorized</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Hide when discovery is unnecessary; otherwise show a safe explanation without protected detail.</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Wrong status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Disable or omit the action and explain the valid next state when useful.</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Capability excluded and irrelevant</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Omit it to preserve simplicity.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Capability useful for discovery</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a restrained locked indicator, edition name, and clear explanation without interrupting the core task.</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Missing setup</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the prerequisite and route an authorized user to Master Registries or Settings.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Temporary service failure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Preserve input, distinguish temporary failure from business rejection, and provide a safe retry/status check.</w:t>
            </w:r>
          </w:p>
        </w:tc>
      </w:tr>
    </w:tbl>
    <w:p>
      <w:pPr>
        <w:spacing w:after="0"/>
      </w:pPr>
    </w:p>
    <w:p>
      <w:pPr>
        <w:pStyle w:val="Heading1"/>
      </w:pPr>
      <w:r>
        <w:t>28. Responsive, Accessible, and Localized Experience</w:t>
      </w:r>
    </w:p>
    <w:tbl>
      <w:tblPr>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Area</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standard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Responsive behavior</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Support Mobile 0–599, Tablet 600–1023, Desktop 1024–1439, and Wide 1440+ CSS px patterns governed by UID-000.</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Viewport use</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Design for the browser viewport—the working area inside browser chrome—not only nominal monitor resolution.</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Keyboard and focus</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All functionality shall be keyboard operable with logical order, visible focus, safe dialog behavior, and no keyboard trap.</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Labels and errors</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Inputs require persistent programmatic labels; instructions, validation, and status messages shall be associated accessibly.</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Touch</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Meet applicable WCAG minimum target size; 44 × 44 CSS px is preferred for touch-oriented controls.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Charts and color</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descriptive titles, accessible data alternatives, labels, and non-color cues; color shall reinforce, not replace, meaning.</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Dates and time</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configured, unambiguous formats and the active business time zone; preserve source time zone where relevant.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Currency and numbers</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configured symbol/code, decimal/grouping conventions, precision, and negative format; retain currency identity in mixed contexts.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Language and names</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Keep labels concise and translation-ready; allow flexible person, organization, address, tax, and identifier structures.</w:t>
            </w:r>
          </w:p>
        </w:tc>
      </w:tr>
    </w:tbl>
    <w:p>
      <w:pPr>
        <w:spacing w:after="0"/>
      </w:pPr>
    </w:p>
    <w:p>
      <w:r>
        <w:br w:type="page"/>
      </w:r>
    </w:p>
    <w:p>
      <w:pPr>
        <w:spacing w:before="920" w:after="100"/>
      </w:pPr>
      <w:r>
        <w:rPr>
          <w:rFonts w:ascii="Calibri" w:hAnsi="Calibri" w:eastAsia="Calibri"/>
          <w:b/>
          <w:color w:val="F59E0B"/>
          <w:sz w:val="20"/>
        </w:rPr>
        <w:t>PART V</w:t>
      </w:r>
    </w:p>
    <w:p>
      <w:pPr>
        <w:spacing w:after="160"/>
      </w:pPr>
      <w:r>
        <w:rPr>
          <w:rFonts w:ascii="Calibri" w:hAnsi="Calibri" w:eastAsia="Calibri"/>
          <w:b/>
          <w:color w:val="0B2545"/>
          <w:sz w:val="50"/>
        </w:rPr>
        <w:t>Security, Administration, and Product Controls</w:t>
      </w:r>
    </w:p>
    <w:p>
      <w:pPr>
        <w:spacing w:after="360"/>
        <w:pBdr>
          <w:bottom w:val="single" w:sz="8" w:space="5" w:color="E8EEF5"/>
        </w:pBdr>
      </w:pPr>
      <w:r>
        <w:rPr>
          <w:rFonts w:ascii="Calibri" w:hAnsi="Calibri" w:eastAsia="Calibri"/>
          <w:color w:val="5B6573"/>
          <w:sz w:val="24"/>
        </w:rPr>
        <w:t>Identity, tenant isolation, permissions, settings, Master Registries, entitlements, privacy, and operational safeguards.</w:t>
      </w:r>
    </w:p>
    <w:p>
      <w:pPr>
        <w:pStyle w:val="Heading1"/>
      </w:pPr>
      <w:r>
        <w:t>29. Authentication and Session Management</w:t>
      </w:r>
    </w:p>
    <w:p>
      <w:pPr>
        <w:numPr>
          <w:ilvl w:val="0"/>
          <w:numId w:val="10"/>
        </w:numPr>
        <w:spacing w:after="80" w:line="300" w:lineRule="auto"/>
      </w:pPr>
      <w:r>
        <w:rPr>
          <w:rFonts w:ascii="Calibri" w:hAnsi="Calibri" w:eastAsia="Calibri"/>
          <w:color w:val="111827"/>
          <w:sz w:val="21"/>
        </w:rPr>
        <w:t>Use secure authentication, approved password handling, recovery, session expiry, and sign-out controls.</w:t>
      </w:r>
    </w:p>
    <w:p>
      <w:pPr>
        <w:numPr>
          <w:ilvl w:val="0"/>
          <w:numId w:val="10"/>
        </w:numPr>
        <w:spacing w:after="80" w:line="300" w:lineRule="auto"/>
      </w:pPr>
      <w:r>
        <w:rPr>
          <w:rFonts w:ascii="Calibri" w:hAnsi="Calibri" w:eastAsia="Calibri"/>
          <w:color w:val="111827"/>
          <w:sz w:val="21"/>
        </w:rPr>
        <w:t>Protect authentication and recovery flows against account enumeration, brute-force attempts, replay, and insecure redirects.</w:t>
      </w:r>
    </w:p>
    <w:p>
      <w:pPr>
        <w:numPr>
          <w:ilvl w:val="0"/>
          <w:numId w:val="10"/>
        </w:numPr>
        <w:spacing w:after="80" w:line="300" w:lineRule="auto"/>
      </w:pPr>
      <w:r>
        <w:rPr>
          <w:rFonts w:ascii="Calibri" w:hAnsi="Calibri" w:eastAsia="Calibri"/>
          <w:color w:val="111827"/>
          <w:sz w:val="21"/>
        </w:rPr>
        <w:t>Record security-relevant events without storing passwords, tokens, or secrets in logs.</w:t>
      </w:r>
    </w:p>
    <w:p>
      <w:pPr>
        <w:numPr>
          <w:ilvl w:val="0"/>
          <w:numId w:val="10"/>
        </w:numPr>
        <w:spacing w:after="80" w:line="300" w:lineRule="auto"/>
      </w:pPr>
      <w:r>
        <w:rPr>
          <w:rFonts w:ascii="Calibri" w:hAnsi="Calibri" w:eastAsia="Calibri"/>
          <w:color w:val="111827"/>
          <w:sz w:val="21"/>
        </w:rPr>
        <w:t>Terminate or re-evaluate sessions when account status, role, critical permission, or organization access materially changes.</w:t>
      </w:r>
    </w:p>
    <w:p>
      <w:pPr>
        <w:numPr>
          <w:ilvl w:val="0"/>
          <w:numId w:val="10"/>
        </w:numPr>
        <w:spacing w:after="80" w:line="300" w:lineRule="auto"/>
      </w:pPr>
      <w:r>
        <w:rPr>
          <w:rFonts w:ascii="Calibri" w:hAnsi="Calibri" w:eastAsia="Calibri"/>
          <w:color w:val="111827"/>
          <w:sz w:val="21"/>
        </w:rPr>
        <w:t>Support future multi-factor authentication and federated identity without changing module-specific business logic.</w:t>
      </w:r>
    </w:p>
    <w:p>
      <w:pPr>
        <w:pStyle w:val="Heading1"/>
      </w:pPr>
      <w:r>
        <w:t>30. Authorization and Data Scope</w:t>
      </w:r>
    </w:p>
    <w:p>
      <w:r>
        <w:rPr>
          <w:rFonts w:ascii="Calibri" w:hAnsi="Calibri" w:eastAsia="Calibri"/>
          <w:color w:val="111827"/>
        </w:rPr>
        <w:t>Every protected operation shall enforce authorization on the server. UI visibility is an experience aid and is not a security boundary.</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Permission dimension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Examples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Function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Create, view, edit draft, submit, approve, post, receive, pay, void, reverse, print, export, administer.</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Record scope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Own records, assigned records, branch, department, warehouse, company, or all permitted companies.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Field scope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Cost, margin, bank details, personal information, audit detail, confidential attachment.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Value/threshold</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Discount limit, payment amount, write-off, refund, adjustment, approval threshold.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Context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Active company, branch, role, edition, device/session assurance, and permitted operating period.</w:t>
            </w:r>
          </w:p>
        </w:tc>
      </w:tr>
    </w:tbl>
    <w:p>
      <w:pPr>
        <w:spacing w:after="0"/>
      </w:pPr>
    </w:p>
    <w:p>
      <w:pPr>
        <w:pStyle w:val="Heading1"/>
      </w:pPr>
      <w:r>
        <w:t>31. Company and Tenant Isolation</w:t>
      </w:r>
    </w:p>
    <w:p>
      <w:pPr>
        <w:numPr>
          <w:ilvl w:val="0"/>
          <w:numId w:val="10"/>
        </w:numPr>
        <w:spacing w:after="80" w:line="300" w:lineRule="auto"/>
      </w:pPr>
      <w:r>
        <w:rPr>
          <w:rFonts w:ascii="Calibri" w:hAnsi="Calibri" w:eastAsia="Calibri"/>
          <w:color w:val="111827"/>
          <w:sz w:val="21"/>
        </w:rPr>
        <w:t>Every tenant-owned record shall carry and enforce its company/tenant identity at the application and database layers.</w:t>
      </w:r>
    </w:p>
    <w:p>
      <w:pPr>
        <w:numPr>
          <w:ilvl w:val="0"/>
          <w:numId w:val="10"/>
        </w:numPr>
        <w:spacing w:after="80" w:line="300" w:lineRule="auto"/>
      </w:pPr>
      <w:r>
        <w:rPr>
          <w:rFonts w:ascii="Calibri" w:hAnsi="Calibri" w:eastAsia="Calibri"/>
          <w:color w:val="111827"/>
          <w:sz w:val="21"/>
        </w:rPr>
        <w:t>Queries, search, exports, notifications, attachments, background work, logs, and reporting projections shall preserve tenant scope.</w:t>
      </w:r>
    </w:p>
    <w:p>
      <w:pPr>
        <w:numPr>
          <w:ilvl w:val="0"/>
          <w:numId w:val="10"/>
        </w:numPr>
        <w:spacing w:after="80" w:line="300" w:lineRule="auto"/>
      </w:pPr>
      <w:r>
        <w:rPr>
          <w:rFonts w:ascii="Calibri" w:hAnsi="Calibri" w:eastAsia="Calibri"/>
          <w:color w:val="111827"/>
          <w:sz w:val="21"/>
        </w:rPr>
        <w:t>Cross-company access shall be explicit, authorized, auditable, and visible to the user.</w:t>
      </w:r>
    </w:p>
    <w:p>
      <w:pPr>
        <w:numPr>
          <w:ilvl w:val="0"/>
          <w:numId w:val="10"/>
        </w:numPr>
        <w:spacing w:after="80" w:line="300" w:lineRule="auto"/>
      </w:pPr>
      <w:r>
        <w:rPr>
          <w:rFonts w:ascii="Calibri" w:hAnsi="Calibri" w:eastAsia="Calibri"/>
          <w:color w:val="111827"/>
          <w:sz w:val="21"/>
        </w:rPr>
        <w:t>Human-readable document numbers may repeat across companies only when the numbering scope explicitly permits it; internal IDs shall remain globally safe.</w:t>
      </w:r>
    </w:p>
    <w:p>
      <w:pPr>
        <w:numPr>
          <w:ilvl w:val="0"/>
          <w:numId w:val="10"/>
        </w:numPr>
        <w:spacing w:after="80" w:line="300" w:lineRule="auto"/>
      </w:pPr>
      <w:r>
        <w:rPr>
          <w:rFonts w:ascii="Calibri" w:hAnsi="Calibri" w:eastAsia="Calibri"/>
          <w:color w:val="111827"/>
          <w:sz w:val="21"/>
        </w:rPr>
        <w:t>Test data, support access, backups, restores, and diagnostic tooling shall not create an alternate path around tenant controls.</w:t>
      </w:r>
    </w:p>
    <w:p>
      <w:pPr>
        <w:pStyle w:val="Heading1"/>
      </w:pPr>
      <w:r>
        <w:t>32. Master Registries versus Settings</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Master Registries — MDS-1000</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Settings &amp; Administration — MDS-1100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Operational records used in transactions.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Configuration and controls that govern application behavior.</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Customers, suppliers, contacts, products, services, units, price lists, payment terms, cash accounts, warehouses, categories, departments, projects, and reference lists.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Company profile, users, roles, permissions, plan, numbering, tax configuration, posting preferences, module enablement, approvals, notifications, security, localization, integrations, import/export, and data portability.</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Usually created and maintained during ordinary operations.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Usually maintained by owners or administrators with explicit authority.</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Owned as authoritative shared business data.</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Enforced by Core services after authorized configuration.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PRACTICAL DISTINCTION  </w:t>
            </w:r>
            <w:r>
              <w:rPr>
                <w:rFonts w:ascii="Calibri" w:hAnsi="Calibri" w:eastAsia="Calibri"/>
                <w:b/>
                <w:color w:val="0B2545"/>
                <w:sz w:val="20"/>
              </w:rPr>
              <w:t>Master Registries answer “Who, what, where, and which record do we use?” Settings answer “How should SimpleBIZ behave?”</w:t>
            </w:r>
          </w:p>
        </w:tc>
      </w:tr>
    </w:tbl>
    <w:p>
      <w:pPr>
        <w:spacing w:after="0"/>
      </w:pPr>
    </w:p>
    <w:p>
      <w:pPr>
        <w:pStyle w:val="Heading1"/>
      </w:pPr>
      <w:r>
        <w:t>33. Edition and Subscription Controls</w:t>
      </w:r>
    </w:p>
    <w:p>
      <w:r>
        <w:rPr>
          <w:rFonts w:ascii="Calibri" w:hAnsi="Calibri" w:eastAsia="Calibri"/>
          <w:color w:val="111827"/>
        </w:rPr>
        <w:t>Core shall support capability-based entitlement from SimpleBIZ Free through paid SimpleBIZ One editions and future ERP editions. Commercial plan names and prices may change without rewriting module logic.</w:t>
      </w:r>
    </w:p>
    <w:p>
      <w:pPr>
        <w:numPr>
          <w:ilvl w:val="0"/>
          <w:numId w:val="10"/>
        </w:numPr>
        <w:spacing w:after="80" w:line="300" w:lineRule="auto"/>
      </w:pPr>
      <w:r>
        <w:rPr>
          <w:rFonts w:ascii="Calibri" w:hAnsi="Calibri" w:eastAsia="Calibri"/>
          <w:color w:val="111827"/>
          <w:sz w:val="21"/>
        </w:rPr>
        <w:t>Each restricted capability shall use a stable entitlement key rather than scattered plan-name checks.</w:t>
      </w:r>
    </w:p>
    <w:p>
      <w:pPr>
        <w:numPr>
          <w:ilvl w:val="0"/>
          <w:numId w:val="10"/>
        </w:numPr>
        <w:spacing w:after="80" w:line="300" w:lineRule="auto"/>
      </w:pPr>
      <w:r>
        <w:rPr>
          <w:rFonts w:ascii="Calibri" w:hAnsi="Calibri" w:eastAsia="Calibri"/>
          <w:color w:val="111827"/>
          <w:sz w:val="21"/>
        </w:rPr>
        <w:t>Core workflows necessary to understand and use the product shall not fail silently when a capability is excluded.</w:t>
      </w:r>
    </w:p>
    <w:p>
      <w:pPr>
        <w:numPr>
          <w:ilvl w:val="0"/>
          <w:numId w:val="10"/>
        </w:numPr>
        <w:spacing w:after="80" w:line="300" w:lineRule="auto"/>
      </w:pPr>
      <w:r>
        <w:rPr>
          <w:rFonts w:ascii="Calibri" w:hAnsi="Calibri" w:eastAsia="Calibri"/>
          <w:color w:val="111827"/>
          <w:sz w:val="21"/>
        </w:rPr>
        <w:t>Locked discovery may be shown only when it is useful, restrained, and does not obstruct ordinary work.</w:t>
      </w:r>
    </w:p>
    <w:p>
      <w:pPr>
        <w:numPr>
          <w:ilvl w:val="0"/>
          <w:numId w:val="10"/>
        </w:numPr>
        <w:spacing w:after="80" w:line="300" w:lineRule="auto"/>
      </w:pPr>
      <w:r>
        <w:rPr>
          <w:rFonts w:ascii="Calibri" w:hAnsi="Calibri" w:eastAsia="Calibri"/>
          <w:color w:val="111827"/>
          <w:sz w:val="21"/>
        </w:rPr>
        <w:t>Downgrade shall preserve business records and provide safe read-only or restricted behavior; data shall not disappear.</w:t>
      </w:r>
    </w:p>
    <w:p>
      <w:pPr>
        <w:numPr>
          <w:ilvl w:val="0"/>
          <w:numId w:val="10"/>
        </w:numPr>
        <w:spacing w:after="80" w:line="300" w:lineRule="auto"/>
      </w:pPr>
      <w:r>
        <w:rPr>
          <w:rFonts w:ascii="Calibri" w:hAnsi="Calibri" w:eastAsia="Calibri"/>
          <w:color w:val="111827"/>
          <w:sz w:val="21"/>
        </w:rPr>
        <w:t>Upgrade shall activate capability without creating duplicate records or requiring a parallel source of truth.</w:t>
      </w:r>
    </w:p>
    <w:p>
      <w:pPr>
        <w:numPr>
          <w:ilvl w:val="0"/>
          <w:numId w:val="10"/>
        </w:numPr>
        <w:spacing w:after="80" w:line="300" w:lineRule="auto"/>
      </w:pPr>
      <w:r>
        <w:rPr>
          <w:rFonts w:ascii="Calibri" w:hAnsi="Calibri" w:eastAsia="Calibri"/>
          <w:color w:val="111827"/>
          <w:sz w:val="21"/>
        </w:rPr>
        <w:t>Entitlement decisions and administrative changes shall be auditable.</w:t>
      </w:r>
    </w:p>
    <w:p>
      <w:pPr>
        <w:pStyle w:val="Heading1"/>
      </w:pPr>
      <w:r>
        <w:t>34. Security, Privacy, and Data Protection</w:t>
      </w:r>
    </w:p>
    <w:tbl>
      <w:tblPr>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 area</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Minimum requirement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Transport and storage</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approved encryption in transit and at rest where applicable; manage secrets outside source code.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Input and output</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Validate input, parameterize database access, encode output, control uploads, and protect against common web attacks.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Sensitive data</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Minimize collection, limit access, mask where appropriate, and prevent leakage in logs, exports, notifications, and AI prompts.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Audit and support</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Separate user activity from security diagnostics; support access shall be authorized, time-bound when possible, and logged.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Retention and deletion</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Apply approved legal, tax, business, privacy, and subscription policies with recoverable and documented operations.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External integration</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scoped credentials, rotation, secure callbacks, explicit consent/authorization, failure handling, and reconciliation.</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Incident readiness</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Provide correlation, evidence preservation, revocation, notification support, and recovery procedures through operational standards.</w:t>
            </w:r>
          </w:p>
        </w:tc>
      </w:tr>
    </w:tbl>
    <w:p>
      <w:pPr>
        <w:spacing w:after="0"/>
      </w:pPr>
    </w:p>
    <w:p>
      <w:pPr>
        <w:pStyle w:val="Heading1"/>
      </w:pPr>
      <w:r>
        <w:t>35. Backup, Recovery, and Data Portability</w:t>
      </w:r>
    </w:p>
    <w:p>
      <w:pPr>
        <w:numPr>
          <w:ilvl w:val="0"/>
          <w:numId w:val="10"/>
        </w:numPr>
        <w:spacing w:after="80" w:line="300" w:lineRule="auto"/>
      </w:pPr>
      <w:r>
        <w:rPr>
          <w:rFonts w:ascii="Calibri" w:hAnsi="Calibri" w:eastAsia="Calibri"/>
          <w:color w:val="111827"/>
          <w:sz w:val="21"/>
        </w:rPr>
        <w:t>Backups shall be encrypted, monitored, tested, retention-controlled, and isolated from ordinary application access.</w:t>
      </w:r>
    </w:p>
    <w:p>
      <w:pPr>
        <w:numPr>
          <w:ilvl w:val="0"/>
          <w:numId w:val="10"/>
        </w:numPr>
        <w:spacing w:after="80" w:line="300" w:lineRule="auto"/>
      </w:pPr>
      <w:r>
        <w:rPr>
          <w:rFonts w:ascii="Calibri" w:hAnsi="Calibri" w:eastAsia="Calibri"/>
          <w:color w:val="111827"/>
          <w:sz w:val="21"/>
        </w:rPr>
        <w:t>Restore procedures shall verify tenant scope, schema compatibility, referential integrity, document identity, balances, and audit continuity.</w:t>
      </w:r>
    </w:p>
    <w:p>
      <w:pPr>
        <w:numPr>
          <w:ilvl w:val="0"/>
          <w:numId w:val="10"/>
        </w:numPr>
        <w:spacing w:after="80" w:line="300" w:lineRule="auto"/>
      </w:pPr>
      <w:r>
        <w:rPr>
          <w:rFonts w:ascii="Calibri" w:hAnsi="Calibri" w:eastAsia="Calibri"/>
          <w:color w:val="111827"/>
          <w:sz w:val="21"/>
        </w:rPr>
        <w:t>Recovery objectives shall be defined in deployment/operations standards and tested at an approved frequency.</w:t>
      </w:r>
    </w:p>
    <w:p>
      <w:pPr>
        <w:numPr>
          <w:ilvl w:val="0"/>
          <w:numId w:val="10"/>
        </w:numPr>
        <w:spacing w:after="80" w:line="300" w:lineRule="auto"/>
      </w:pPr>
      <w:r>
        <w:rPr>
          <w:rFonts w:ascii="Calibri" w:hAnsi="Calibri" w:eastAsia="Calibri"/>
          <w:color w:val="111827"/>
          <w:sz w:val="21"/>
        </w:rPr>
        <w:t>Authorized export shall preserve understandable business data and relevant identifiers without exposing prohibited information.</w:t>
      </w:r>
    </w:p>
    <w:p>
      <w:pPr>
        <w:numPr>
          <w:ilvl w:val="0"/>
          <w:numId w:val="10"/>
        </w:numPr>
        <w:spacing w:after="80" w:line="300" w:lineRule="auto"/>
      </w:pPr>
      <w:r>
        <w:rPr>
          <w:rFonts w:ascii="Calibri" w:hAnsi="Calibri" w:eastAsia="Calibri"/>
          <w:color w:val="111827"/>
          <w:sz w:val="21"/>
        </w:rPr>
        <w:t>Import and migration shall be validated, repeatable, reconcilable, and traceable to the source file and responsible user.</w:t>
      </w:r>
    </w:p>
    <w:p>
      <w:r>
        <w:br w:type="page"/>
      </w:r>
    </w:p>
    <w:p>
      <w:pPr>
        <w:spacing w:before="920" w:after="100"/>
      </w:pPr>
      <w:r>
        <w:rPr>
          <w:rFonts w:ascii="Calibri" w:hAnsi="Calibri" w:eastAsia="Calibri"/>
          <w:b/>
          <w:color w:val="F59E0B"/>
          <w:sz w:val="20"/>
        </w:rPr>
        <w:t>PART VI</w:t>
      </w:r>
    </w:p>
    <w:p>
      <w:pPr>
        <w:spacing w:after="160"/>
      </w:pPr>
      <w:r>
        <w:rPr>
          <w:rFonts w:ascii="Calibri" w:hAnsi="Calibri" w:eastAsia="Calibri"/>
          <w:b/>
          <w:color w:val="0B2545"/>
          <w:sz w:val="50"/>
        </w:rPr>
        <w:t>Reporting, Intelligence, and Quality</w:t>
      </w:r>
    </w:p>
    <w:p>
      <w:pPr>
        <w:spacing w:after="360"/>
        <w:pBdr>
          <w:bottom w:val="single" w:sz="8" w:space="5" w:color="E8EEF5"/>
        </w:pBdr>
      </w:pPr>
      <w:r>
        <w:rPr>
          <w:rFonts w:ascii="Calibri" w:hAnsi="Calibri" w:eastAsia="Calibri"/>
          <w:color w:val="5B6573"/>
          <w:sz w:val="24"/>
        </w:rPr>
        <w:t>Reporting ownership, notifications, AI readiness, performance, reliability, observability, and acceptance criteria.</w:t>
      </w:r>
    </w:p>
    <w:p>
      <w:pPr>
        <w:pStyle w:val="Heading1"/>
      </w:pPr>
      <w:r>
        <w:t>36. Reporting and Analytics</w:t>
      </w:r>
    </w:p>
    <w:p>
      <w:r>
        <w:rPr>
          <w:rFonts w:ascii="Calibri" w:hAnsi="Calibri" w:eastAsia="Calibri"/>
          <w:color w:val="111827"/>
        </w:rPr>
        <w:t>The originating module owns the business meaning and authoritative source data of its reports. MDS-900 owns the consolidated report catalog, shared parameters, generation, preview, print, export, favorites, scheduling, and cross-module analytics.</w:t>
      </w:r>
    </w:p>
    <w:tbl>
      <w:tblPr>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Reporting rule</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behavior</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One source of truth</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Dashboard cards and reports derive from governed module data; they do not maintain competing transaction balances.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Reproducibility</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report identifies period, company context, filters, currency, generation time, and data freshness.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Authorization</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Source permissions and data scope apply to on-screen, printed, exported, scheduled, and shared outputs.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Drill-down</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Summaries link to authorized source records and preserve the report filter context.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Performance</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approved reporting views, projections, caches, or asynchronous generation without changing business meaning.</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Auditability</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Sensitive exports, scheduled delivery, and material management reports are logged where required.</w:t>
            </w:r>
          </w:p>
        </w:tc>
      </w:tr>
    </w:tbl>
    <w:p>
      <w:pPr>
        <w:spacing w:after="0"/>
      </w:pPr>
    </w:p>
    <w:p>
      <w:pPr>
        <w:pStyle w:val="Heading1"/>
      </w:pPr>
      <w:r>
        <w:t>37. Notifications, Needs Attention, and Action Center</w:t>
      </w:r>
    </w:p>
    <w:tbl>
      <w:tblPr>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distinction</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Notification</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Informs an authorized user that something happened or requires awareness.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Needs Attention</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Surfaces a condition that is incomplete, overdue, exceptional, or likely to require action.</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Action Center</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Presents an assigned or authorized task that can be completed through the owning module.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Recent Activity</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Shows what happened; it is not itself an approval queue or transaction source.</w:t>
            </w:r>
          </w:p>
        </w:tc>
      </w:tr>
    </w:tbl>
    <w:p>
      <w:pPr>
        <w:spacing w:after="0"/>
      </w:pPr>
    </w:p>
    <w:p>
      <w:pPr>
        <w:numPr>
          <w:ilvl w:val="0"/>
          <w:numId w:val="10"/>
        </w:numPr>
        <w:spacing w:after="80" w:line="300" w:lineRule="auto"/>
      </w:pPr>
      <w:r>
        <w:rPr>
          <w:rFonts w:ascii="Calibri" w:hAnsi="Calibri" w:eastAsia="Calibri"/>
          <w:color w:val="111827"/>
          <w:sz w:val="21"/>
        </w:rPr>
        <w:t>Every item shall identify its source, time, company context, severity/priority, read or task state, and permitted destination.</w:t>
      </w:r>
    </w:p>
    <w:p>
      <w:pPr>
        <w:numPr>
          <w:ilvl w:val="0"/>
          <w:numId w:val="10"/>
        </w:numPr>
        <w:spacing w:after="80" w:line="300" w:lineRule="auto"/>
      </w:pPr>
      <w:r>
        <w:rPr>
          <w:rFonts w:ascii="Calibri" w:hAnsi="Calibri" w:eastAsia="Calibri"/>
          <w:color w:val="111827"/>
          <w:sz w:val="21"/>
        </w:rPr>
        <w:t>Counts shall be derived consistently and shall not remain stale after authoritative completion.</w:t>
      </w:r>
    </w:p>
    <w:p>
      <w:pPr>
        <w:numPr>
          <w:ilvl w:val="0"/>
          <w:numId w:val="10"/>
        </w:numPr>
        <w:spacing w:after="80" w:line="300" w:lineRule="auto"/>
      </w:pPr>
      <w:r>
        <w:rPr>
          <w:rFonts w:ascii="Calibri" w:hAnsi="Calibri" w:eastAsia="Calibri"/>
          <w:color w:val="111827"/>
          <w:sz w:val="21"/>
        </w:rPr>
        <w:t>Users shall not receive protected details merely because they are notification recipients.</w:t>
      </w:r>
    </w:p>
    <w:p>
      <w:pPr>
        <w:numPr>
          <w:ilvl w:val="0"/>
          <w:numId w:val="10"/>
        </w:numPr>
        <w:spacing w:after="80" w:line="300" w:lineRule="auto"/>
      </w:pPr>
      <w:r>
        <w:rPr>
          <w:rFonts w:ascii="Calibri" w:hAnsi="Calibri" w:eastAsia="Calibri"/>
          <w:color w:val="111827"/>
          <w:sz w:val="21"/>
        </w:rPr>
        <w:t>Email, SMS, push, or other external channels require separately approved configuration and privacy controls.</w:t>
      </w:r>
    </w:p>
    <w:p>
      <w:pPr>
        <w:pStyle w:val="Heading1"/>
      </w:pPr>
      <w:r>
        <w:t>38. AI-Ready Design and Human Control</w:t>
      </w:r>
    </w:p>
    <w:p>
      <w:r>
        <w:rPr>
          <w:rFonts w:ascii="Calibri" w:hAnsi="Calibri" w:eastAsia="Calibri"/>
          <w:color w:val="111827"/>
        </w:rPr>
        <w:t>SimpleBIZ shall be AI-ready at the data, event, permission, and audit layers. AI is an assistive capability, not a prerequisite for correct business processing.</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AI design requirement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Core standard</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Structured context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well-defined objects, documents, events, statuses, relationships, and business terminology.</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Permission inheritance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AI may access only data the acting user and approved service are authorized to use.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Human approval</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Material posting, payment, reversal, write-off, configuration, or external action requires explicit human authority unless a separately approved policy permits automation.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Explainability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Recommendations and anomaly flags shall identify relevant source records, assumptions, period, and uncertainty where practical.</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Auditability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Record AI-assisted action, model/service identity where required, user confirmation, material prompt/context metadata, and resulting transaction reference.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Privacy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Minimize sensitive input, apply retention and provider controls, and prevent unauthorized training or reuse according to policy.</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Failure safety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AI unavailability or low confidence shall not corrupt records or block ordinary governed workflows.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No silent authority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AI suggestions shall not bypass permissions, validations, approvals, numbering, transaction integrity, or correction rules.</w:t>
            </w:r>
          </w:p>
        </w:tc>
      </w:tr>
    </w:tbl>
    <w:p>
      <w:pPr>
        <w:spacing w:after="0"/>
      </w:pPr>
    </w:p>
    <w:p>
      <w:pPr>
        <w:pStyle w:val="Heading1"/>
      </w:pPr>
      <w:r>
        <w:t>39. Non-Functional Requirements</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Quality attribute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Baseline requirement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Performance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Provide immediate local feedback where practical; show progress after approximately 300 ms; target common-screen usability within approximately 2 seconds under normal supported conditions.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Scalability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Support increasing companies, users, records, and transactions without redesigning module ownership or compromising tenant isolation.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Reliability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Protect atomic transactions, idempotent retry, status verification, data integrity, and safe recovery from partial infrastructure failure.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Availability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Separate planned maintenance from failure, provide health evidence, and preserve user input when safe.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Security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Apply authenticated, authorized, tenant-scoped, validated, encrypted, and auditable processing.</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Maintainability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modular boundaries, documented interfaces, tests, migrations, reusable services, and clear ownership.</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Auditability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Trace material actions from user entry point through API, transaction, event, record, report, and correction.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Usability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plain language, progressive disclosure, consistent patterns, accessible behavior, and safe defaults.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Portability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Support current browser targets and deployment environments governed by DEV-000 without embedding environment-specific business logic.</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Localization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Support configurable currency, tax, number, date, time, language, and address conventions without redesigning core records.</w:t>
            </w:r>
          </w:p>
        </w:tc>
      </w:tr>
    </w:tbl>
    <w:p>
      <w:pPr>
        <w:spacing w:after="0"/>
      </w:pPr>
    </w:p>
    <w:p>
      <w:pPr>
        <w:pStyle w:val="Heading1"/>
      </w:pPr>
      <w:r>
        <w:t>40. Observability and Operational Health</w:t>
      </w:r>
    </w:p>
    <w:p>
      <w:pPr>
        <w:numPr>
          <w:ilvl w:val="0"/>
          <w:numId w:val="10"/>
        </w:numPr>
        <w:spacing w:after="80" w:line="300" w:lineRule="auto"/>
      </w:pPr>
      <w:r>
        <w:rPr>
          <w:rFonts w:ascii="Calibri" w:hAnsi="Calibri" w:eastAsia="Calibri"/>
          <w:color w:val="111827"/>
          <w:sz w:val="21"/>
        </w:rPr>
        <w:t>Every request and background operation shall carry a correlation identifier across relevant services.</w:t>
      </w:r>
    </w:p>
    <w:p>
      <w:pPr>
        <w:numPr>
          <w:ilvl w:val="0"/>
          <w:numId w:val="10"/>
        </w:numPr>
        <w:spacing w:after="80" w:line="300" w:lineRule="auto"/>
      </w:pPr>
      <w:r>
        <w:rPr>
          <w:rFonts w:ascii="Calibri" w:hAnsi="Calibri" w:eastAsia="Calibri"/>
          <w:color w:val="111827"/>
          <w:sz w:val="21"/>
        </w:rPr>
        <w:t>Logs shall distinguish business rejection, authorization failure, dependency failure, transaction rollback, and unexpected defect.</w:t>
      </w:r>
    </w:p>
    <w:p>
      <w:pPr>
        <w:numPr>
          <w:ilvl w:val="0"/>
          <w:numId w:val="10"/>
        </w:numPr>
        <w:spacing w:after="80" w:line="300" w:lineRule="auto"/>
      </w:pPr>
      <w:r>
        <w:rPr>
          <w:rFonts w:ascii="Calibri" w:hAnsi="Calibri" w:eastAsia="Calibri"/>
          <w:color w:val="111827"/>
          <w:sz w:val="21"/>
        </w:rPr>
        <w:t>Metrics shall cover request latency, error rate, job backlog, transaction failure, duplicate prevention, notification delivery, and critical integration health.</w:t>
      </w:r>
    </w:p>
    <w:p>
      <w:pPr>
        <w:numPr>
          <w:ilvl w:val="0"/>
          <w:numId w:val="10"/>
        </w:numPr>
        <w:spacing w:after="80" w:line="300" w:lineRule="auto"/>
      </w:pPr>
      <w:r>
        <w:rPr>
          <w:rFonts w:ascii="Calibri" w:hAnsi="Calibri" w:eastAsia="Calibri"/>
          <w:color w:val="111827"/>
          <w:sz w:val="21"/>
        </w:rPr>
        <w:t>Health checks shall not expose secrets or protected business information.</w:t>
      </w:r>
    </w:p>
    <w:p>
      <w:pPr>
        <w:numPr>
          <w:ilvl w:val="0"/>
          <w:numId w:val="10"/>
        </w:numPr>
        <w:spacing w:after="80" w:line="300" w:lineRule="auto"/>
      </w:pPr>
      <w:r>
        <w:rPr>
          <w:rFonts w:ascii="Calibri" w:hAnsi="Calibri" w:eastAsia="Calibri"/>
          <w:color w:val="111827"/>
          <w:sz w:val="21"/>
        </w:rPr>
        <w:t>Alerts shall identify the affected service/module, company scope when safe, time, severity, and recovery owner.</w:t>
      </w:r>
    </w:p>
    <w:p>
      <w:pPr>
        <w:pStyle w:val="Heading1"/>
      </w:pPr>
      <w:r>
        <w:t>41. Core Acceptance Criteria</w:t>
      </w:r>
    </w:p>
    <w:p>
      <w:r>
        <w:rPr>
          <w:rFonts w:ascii="Calibri" w:hAnsi="Calibri" w:eastAsia="Calibri"/>
          <w:color w:val="111827"/>
        </w:rPr>
        <w:t>MDS-000 is considered implemented only when the platform can demonstrate the following:</w:t>
      </w:r>
    </w:p>
    <w:tbl>
      <w:tblPr>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Acceptance area</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Minimum evidence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Module consistency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Every module uses the common identity, company context, permissions, status, audit, numbering, and error conventions relevant to it.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Single ownership</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capability has competing source records or divergent processing across UI entry points.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Transaction integrity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Duplicate, concurrent, failed, reversed, and retried scenarios pass module tests without corrupting balances or status.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Security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Server-side permission, data scope, tenant isolation, sensitive export, attachment, and direct-URL tests pass.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Experience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Workspace hierarchy, loading, empty, error, success, responsive, keyboard, focus, and accessibility behavior meet UID-000.</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Traceability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material action can be followed from requirement to screen/API, transaction, event, data entity, test, audit entry, and report effect.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Edition behavior</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Included, locked, excluded, upgraded, and downgraded capability scenarios preserve records and communicate clearly.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Recovery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Backup/restore, network interruption, background failure, and uncertain transaction state have tested recovery paths.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AI safety</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AI-assisted features inherit permissions, require defined human control, preserve audit evidence, and fail safely.</w:t>
            </w:r>
          </w:p>
        </w:tc>
      </w:tr>
    </w:tbl>
    <w:p>
      <w:pPr>
        <w:spacing w:after="0"/>
      </w:pPr>
    </w:p>
    <w:p>
      <w:r>
        <w:br w:type="page"/>
      </w:r>
    </w:p>
    <w:p>
      <w:pPr>
        <w:spacing w:before="920" w:after="100"/>
      </w:pPr>
      <w:r>
        <w:rPr>
          <w:rFonts w:ascii="Calibri" w:hAnsi="Calibri" w:eastAsia="Calibri"/>
          <w:b/>
          <w:color w:val="F59E0B"/>
          <w:sz w:val="20"/>
        </w:rPr>
        <w:t>PART VII</w:t>
      </w:r>
    </w:p>
    <w:p>
      <w:pPr>
        <w:spacing w:after="160"/>
      </w:pPr>
      <w:r>
        <w:rPr>
          <w:rFonts w:ascii="Calibri" w:hAnsi="Calibri" w:eastAsia="Calibri"/>
          <w:b/>
          <w:color w:val="0B2545"/>
          <w:sz w:val="50"/>
        </w:rPr>
        <w:t>Specification Governance</w:t>
      </w:r>
    </w:p>
    <w:p>
      <w:pPr>
        <w:spacing w:after="360"/>
        <w:pBdr>
          <w:bottom w:val="single" w:sz="8" w:space="5" w:color="E8EEF5"/>
        </w:pBdr>
      </w:pPr>
      <w:r>
        <w:rPr>
          <w:rFonts w:ascii="Calibri" w:hAnsi="Calibri" w:eastAsia="Calibri"/>
          <w:color w:val="5B6573"/>
          <w:sz w:val="24"/>
        </w:rPr>
        <w:t>Required module-document structure, traceability, change control, ERP extension, and the formal Core statement.</w:t>
      </w:r>
    </w:p>
    <w:p>
      <w:pPr>
        <w:pStyle w:val="Heading1"/>
      </w:pPr>
      <w:r>
        <w:t>42. Required Structure of Every Module MDS</w:t>
      </w:r>
    </w:p>
    <w:p>
      <w:r>
        <w:rPr>
          <w:rFonts w:ascii="Calibri" w:hAnsi="Calibri" w:eastAsia="Calibri"/>
          <w:color w:val="111827"/>
        </w:rPr>
        <w:t>MDS-100 through MDS-1100 shall use the following standard structure unless a documented and approved exception is necessary. Sections with no applicable content shall state “Not applicable” and explain why.</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Section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content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 Introduction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Document purpose, background, product/module identity, users, and relationship to MDS-000.</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2. Purpose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Business outcome and reason the module exists.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3. Scope and Boundary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 scope, out of scope, owning responsibilities, and dependencies.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4. Module Overview</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Users, editions, capabilities, objects, documents, and high-level workflow.</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5. Functional Components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Detailed capabilities and reusable services.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6. Master Data</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Owned and referenced operational registries.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7. Business Documents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Document types, fields, numbering, totals, lifecycle, evidence, and correction.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8. Business Events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Triggers, inputs, validations, outputs, notifications, and audit.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9. Functional Requirements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Numbered, testable requirements by capability.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10. Module Rules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Business, accounting, operational, status, and validation rules.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11. Workflow and Status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Normal, approval, exception, cancellation, reversal, and recovery paths.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12. Integration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Internal/external dependencies, events, APIs, synchronization, and reconciliation.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13. Reports and Analytics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Operational reports, KPIs, source data, filters, drill-down, and export.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14. Notifications and Tasks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Triggers, recipients, content, severity, and action routes.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15. Security and Access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Roles, permissions, record/field scope, sensitive data, and audit.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16. Data Entities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Entities, relationships, ownership, constraints, retention, and reporting projections.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17. Edition Availability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Capability matrix and safe behavior across editions.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18. Non-Functional Requirements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Module-specific performance, reliability, usability, accessibility, and operability.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19. Future ERP Expansion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Extension points, planned capabilities, and dependencies.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20. Success Indicators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Acceptance, operational, adoption, quality, and control measures.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21. Module Design Statement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Formal statement of purpose, ownership, controls, and integration within SimpleBIZ One.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Appendices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Traceability, status matrix, permissions, event catalog, report catalog, glossary, and acceptance criteria as needed.</w:t>
            </w:r>
          </w:p>
        </w:tc>
      </w:tr>
    </w:tbl>
    <w:p>
      <w:pPr>
        <w:spacing w:after="0"/>
      </w:pPr>
    </w:p>
    <w:p>
      <w:pPr>
        <w:pStyle w:val="Heading1"/>
      </w:pPr>
      <w:r>
        <w:t>43. Requirement and Naming Conventions</w:t>
      </w:r>
    </w:p>
    <w:tbl>
      <w:tblPr>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Item</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Standard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Requirement ID</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MDS-[module]-FR-[number], MR for Module Rule, SEC for security, INT for integration, NFR for non-functional requirement.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Module name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Official title from the MDS series; abbreviations only after definition.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Object</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Singular business noun, such as Customer, Sale, Receipt, Payment, Product, or Cash Account.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Event</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Clear business outcome or action, such as Sale Completed, Receipt Issued, Payment Failed, or Stock Adjusted.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Transaction</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Noun phrase describing processed effect, such as Sale Transaction or Payment Application Transaction.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Document</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Recognizable document name with defined meaning, not a vague technical record label.</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Status</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Plain, consistent lifecycle term from the approved status framework.</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API / database</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Governed by API/DBS/DEV standards; technical names shall remain traceable to the business capability.</w:t>
            </w:r>
          </w:p>
        </w:tc>
      </w:tr>
    </w:tbl>
    <w:p>
      <w:pPr>
        <w:spacing w:after="0"/>
      </w:pPr>
    </w:p>
    <w:p>
      <w:pPr>
        <w:pStyle w:val="Heading1"/>
      </w:pPr>
      <w:r>
        <w:t>44. Traceability Matrix</w:t>
      </w:r>
    </w:p>
    <w:p>
      <w:r>
        <w:rPr>
          <w:rFonts w:ascii="Calibri" w:hAnsi="Calibri" w:eastAsia="Calibri"/>
          <w:color w:val="111827"/>
        </w:rPr>
        <w:t>Every significant capability shall be traceable across the following artifacts. One artifact may cover several rows when the relationship remains explicit.</w:t>
      </w:r>
    </w:p>
    <w:tbl>
      <w:tblPr>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Traceability source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downstream evidence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Product / governance requirement</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 purpose, scope, edition, and success indicator.</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Architecture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Object, Event, Transaction, data ownership, integration, security, technology, and deployment references.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 requirement / Module Rule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UID/WF/SCR behavior, API operation, data entity/constraint, and test case.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Event</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Transaction, resulting records, notifications/tasks, audit, report impact, and subscribers.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Permission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UI visibility, server-side enforcement, data scope, export/print behavior, and security test.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Status transition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Allowed actions, validations, audit evidence, correction path, and user message.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Edition capability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Entitlement key, UI treatment, API enforcement, data preservation, and upgrade/downgrade test.</w:t>
            </w:r>
          </w:p>
        </w:tc>
      </w:tr>
    </w:tbl>
    <w:p>
      <w:pPr>
        <w:spacing w:after="0"/>
      </w:pPr>
    </w:p>
    <w:p>
      <w:pPr>
        <w:pStyle w:val="Heading1"/>
      </w:pPr>
      <w:r>
        <w:t>45. Change Control</w:t>
      </w:r>
    </w:p>
    <w:p>
      <w:pPr>
        <w:numPr>
          <w:ilvl w:val="0"/>
          <w:numId w:val="10"/>
        </w:numPr>
        <w:spacing w:after="80" w:line="300" w:lineRule="auto"/>
      </w:pPr>
      <w:r>
        <w:rPr>
          <w:rFonts w:ascii="Calibri" w:hAnsi="Calibri" w:eastAsia="Calibri"/>
          <w:color w:val="111827"/>
          <w:sz w:val="21"/>
        </w:rPr>
        <w:t>A change to a common Core rule, status meaning, platform service, cross-module ownership, or MDS template requires an MDS-000 revision.</w:t>
      </w:r>
    </w:p>
    <w:p>
      <w:pPr>
        <w:numPr>
          <w:ilvl w:val="0"/>
          <w:numId w:val="10"/>
        </w:numPr>
        <w:spacing w:after="80" w:line="300" w:lineRule="auto"/>
      </w:pPr>
      <w:r>
        <w:rPr>
          <w:rFonts w:ascii="Calibri" w:hAnsi="Calibri" w:eastAsia="Calibri"/>
          <w:color w:val="111827"/>
          <w:sz w:val="21"/>
        </w:rPr>
        <w:t>A change limited to one domain capability belongs in its owning module MDS and linked UID/API/DBS/TST artifacts.</w:t>
      </w:r>
    </w:p>
    <w:p>
      <w:pPr>
        <w:numPr>
          <w:ilvl w:val="0"/>
          <w:numId w:val="10"/>
        </w:numPr>
        <w:spacing w:after="80" w:line="300" w:lineRule="auto"/>
      </w:pPr>
      <w:r>
        <w:rPr>
          <w:rFonts w:ascii="Calibri" w:hAnsi="Calibri" w:eastAsia="Calibri"/>
          <w:color w:val="111827"/>
          <w:sz w:val="21"/>
        </w:rPr>
        <w:t>Architecture-changing decisions require the relevant ARC or approved architecture decision record before or together with the MDS revision.</w:t>
      </w:r>
    </w:p>
    <w:p>
      <w:pPr>
        <w:numPr>
          <w:ilvl w:val="0"/>
          <w:numId w:val="10"/>
        </w:numPr>
        <w:spacing w:after="80" w:line="300" w:lineRule="auto"/>
      </w:pPr>
      <w:r>
        <w:rPr>
          <w:rFonts w:ascii="Calibri" w:hAnsi="Calibri" w:eastAsia="Calibri"/>
          <w:color w:val="111827"/>
          <w:sz w:val="21"/>
        </w:rPr>
        <w:t>The main MDS folder shall contain the latest approved or active working version; superseded versions shall be archived according to documentation governance.</w:t>
      </w:r>
    </w:p>
    <w:p>
      <w:pPr>
        <w:numPr>
          <w:ilvl w:val="0"/>
          <w:numId w:val="10"/>
        </w:numPr>
        <w:spacing w:after="80" w:line="300" w:lineRule="auto"/>
      </w:pPr>
      <w:r>
        <w:rPr>
          <w:rFonts w:ascii="Calibri" w:hAnsi="Calibri" w:eastAsia="Calibri"/>
          <w:color w:val="111827"/>
          <w:sz w:val="21"/>
        </w:rPr>
        <w:t>Version, date, description, status, affected documents, migration impact, and approval evidence shall be recorded.</w:t>
      </w:r>
    </w:p>
    <w:p>
      <w:pPr>
        <w:pStyle w:val="Heading1"/>
      </w:pPr>
      <w:r>
        <w:t>46. Future ERP Expansion</w:t>
      </w:r>
    </w:p>
    <w:p>
      <w:r>
        <w:rPr>
          <w:rFonts w:ascii="Calibri" w:hAnsi="Calibri" w:eastAsia="Calibri"/>
          <w:color w:val="111827"/>
        </w:rPr>
        <w:t>SimpleBIZ One shall grow toward a full ERP through governed extension of the same objects, events, transactions, controls, and user experience—not through a separate disconnected product core.</w:t>
      </w:r>
    </w:p>
    <w:p>
      <w:pPr>
        <w:numPr>
          <w:ilvl w:val="0"/>
          <w:numId w:val="10"/>
        </w:numPr>
        <w:spacing w:after="80" w:line="300" w:lineRule="auto"/>
      </w:pPr>
      <w:r>
        <w:rPr>
          <w:rFonts w:ascii="Calibri" w:hAnsi="Calibri" w:eastAsia="Calibri"/>
          <w:color w:val="111827"/>
          <w:sz w:val="21"/>
        </w:rPr>
        <w:t>Support multiple branches, warehouses, currencies, legal entities, business units, departments, cost/profit centers, territories, projects, and assets through additive governed dimensions.</w:t>
      </w:r>
    </w:p>
    <w:p>
      <w:pPr>
        <w:numPr>
          <w:ilvl w:val="0"/>
          <w:numId w:val="10"/>
        </w:numPr>
        <w:spacing w:after="80" w:line="300" w:lineRule="auto"/>
      </w:pPr>
      <w:r>
        <w:rPr>
          <w:rFonts w:ascii="Calibri" w:hAnsi="Calibri" w:eastAsia="Calibri"/>
          <w:color w:val="111827"/>
          <w:sz w:val="21"/>
        </w:rPr>
        <w:t>Add general ledger, financial close, tax, budgeting, payroll, HR, CRM, manufacturing, service, maintenance, assets, and enterprise projects through new owning modules and approved integrations.</w:t>
      </w:r>
    </w:p>
    <w:p>
      <w:pPr>
        <w:numPr>
          <w:ilvl w:val="0"/>
          <w:numId w:val="10"/>
        </w:numPr>
        <w:spacing w:after="80" w:line="300" w:lineRule="auto"/>
      </w:pPr>
      <w:r>
        <w:rPr>
          <w:rFonts w:ascii="Calibri" w:hAnsi="Calibri" w:eastAsia="Calibri"/>
          <w:color w:val="111827"/>
          <w:sz w:val="21"/>
        </w:rPr>
        <w:t>Preserve source-document identity, transaction history, permissions, and audit evidence during edition upgrades and data migration.</w:t>
      </w:r>
    </w:p>
    <w:p>
      <w:pPr>
        <w:numPr>
          <w:ilvl w:val="0"/>
          <w:numId w:val="10"/>
        </w:numPr>
        <w:spacing w:after="80" w:line="300" w:lineRule="auto"/>
      </w:pPr>
      <w:r>
        <w:rPr>
          <w:rFonts w:ascii="Calibri" w:hAnsi="Calibri" w:eastAsia="Calibri"/>
          <w:color w:val="111827"/>
          <w:sz w:val="21"/>
        </w:rPr>
        <w:t>Keep basic workflows simple through progressive disclosure while advanced controls remain available to authorized users.</w:t>
      </w:r>
    </w:p>
    <w:p>
      <w:pPr>
        <w:numPr>
          <w:ilvl w:val="0"/>
          <w:numId w:val="10"/>
        </w:numPr>
        <w:spacing w:after="80" w:line="300" w:lineRule="auto"/>
      </w:pPr>
      <w:r>
        <w:rPr>
          <w:rFonts w:ascii="Calibri" w:hAnsi="Calibri" w:eastAsia="Calibri"/>
          <w:color w:val="111827"/>
          <w:sz w:val="21"/>
        </w:rPr>
        <w:t>Evaluate each expansion against product strategy, engineering capacity, data migration, security, reporting, support, and commercial readiness.</w:t>
      </w:r>
    </w:p>
    <w:p>
      <w:pPr>
        <w:pStyle w:val="Heading1"/>
      </w:pPr>
      <w:r>
        <w:t>47. Success Indicators</w:t>
      </w:r>
    </w:p>
    <w:tbl>
      <w:tblPr>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Indicator</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Target evidence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Design consistency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All module MDS documents use the common structure or record an approved exception.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Ownership integrity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Each capability, object, document, event, transaction, and balance has one authoritative owner.</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Development reuse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Core platform services are used instead of module-specific duplicates for identity, permissions, numbering, audit, attachments, notifications, and entitlements.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User simplicity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Ordinary SME tasks can be completed from the most relevant workspace without understanding internal module boundaries.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Accounting/control integrity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Posted effects, settlements, stock, cash, receivables, payables, expenses, corrections, and reports remain reconciled and traceable.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Quality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Normal, boundary, permission, failure, retry, concurrency, void, reversal, responsive, and accessibility scenarios pass.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Growth readiness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New editions and ERP capabilities extend the same platform without duplicate sources of truth or destructive migration.</w:t>
            </w:r>
          </w:p>
        </w:tc>
      </w:tr>
    </w:tbl>
    <w:p>
      <w:pPr>
        <w:spacing w:after="0"/>
      </w:pPr>
    </w:p>
    <w:p>
      <w:r>
        <w:br w:type="page"/>
      </w:r>
    </w:p>
    <w:p>
      <w:pPr>
        <w:pStyle w:val="Heading1"/>
      </w:pPr>
      <w:r>
        <w:t>48. Module Design Statement</w:t>
      </w:r>
    </w:p>
    <w:p>
      <w:r>
        <w:rPr>
          <w:rFonts w:ascii="Calibri" w:hAnsi="Calibri" w:eastAsia="Calibri"/>
          <w:color w:val="111827"/>
        </w:rPr>
        <w:t>The following statement is the normative summary of the SimpleBIZ One Core and shall guide all module-specific design, implementation, integration, and assurance artifacts.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FORMAL STATEMENT  </w:t>
            </w:r>
            <w:r>
              <w:rPr>
                <w:rFonts w:ascii="Calibri" w:hAnsi="Calibri" w:eastAsia="Calibri"/>
                <w:b/>
                <w:color w:val="0B2545"/>
                <w:sz w:val="20"/>
              </w:rPr>
              <w:t>MDS-000 establishes the common design framework and shared platform backbone for SimpleBIZ One. It standardizes module ownership, Business Objects, Master Data, Business Documents, Business Events, Business Transactions, data integrity, security, auditability, integration, reporting, user experience, edition controls, and future expansion. Every SimpleBIZ module shall operate as a cohesive part of this governed platform while presenting simple, task-centered experiences to SMEs.</w:t>
            </w:r>
          </w:p>
        </w:tc>
      </w:tr>
    </w:tbl>
    <w:p>
      <w:pPr>
        <w:spacing w:after="0"/>
      </w:pPr>
    </w:p>
    <w:tbl>
      <w:tblPr>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Scope of application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All SimpleBIZ One modules and editions.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Exception control</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Only through a documented and approved exception.</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Review trigger</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A change to common ownership, processing, shared services, controls, or architecture.</w:t>
            </w:r>
          </w:p>
        </w:tc>
      </w:tr>
    </w:tbl>
    <w:p>
      <w:pPr>
        <w:spacing w:after="0"/>
      </w:pPr>
    </w:p>
    <w:p>
      <w:r>
        <w:br w:type="page"/>
      </w:r>
    </w:p>
    <w:p>
      <w:pPr>
        <w:spacing w:before="920" w:after="100"/>
      </w:pPr>
      <w:r>
        <w:rPr>
          <w:rFonts w:ascii="Calibri" w:hAnsi="Calibri" w:eastAsia="Calibri"/>
          <w:b/>
          <w:color w:val="F59E0B"/>
          <w:sz w:val="20"/>
        </w:rPr>
        <w:t>PART VIII</w:t>
      </w:r>
    </w:p>
    <w:p>
      <w:pPr>
        <w:spacing w:after="160"/>
      </w:pPr>
      <w:r>
        <w:rPr>
          <w:rFonts w:ascii="Calibri" w:hAnsi="Calibri" w:eastAsia="Calibri"/>
          <w:b/>
          <w:color w:val="0B2545"/>
          <w:sz w:val="50"/>
        </w:rPr>
        <w:t>Appendices</w:t>
      </w:r>
    </w:p>
    <w:p>
      <w:pPr>
        <w:spacing w:after="360"/>
        <w:pBdr>
          <w:bottom w:val="single" w:sz="8" w:space="5" w:color="E8EEF5"/>
        </w:pBdr>
      </w:pPr>
      <w:r>
        <w:rPr>
          <w:rFonts w:ascii="Calibri" w:hAnsi="Calibri" w:eastAsia="Calibri"/>
          <w:color w:val="5B6573"/>
          <w:sz w:val="24"/>
        </w:rPr>
        <w:t>Functional continuity, standard terms, and practical Core reference matrices.</w:t>
      </w:r>
    </w:p>
    <w:p>
      <w:pPr>
        <w:pStyle w:val="Heading1"/>
      </w:pPr>
      <w:r>
        <w:t>Appendix A — Legacy Functional Continuity</w:t>
      </w:r>
    </w:p>
    <w:p>
      <w:r>
        <w:rPr>
          <w:rFonts w:ascii="Calibri" w:hAnsi="Calibri" w:eastAsia="Calibri"/>
          <w:color w:val="111827"/>
        </w:rPr>
        <w:t>The legacy SimpleBIZ SME Tools screens reviewed from the 2017 build and the July 2026 Legacy Lab are historical requirements evidence. They confirm the product’s original business foundations but do not govern the modern architecture or interface.</w:t>
      </w:r>
    </w:p>
    <w:tbl>
      <w:tblPr>
        <w:tblW w:type="dxa" w:w="9360"/>
        <w:jc w:val="left"/>
        <w:tblLayout w:type="fixed"/>
        <w:tblLook w:firstColumn="1" w:firstRow="1" w:lastColumn="0" w:lastRow="0" w:noHBand="0" w:noVBand="1" w:val="04A0"/>
        <w:tblInd w:w="120" w:type="dxa"/>
      </w:tblPr>
      <w:tblGrid>
        <w:gridCol w:w="1800"/>
        <w:gridCol w:w="3240"/>
        <w:gridCol w:w="4320"/>
      </w:tblGrid>
      <w:tr>
        <w:trPr>
          <w:cantSplit/>
          <w:tblHeader w:val="true"/>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Legacy area</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Validated business foundation</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Modern disposition</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Sales Management</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 sale, credit sale, cash remittance, sales histories and reports.</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Sales &amp; Receivables; receipt/remittance effects integrated with MDS-300 and MDS-700.</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Receipts &amp; Collection</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Collections from customers, receipt history, other receipts.</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Collections &amp; Receipts with controlled allocation, void/reversal, remittance, and cash-account effect.</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Accounts Receivable</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Credit sales, collections, customer ledger, debit/credit adjustment, billing, aging.</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Receivable creation and billing in MDS-200; money received and applied in MDS-300.</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Purchase &amp; Payable</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Purchase order, cash/credit purchases, supplier payment, supplier ledger, adjustments, due-for-payment reports.</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Obligation creation in MDS-400; settlement in MDS-500; stock and cash effects in MDS-600/MDS-700.</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Expense Management</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Paid disbursement and accrued expense.</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Expense purpose and recognition in MDS-800; outgoing settlement in MDS-500.</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Inventory Management</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Inventory in/out, stock card, physical count, low stock, availability.</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MDS-600 with receipts, issues, transfers, adjustments, counts, availability, and valuation support.</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Bank Funds</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 in/deposit, cash out/withdrawal, cash ledger.</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Cash Accounts supporting cash boxes, petty cash, banks, e-wallets, transfers, reconciliation, and balances.</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Setup &amp; Utility</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Company, products, customers, suppliers, users, categories, bank account, access, backup, activity.</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Separated into MDS-1000 Master Registries, MDS-1100 Settings &amp; Administration, and Core audit/data services.</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Fixed report buttons</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Operational histories and summaries.</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Module-owned reports plus MDS-900 consolidated catalog, filters, preview, export, and analytics.</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Single-entry navigation</w:t>
            </w:r>
          </w:p>
        </w:tc>
        <w:tc>
          <w:tcPr>
            <w:tcW w:type="dxa" w:w="32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Module menu and local shortcuts.</w:t>
            </w:r>
          </w:p>
        </w:tc>
        <w:tc>
          <w:tcPr>
            <w:tcW w:type="dxa" w:w="43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Task-centered workspaces, UI Navigation Independence, Multiple Entry Point, global search, Dashboard, and Action Center.</w:t>
            </w:r>
          </w:p>
        </w:tc>
      </w:tr>
    </w:tbl>
    <w:p>
      <w:pPr>
        <w:spacing w:after="0"/>
      </w:pPr>
    </w:p>
    <w:p>
      <w:pPr>
        <w:pStyle w:val="Heading1"/>
      </w:pPr>
      <w:r>
        <w:t>Appendix B — Core Terminology</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Term</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Definition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Architectural Module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governed owner of business capabilities, objects, events, transactions, data responsibilities, and controls.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UI Workspace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user-facing collection of related tasks and information that may draw from more than one architectural module.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Object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real-world business entity or concept managed by the system.</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Master Data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Relatively stable operational information shared across business transactions.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Document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structured record that captures, authorizes, evidences, or reports a business commitment or transaction.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Event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meaningful business activity or condition that initiates or results from processing.</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Transaction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validated and processed result of a Business Event that changes business state.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Module Rule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documented business, accounting, operational, security, status, or validation requirement owned by a module.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Platform Service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reusable Core service shared by multiple modules.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Single Functional Ownership</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rule that each governed capability has one authoritative owning module.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UI Navigation Independence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principle that user-facing placement may follow tasks without changing technical or accounting ownership.</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Multiple Entry Point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Two or more authorized paths that invoke the same governed capability, validations, transaction, status, and audit trail.</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Source of Truth</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authoritative record or service from which other views, dashboards, reports, and integrations derive meaning.</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Posting</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controlled completion of a transaction’s defined business and accounting effects.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Reversal</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linked correcting transaction that counteracts a prior posted effect without deleting history.</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Entitlement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stable capability permission derived from the active subscription or edition.</w:t>
            </w:r>
          </w:p>
        </w:tc>
      </w:tr>
    </w:tbl>
    <w:p>
      <w:pPr>
        <w:spacing w:after="0"/>
      </w:pPr>
    </w:p>
    <w:p>
      <w:pPr>
        <w:pStyle w:val="Heading1"/>
      </w:pPr>
      <w:r>
        <w:t>Appendix C — Core Decision Summary</w:t>
      </w:r>
    </w:p>
    <w:tbl>
      <w:tblPr>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Decision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Adopted baseline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Architecture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Modular monolith with governed module boundaries and approved services/events.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Technology</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React.js frontend, Laravel API/backend, PostgreSQL database.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Product organization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12-document MDS series from MDS-000 through MDS-1100.</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Navigation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Task-centered workspaces with UI Navigation Independence and Multiple Entry Point.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Ownership</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One authoritative owner per capability; shortcuts and dashboards never create ownership.</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Master data</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Operational shared records belong to Master Registries; behavior configuration belongs to Settings.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Money out</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Expenses explain the cost; Payments &amp; Disbursements execute settlement; Cash Accounts owns the money source and balance.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Money in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creates receivables; Collections &amp; Receipts receives/applies money; Cash Accounts owns the resulting cash balance.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Corrections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destructive editing of posted effects; use cancel, void, reversal, adjustment, or replacement.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AI</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AI-ready structured data and events with inherited permission, human accountability, auditability, and safe failure.</w:t>
            </w:r>
          </w:p>
        </w:tc>
      </w:tr>
    </w:tbl>
    <w:p>
      <w:pPr>
        <w:spacing w:after="0"/>
      </w:pPr>
    </w:p>
    <w:p>
      <w:pPr>
        <w:pStyle w:val="Heading1"/>
      </w:pPr>
      <w:r>
        <w:t>Appendix D — Review Checklist</w:t>
      </w:r>
    </w:p>
    <w:p>
      <w:pPr>
        <w:numPr>
          <w:ilvl w:val="0"/>
          <w:numId w:val="10"/>
        </w:numPr>
        <w:spacing w:after="80" w:line="300" w:lineRule="auto"/>
      </w:pPr>
      <w:r>
        <w:rPr>
          <w:rFonts w:ascii="Calibri" w:hAnsi="Calibri" w:eastAsia="Calibri"/>
          <w:color w:val="111827"/>
          <w:sz w:val="21"/>
        </w:rPr>
        <w:t>The official MDS title, ID, version, date, status, repository location, and revision history are correct.</w:t>
      </w:r>
    </w:p>
    <w:p>
      <w:pPr>
        <w:numPr>
          <w:ilvl w:val="0"/>
          <w:numId w:val="10"/>
        </w:numPr>
        <w:spacing w:after="80" w:line="300" w:lineRule="auto"/>
      </w:pPr>
      <w:r>
        <w:rPr>
          <w:rFonts w:ascii="Calibri" w:hAnsi="Calibri" w:eastAsia="Calibri"/>
          <w:color w:val="111827"/>
          <w:sz w:val="21"/>
        </w:rPr>
        <w:t>Each module responsibility and boundary matches the 12-document series.</w:t>
      </w:r>
    </w:p>
    <w:p>
      <w:pPr>
        <w:numPr>
          <w:ilvl w:val="0"/>
          <w:numId w:val="10"/>
        </w:numPr>
        <w:spacing w:after="80" w:line="300" w:lineRule="auto"/>
      </w:pPr>
      <w:r>
        <w:rPr>
          <w:rFonts w:ascii="Calibri" w:hAnsi="Calibri" w:eastAsia="Calibri"/>
          <w:color w:val="111827"/>
          <w:sz w:val="21"/>
        </w:rPr>
        <w:t>Core services do not absorb module-specific business meaning or create duplicate sources of truth.</w:t>
      </w:r>
    </w:p>
    <w:p>
      <w:pPr>
        <w:numPr>
          <w:ilvl w:val="0"/>
          <w:numId w:val="10"/>
        </w:numPr>
        <w:spacing w:after="80" w:line="300" w:lineRule="auto"/>
      </w:pPr>
      <w:r>
        <w:rPr>
          <w:rFonts w:ascii="Calibri" w:hAnsi="Calibri" w:eastAsia="Calibri"/>
          <w:color w:val="111827"/>
          <w:sz w:val="21"/>
        </w:rPr>
        <w:t>MDS-500 Payments &amp; Disbursements and MDS-800 Expenses retain their distinct ownership.</w:t>
      </w:r>
    </w:p>
    <w:p>
      <w:pPr>
        <w:numPr>
          <w:ilvl w:val="0"/>
          <w:numId w:val="10"/>
        </w:numPr>
        <w:spacing w:after="80" w:line="300" w:lineRule="auto"/>
      </w:pPr>
      <w:r>
        <w:rPr>
          <w:rFonts w:ascii="Calibri" w:hAnsi="Calibri" w:eastAsia="Calibri"/>
          <w:color w:val="111827"/>
          <w:sz w:val="21"/>
        </w:rPr>
        <w:t>Master Registries and Settings remain separate.</w:t>
      </w:r>
    </w:p>
    <w:p>
      <w:pPr>
        <w:numPr>
          <w:ilvl w:val="0"/>
          <w:numId w:val="10"/>
        </w:numPr>
        <w:spacing w:after="80" w:line="300" w:lineRule="auto"/>
      </w:pPr>
      <w:r>
        <w:rPr>
          <w:rFonts w:ascii="Calibri" w:hAnsi="Calibri" w:eastAsia="Calibri"/>
          <w:color w:val="111827"/>
          <w:sz w:val="21"/>
        </w:rPr>
        <w:t>Workspace actions, shared panels, Dashboard, global search, and contextual links preserve authoritative ownership.</w:t>
      </w:r>
    </w:p>
    <w:p>
      <w:pPr>
        <w:numPr>
          <w:ilvl w:val="0"/>
          <w:numId w:val="10"/>
        </w:numPr>
        <w:spacing w:after="80" w:line="300" w:lineRule="auto"/>
      </w:pPr>
      <w:r>
        <w:rPr>
          <w:rFonts w:ascii="Calibri" w:hAnsi="Calibri" w:eastAsia="Calibri"/>
          <w:color w:val="111827"/>
          <w:sz w:val="21"/>
        </w:rPr>
        <w:t>Business Documents, Events, Transactions, statuses, validation, audit, numbering, and correction rules are testable.</w:t>
      </w:r>
    </w:p>
    <w:p>
      <w:pPr>
        <w:numPr>
          <w:ilvl w:val="0"/>
          <w:numId w:val="10"/>
        </w:numPr>
        <w:spacing w:after="80" w:line="300" w:lineRule="auto"/>
      </w:pPr>
      <w:r>
        <w:rPr>
          <w:rFonts w:ascii="Calibri" w:hAnsi="Calibri" w:eastAsia="Calibri"/>
          <w:color w:val="111827"/>
          <w:sz w:val="21"/>
        </w:rPr>
        <w:t>React/Laravel/PostgreSQL and modular-monolith references remain implementation-aligned with DEV-000.</w:t>
      </w:r>
    </w:p>
    <w:p>
      <w:pPr>
        <w:numPr>
          <w:ilvl w:val="0"/>
          <w:numId w:val="10"/>
        </w:numPr>
        <w:spacing w:after="80" w:line="300" w:lineRule="auto"/>
      </w:pPr>
      <w:r>
        <w:rPr>
          <w:rFonts w:ascii="Calibri" w:hAnsi="Calibri" w:eastAsia="Calibri"/>
          <w:color w:val="111827"/>
          <w:sz w:val="21"/>
        </w:rPr>
        <w:t>Security, tenant isolation, entitlement, accessibility, localization, performance, recovery, and AI controls are represented.</w:t>
      </w:r>
    </w:p>
    <w:p>
      <w:pPr>
        <w:numPr>
          <w:ilvl w:val="0"/>
          <w:numId w:val="10"/>
        </w:numPr>
        <w:spacing w:after="80" w:line="300" w:lineRule="auto"/>
      </w:pPr>
      <w:r>
        <w:rPr>
          <w:rFonts w:ascii="Calibri" w:hAnsi="Calibri" w:eastAsia="Calibri"/>
          <w:color w:val="111827"/>
          <w:sz w:val="21"/>
        </w:rPr>
        <w:t>Legacy references are used only as functional evidence and do not constrain the modern UI or architecture.</w:t>
      </w:r>
    </w:p>
    <w:p>
      <w:pPr>
        <w:spacing w:before="440" w:after="120"/>
        <w:pBdr>
          <w:top w:val="single" w:sz="8" w:space="5" w:color="E8EEF5"/>
        </w:pBdr>
      </w:pPr>
      <w:r>
        <w:rPr>
          <w:rFonts w:ascii="Calibri" w:hAnsi="Calibri" w:eastAsia="Calibri"/>
          <w:b/>
          <w:color w:val="1D4ED8"/>
          <w:sz w:val="19"/>
        </w:rPr>
        <w:t>END OF MDS-000</w:t>
      </w:r>
    </w:p>
    <w:p>
      <w:pPr>
        <w:spacing w:after="0"/>
      </w:pPr>
      <w:r>
        <w:rPr>
          <w:rFonts w:ascii="Calibri" w:hAnsi="Calibri" w:eastAsia="Calibri"/>
          <w:i/>
          <w:color w:val="5B6573"/>
          <w:sz w:val="19"/>
        </w:rPr>
        <w:t>Next planned specifications: MDS-100 Dashboard, MDS-200 Sales &amp; Receivables, MDS-300 Collections &amp; Receipts, and the remaining modules in the approved series.</w:t>
      </w:r>
    </w:p>
    <w:sectPr w:rsidR="00FC693F" w:rsidRPr="0006063C" w:rsidSect="00034616">
      <w:headerReference w:type="default" r:id="rId9"/>
      <w:footerReference w:type="default" r:id="rId10"/>
      <w:pgSz w:w="12240" w:h="15840"/>
      <w:pgMar w:top="1152"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olor w:val="5B6573"/>
        <w:sz w:val="17"/>
      </w:rPr>
      <w:t>SimpleBIZ Systems</w:t>
    </w:r>
    <w:r>
      <w:rPr>
        <w:rFonts w:ascii="Calibri" w:hAnsi="Calibri" w:eastAsia="Calibri"/>
        <w:color w:val="5B6573"/>
        <w:sz w:val="17"/>
      </w:rPr>
      <w:tab/>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0B2545"/>
        <w:sz w:val="17"/>
      </w:rPr>
      <w:t>SimpleBIZ  |  Module Design Specification</w:t>
    </w:r>
    <w:r>
      <w:rPr>
        <w:rFonts w:ascii="Calibri" w:hAnsi="Calibri" w:eastAsia="Calibri"/>
        <w:color w:val="5B6573"/>
        <w:sz w:val="17"/>
      </w:rPr>
      <w:tab/>
      <w:t>MDS-000  |  v1.2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MDS-000 SimpleBIZ One Core Module Design Specification v1.2</dc:title>
  <dc:subject>Governing core module design framework for SimpleBIZ One</dc:subject>
  <dc:creator>SimpleBIZ Systems</dc:creator>
  <cp:keywords>SimpleBIZ, MDS-000, Core, Module Design Specification, ERP, SME</cp:keywords>
  <dc:description>Version 1.2 — For Review — 30 July 2026</dc:description>
  <cp:lastModifiedBy/>
  <cp:revision>1</cp:revision>
  <dcterms:created xsi:type="dcterms:W3CDTF">2013-12-23T23:15:00Z</dcterms:created>
  <dcterms:modified xsi:type="dcterms:W3CDTF">2013-12-23T23:15:00Z</dcterms:modified>
  <cp:category/>
</cp:coreProperties>
</file>