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rFonts w:ascii="Inter" w:hAnsi="Inter" w:eastAsia="Inter"/>
          <w:b/>
          <w:color w:val="667485"/>
          <w:sz w:val="19"/>
        </w:rPr>
        <w:t>SimpleBIZ  |  SIMPLEBIZ ONE</w:t>
      </w:r>
    </w:p>
    <w:p>
      <w:pPr>
        <w:spacing w:before="440" w:after="0"/>
      </w:pPr>
      <w:r>
        <w:rPr>
          <w:rFonts w:ascii="Inter Display" w:hAnsi="Inter Display" w:eastAsia="Inter Display"/>
          <w:b/>
          <w:color w:val="2F78B7"/>
          <w:sz w:val="46"/>
        </w:rPr>
        <w:t>MDS-1000</w:t>
      </w:r>
    </w:p>
    <w:p>
      <w:pPr>
        <w:spacing w:before="60" w:after="80"/>
      </w:pPr>
      <w:r>
        <w:rPr>
          <w:rFonts w:ascii="Inter Display" w:hAnsi="Inter Display" w:eastAsia="Inter Display"/>
          <w:b/>
          <w:color w:val="1A2D44"/>
          <w:sz w:val="62"/>
        </w:rPr>
        <w:t>Master Registries</w:t>
      </w:r>
    </w:p>
    <w:p>
      <w:pPr>
        <w:spacing w:after="240"/>
      </w:pPr>
      <w:r>
        <w:rPr>
          <w:rFonts w:ascii="Inter Display" w:hAnsi="Inter Display" w:eastAsia="Inter Display"/>
          <w:b/>
          <w:color w:val="1A2D44"/>
          <w:sz w:val="40"/>
        </w:rPr>
        <w:t>Module Design Specification</w:t>
      </w:r>
    </w:p>
    <w:p>
      <w:pPr>
        <w:spacing w:after="440"/>
      </w:pPr>
      <w:r>
        <w:rPr>
          <w:rFonts w:ascii="Inter" w:hAnsi="Inter" w:eastAsia="Inter"/>
          <w:color w:val="667485"/>
          <w:sz w:val="23"/>
        </w:rPr>
        <w:t>The governed design for creating, maintaining, sharing, validating, deactivating, merging, and auditing the authoritative people, products, places, organizational structures, categories, and reference records used throughout SimpleBIZ One.</w:t>
      </w:r>
    </w:p>
    <w:tbl>
      <w:tblPr>
        <w:tblW w:type="dxa" w:w="7200"/>
        <w:jc w:val="left"/>
        <w:tblLayout w:type="fixed"/>
        <w:tblLook w:firstColumn="1" w:firstRow="1" w:lastColumn="0" w:lastRow="0" w:noHBand="0" w:noVBand="1" w:val="04A0"/>
      </w:tblPr>
      <w:tblGrid>
        <w:gridCol w:w="2304"/>
        <w:gridCol w:w="4896"/>
      </w:tblGrid>
      <w:tr>
        <w:trPr>
          <w:tblHeader w:val="true"/>
        </w:trPr>
        <w:tc>
          <w:tcPr>
            <w:tcW w:type="dxa" w:w="2304"/>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shd w:fill="FFFFFF" w:val="clear"/>
          </w:tcPr>
          <w:p>
            <w:pPr>
              <w:spacing w:after="0" w:before="0" w:line="240" w:lineRule="auto"/>
              <w:jc w:val="left"/>
            </w:pPr>
            <w:r>
              <w:rPr>
                <w:rFonts w:ascii="Inter" w:hAnsi="Inter" w:eastAsia="Inter"/>
                <w:b/>
                <w:color w:val="1A2D44"/>
                <w:sz w:val="18"/>
              </w:rPr>
              <w:t>Version</w:t>
            </w:r>
          </w:p>
        </w:tc>
        <w:tc>
          <w:tcPr>
            <w:tcW w:type="dxa" w:w="4896"/>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shd w:fill="FFFFFF" w:val="clear"/>
          </w:tcPr>
          <w:p>
            <w:pPr>
              <w:spacing w:after="0" w:before="0" w:line="240" w:lineRule="auto"/>
              <w:jc w:val="left"/>
            </w:pPr>
            <w:r>
              <w:rPr>
                <w:rFonts w:ascii="Inter" w:hAnsi="Inter" w:eastAsia="Inter"/>
                <w:b w:val="0"/>
                <w:color w:val="1A2D44"/>
                <w:sz w:val="18"/>
              </w:rPr>
              <w:t>1.0</w:t>
            </w:r>
          </w:p>
        </w:tc>
      </w:tr>
      <w:tr>
        <w:tc>
          <w:tcPr>
            <w:tcW w:type="dxa" w:w="2304"/>
            <w:shd w:fill="FFFFFF" w:val="clear"/>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8"/>
              </w:rPr>
              <w:t>Status</w:t>
            </w:r>
          </w:p>
        </w:tc>
        <w:tc>
          <w:tcPr>
            <w:tcW w:type="dxa" w:w="4896"/>
            <w:shd w:fill="FFFFFF" w:val="clear"/>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8"/>
              </w:rPr>
              <w:t>For Review</w:t>
            </w:r>
          </w:p>
        </w:tc>
      </w:tr>
      <w:tr>
        <w:tc>
          <w:tcPr>
            <w:tcW w:type="dxa" w:w="2304"/>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shd w:fill="FFFFFF" w:val="clear"/>
          </w:tcPr>
          <w:p>
            <w:pPr>
              <w:spacing w:after="0" w:before="0" w:line="240" w:lineRule="auto"/>
              <w:jc w:val="left"/>
            </w:pPr>
            <w:r>
              <w:rPr>
                <w:rFonts w:ascii="Inter" w:hAnsi="Inter" w:eastAsia="Inter"/>
                <w:b/>
                <w:color w:val="1A2D44"/>
                <w:sz w:val="18"/>
              </w:rPr>
              <w:t>Date</w:t>
            </w:r>
          </w:p>
        </w:tc>
        <w:tc>
          <w:tcPr>
            <w:tcW w:type="dxa" w:w="4896"/>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shd w:fill="FFFFFF" w:val="clear"/>
          </w:tcPr>
          <w:p>
            <w:pPr>
              <w:spacing w:after="0" w:before="0" w:line="240" w:lineRule="auto"/>
              <w:jc w:val="left"/>
            </w:pPr>
            <w:r>
              <w:rPr>
                <w:rFonts w:ascii="Inter" w:hAnsi="Inter" w:eastAsia="Inter"/>
                <w:b w:val="0"/>
                <w:color w:val="1A2D44"/>
                <w:sz w:val="18"/>
              </w:rPr>
              <w:t>31 July 2026</w:t>
            </w:r>
          </w:p>
        </w:tc>
      </w:tr>
      <w:tr>
        <w:tc>
          <w:tcPr>
            <w:tcW w:type="dxa" w:w="2304"/>
            <w:shd w:fill="FFFFFF" w:val="clear"/>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8"/>
              </w:rPr>
              <w:t>Product</w:t>
            </w:r>
          </w:p>
        </w:tc>
        <w:tc>
          <w:tcPr>
            <w:tcW w:type="dxa" w:w="4896"/>
            <w:shd w:fill="FFFFFF" w:val="clear"/>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8"/>
              </w:rPr>
              <w:t>SimpleBIZ One</w:t>
            </w:r>
          </w:p>
        </w:tc>
      </w:tr>
      <w:tr>
        <w:tc>
          <w:tcPr>
            <w:tcW w:type="dxa" w:w="2304"/>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shd w:fill="FFFFFF" w:val="clear"/>
          </w:tcPr>
          <w:p>
            <w:pPr>
              <w:spacing w:after="0" w:before="0" w:line="240" w:lineRule="auto"/>
              <w:jc w:val="left"/>
            </w:pPr>
            <w:r>
              <w:rPr>
                <w:rFonts w:ascii="Inter" w:hAnsi="Inter" w:eastAsia="Inter"/>
                <w:b/>
                <w:color w:val="1A2D44"/>
                <w:sz w:val="18"/>
              </w:rPr>
              <w:t>Classification</w:t>
            </w:r>
          </w:p>
        </w:tc>
        <w:tc>
          <w:tcPr>
            <w:tcW w:type="dxa" w:w="4896"/>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shd w:fill="FFFFFF" w:val="clear"/>
          </w:tcPr>
          <w:p>
            <w:pPr>
              <w:spacing w:after="0" w:before="0" w:line="240" w:lineRule="auto"/>
              <w:jc w:val="left"/>
            </w:pPr>
            <w:r>
              <w:rPr>
                <w:rFonts w:ascii="Inter" w:hAnsi="Inter" w:eastAsia="Inter"/>
                <w:b w:val="0"/>
                <w:color w:val="1A2D44"/>
                <w:sz w:val="18"/>
              </w:rPr>
              <w:t>Module Design Specification</w:t>
            </w:r>
          </w:p>
        </w:tc>
      </w:tr>
      <w:tr>
        <w:tc>
          <w:tcPr>
            <w:tcW w:type="dxa" w:w="2304"/>
            <w:shd w:fill="FFFFFF" w:val="clear"/>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8"/>
              </w:rPr>
              <w:t>Prepared for</w:t>
            </w:r>
          </w:p>
        </w:tc>
        <w:tc>
          <w:tcPr>
            <w:tcW w:type="dxa" w:w="4896"/>
            <w:shd w:fill="FFFFFF" w:val="clear"/>
            <w:tcBorders>
              <w:top w:val="nil" w:sz="6" w:space="0" w:color="4A4A4A"/>
              <w:start w:val="nil" w:sz="6" w:space="0" w:color="4A4A4A"/>
              <w:bottom w:val="nil" w:sz="6" w:space="0" w:color="4A4A4A"/>
              <w:end w:val="nil"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8"/>
              </w:rPr>
              <w:t>SimpleBIZ Systems</w:t>
            </w:r>
          </w:p>
        </w:tc>
      </w:tr>
    </w:tbl>
    <w:p>
      <w:pPr>
        <w:spacing w:after="0"/>
      </w:pPr>
    </w:p>
    <w:tbl>
      <w:tblPr>
        <w:tblW w:type="dxa" w:w="10261"/>
        <w:jc w:val="center"/>
        <w:tblLayout w:type="fixed"/>
        <w:tblLook w:firstColumn="1" w:firstRow="1" w:lastColumn="0" w:lastRow="0" w:noHBand="0" w:noVBand="1" w:val="04A0"/>
      </w:tblPr>
      <w:tblGrid>
        <w:gridCol w:w="10261"/>
      </w:tblGrid>
      <w:tr>
        <w:trPr>
          <w:cantSplit/>
          <w:tblHeader/>
        </w:trPr>
        <w:tc>
          <w:tcPr>
            <w:tcW w:type="dxa" w:w="10261"/>
            <w:tcMar>
              <w:top w:w="90" w:type="dxa"/>
              <w:start w:w="110" w:type="dxa"/>
              <w:bottom w:w="90" w:type="dxa"/>
              <w:end w:w="110"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r>
              <w:rPr>
                <w:rFonts w:ascii="Inter" w:hAnsi="Inter" w:eastAsia="Inter"/>
                <w:b/>
                <w:color w:val="1A2D44"/>
                <w:sz w:val="19"/>
              </w:rPr>
              <w:t xml:space="preserve">MASTER DATA DESIGN DIRECTIVE  </w:t>
            </w:r>
            <w:r>
              <w:rPr>
                <w:rFonts w:ascii="Inter" w:hAnsi="Inter" w:eastAsia="Inter"/>
                <w:color w:val="1A2D44"/>
                <w:sz w:val="19"/>
              </w:rPr>
              <w:t>Create each shared operational record once, give it one stable identity and one accountable owner, reuse it everywhere through governed references, and preserve history when the record changes.</w:t>
            </w:r>
          </w:p>
        </w:tc>
      </w:tr>
    </w:tbl>
    <w:p>
      <w:pPr>
        <w:spacing w:after="0"/>
      </w:pPr>
    </w:p>
    <w:p>
      <w:pPr>
        <w:spacing w:before="320"/>
      </w:pPr>
      <w:r>
        <w:rPr>
          <w:rFonts w:ascii="Inter Display" w:hAnsi="Inter Display" w:eastAsia="Inter Display"/>
          <w:b/>
          <w:color w:val="1A2D44"/>
          <w:sz w:val="28"/>
        </w:rPr>
        <w:t>SimpleBIZ Systems</w:t>
      </w:r>
    </w:p>
    <w:p>
      <w:pPr/>
      <w:r>
        <w:rPr>
          <w:rFonts w:ascii="Inter" w:hAnsi="Inter" w:eastAsia="Inter"/>
          <w:color w:val="667485"/>
          <w:sz w:val="19"/>
        </w:rPr>
        <w:t>Reliable records. Faster transactions. One trusted business identity.</w:t>
      </w:r>
    </w:p>
    <w:p>
      <w:r>
        <w:br w:type="page"/>
      </w:r>
    </w:p>
    <w:p>
      <w:pPr>
        <w:pStyle w:val="Heading1"/>
      </w:pPr>
      <w:r>
        <w:t>Document Control</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Document control item</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Value</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Document ID</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MDS-1000</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Document title</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Master Registries Module Design Specification</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Version</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1.0</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Status</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For Review</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Date</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31 July 2026</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Product</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SimpleBIZ One</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Document family</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Module Design Specification</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Repository location</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03 - Architecture &amp; Design / 02 - Module Design Specifications</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Supersedes</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New official module under the approved 12-document MDS series; consolidates legacy Setup &amp; Utility master-data concepts and current Master Registries decisions.</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Prepared for</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SimpleBIZ Systems</w:t>
            </w:r>
          </w:p>
        </w:tc>
      </w:tr>
    </w:tbl>
    <w:p>
      <w:pPr>
        <w:spacing w:after="0"/>
      </w:pPr>
    </w:p>
    <w:p>
      <w:pPr>
        <w:pStyle w:val="Heading1"/>
      </w:pPr>
      <w:r>
        <w:t>Revision History</w:t>
      </w:r>
    </w:p>
    <w:tbl>
      <w:tblPr>
        <w:tblW w:type="dxa" w:w="10261"/>
        <w:jc w:val="center"/>
        <w:tblLayout w:type="fixed"/>
        <w:tblLook w:firstColumn="1" w:firstRow="1" w:lastColumn="0" w:lastRow="0" w:noHBand="0" w:noVBand="1" w:val="04A0"/>
      </w:tblPr>
      <w:tblGrid>
        <w:gridCol w:w="1224"/>
        <w:gridCol w:w="1728"/>
        <w:gridCol w:w="5544"/>
        <w:gridCol w:w="1765"/>
      </w:tblGrid>
      <w:tr>
        <w:trPr>
          <w:cantSplit/>
          <w:tblHeader w:val="true"/>
        </w:trPr>
        <w:tc>
          <w:tcPr>
            <w:tcW w:type="dxa" w:w="122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Version</w:t>
            </w:r>
          </w:p>
        </w:tc>
        <w:tc>
          <w:tcPr>
            <w:tcW w:type="dxa" w:w="172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Date</w:t>
            </w:r>
          </w:p>
        </w:tc>
        <w:tc>
          <w:tcPr>
            <w:tcW w:type="dxa" w:w="554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Description</w:t>
            </w:r>
          </w:p>
        </w:tc>
        <w:tc>
          <w:tcPr>
            <w:tcW w:type="dxa" w:w="176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Status</w:t>
            </w:r>
          </w:p>
        </w:tc>
      </w:tr>
      <w:tr>
        <w:tc>
          <w:tcPr>
            <w:tcW w:type="dxa" w:w="122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1.0</w:t>
            </w:r>
          </w:p>
        </w:tc>
        <w:tc>
          <w:tcPr>
            <w:tcW w:type="dxa" w:w="172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31 July 2026</w:t>
            </w:r>
          </w:p>
        </w:tc>
        <w:tc>
          <w:tcPr>
            <w:tcW w:type="dxa" w:w="55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Established MDS-1000 as the authoritative specification for shared operational master and reference records; aligned the registry catalog, ownership boundaries, current SimpleBIZ Free scope, future ERP growth, UI Navigation Independence, Multiple UI Entry Points, security, data quality, import, duplicate resolution, AI readiness, and the mandatory 21-section MDS structure.</w:t>
            </w:r>
          </w:p>
        </w:tc>
        <w:tc>
          <w:tcPr>
            <w:tcW w:type="dxa" w:w="176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For Review</w:t>
            </w:r>
          </w:p>
        </w:tc>
      </w:tr>
    </w:tbl>
    <w:p>
      <w:pPr>
        <w:spacing w:after="0"/>
      </w:pPr>
    </w:p>
    <w:p>
      <w:pPr>
        <w:pStyle w:val="Heading1"/>
      </w:pPr>
      <w:r>
        <w:t>Related and Governing Documents</w:t>
      </w:r>
    </w:p>
    <w:tbl>
      <w:tblPr>
        <w:tblW w:type="dxa" w:w="10261"/>
        <w:jc w:val="center"/>
        <w:tblLayout w:type="fixed"/>
        <w:tblLook w:firstColumn="1" w:firstRow="1" w:lastColumn="0" w:lastRow="0" w:noHBand="0" w:noVBand="1" w:val="04A0"/>
      </w:tblPr>
      <w:tblGrid>
        <w:gridCol w:w="2952"/>
        <w:gridCol w:w="7309"/>
      </w:tblGrid>
      <w:tr>
        <w:trPr>
          <w:cantSplit/>
          <w:tblHeader w:val="true"/>
        </w:trPr>
        <w:tc>
          <w:tcPr>
            <w:tcW w:type="dxa" w:w="295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Document</w:t>
            </w:r>
          </w:p>
        </w:tc>
        <w:tc>
          <w:tcPr>
            <w:tcW w:type="dxa" w:w="730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Relationship to MDS-1000</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MDS-000 v1.2</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Governs one authoritative owner per business object, common record design, tenant scope, deactivation instead of destructive deletion, contextual quick-create, audit, security, entitlements, and the distinction between Master Registries and Settings.</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MDS-100 Dashboard</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Consumes governed registry counts, quality alerts, attention items, and navigation destinations without copying master records.</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MDS-200 / MDS-300</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 authoritative Business Partners, Customer roles, contacts, products/services, price references, payment terms, and related classifications.</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MDS-400 / MDS-500</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 authoritative Supplier roles, contacts, products/services, terms, methods, categories, tax references, organization dimensions, and payment-related reference records.</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MDS-600 / MDS-700 / MDS-800</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 product, unit, warehouse, stock-location, organization, category, Account Title, payment-method, and payee records; domain-specific stock, Cash Account, and expense transaction state remains in the owning modules.</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MDS-900 Reports &amp; Analytics</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Owns the consolidated report catalog and generation path; consumes versioned registry dimensions, labels, hierarchies, effective dates, and source contracts.</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MDS-1100 Settings &amp; Administration</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Owns company configuration, users, roles, permissions, numbering, approvals, behavior, localization, entitlements, integrations, and administrative controls applied to registries.</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UID-000 / WF-MAS-001 / UI-MAS-001</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Govern the Master Registries workspace, navigation, registry cards, list/detail interaction, responsive behavior, accessibility, and current/future screen flow.</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DEV-000 / API / DBS / TST artifacts</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Govern React.js, Laravel, PostgreSQL, APIs, physical schemas, migrations, coding, testing, observability, deployment, and quality implementation.</w:t>
            </w:r>
          </w:p>
        </w:tc>
      </w:tr>
    </w:tbl>
    <w:p>
      <w:pPr>
        <w:spacing w:after="0"/>
      </w:pPr>
    </w:p>
    <w:p>
      <w:pPr>
        <w:pStyle w:val="Heading1"/>
      </w:pPr>
      <w:r>
        <w:t>Contents at a Glance</w:t>
      </w:r>
    </w:p>
    <w:tbl>
      <w:tblPr>
        <w:tblW w:type="dxa" w:w="10261"/>
        <w:jc w:val="center"/>
        <w:tblLayout w:type="fixed"/>
        <w:tblLook w:firstColumn="1" w:firstRow="1" w:lastColumn="0" w:lastRow="0" w:noHBand="0" w:noVBand="1" w:val="04A0"/>
      </w:tblPr>
      <w:tblGrid>
        <w:gridCol w:w="2952"/>
        <w:gridCol w:w="7309"/>
      </w:tblGrid>
      <w:tr>
        <w:trPr>
          <w:cantSplit/>
          <w:tblHeader w:val="true"/>
        </w:trPr>
        <w:tc>
          <w:tcPr>
            <w:tcW w:type="dxa" w:w="295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Part</w:t>
            </w:r>
          </w:p>
        </w:tc>
        <w:tc>
          <w:tcPr>
            <w:tcW w:type="dxa" w:w="730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Coverage</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Part I - Foundation</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Sections 1-4: introduction, purpose, scope, ownership, users, practical distinction from Settings, and module overview.</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Part II - Functional Design</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Sections 5-11: registry components, registry catalog, governed change artifacts, events, requirements, Module Rules, workflows, statuses, duplicate resolution, import, and exceptions.</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Part III - Integration and Information</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Sections 12-16: module contracts, reports and metrics, attention/tasks, security, privacy, audit, data entities, identity, relationships, effective dates, and integrity.</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Part IV - Product, Quality, and Evolution</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Sections 17-20: editions, product experience, current workspace baseline, non-functional requirements, testing, AI controls, ERP expansion, and success indicators.</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Part V - Formal Design Authority</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Section 21: formal module design statement.</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Part VI - Appendices</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Ownership matrix, registry catalog, event catalog, requirement-to-evidence matrix, current UI sitemap, legacy continuity, and review checklist.</w:t>
            </w:r>
          </w:p>
        </w:tc>
      </w:tr>
    </w:tbl>
    <w:p>
      <w:pPr>
        <w:spacing w:after="0"/>
      </w:pPr>
    </w:p>
    <w:p>
      <w:r>
        <w:br w:type="page"/>
      </w:r>
    </w:p>
    <w:p>
      <w:pPr>
        <w:pStyle w:val="PartTitle"/>
      </w:pPr>
      <w:r>
        <w:t>PART I</w:t>
      </w:r>
    </w:p>
    <w:p>
      <w:pPr>
        <w:pStyle w:val="PartName"/>
      </w:pPr>
      <w:r>
        <w:t>Foundation</w:t>
      </w:r>
    </w:p>
    <w:p>
      <w:pPr>
        <w:pStyle w:val="PartSubtitle"/>
      </w:pPr>
      <w:r>
        <w:t>Business purpose, product role, users, scope, ownership, registry principles, and module boundaries.</w:t>
      </w:r>
    </w:p>
    <w:p>
      <w:pPr>
        <w:pStyle w:val="Heading1"/>
      </w:pPr>
      <w:r>
        <w:t>1. Introduction</w:t>
      </w:r>
    </w:p>
    <w:p>
      <w:pPr/>
      <w:r>
        <w:rPr>
          <w:rFonts w:ascii="Inter" w:hAnsi="Inter" w:eastAsia="Inter"/>
          <w:color w:val="172033"/>
          <w:sz w:val="18"/>
        </w:rPr>
        <w:t>MDS-1000 defines the functional and control design of the SimpleBIZ One Master Registries module. It provides the authoritative shared operational records selected and reused by transactions throughout Sales, Collections, Purchases, Payments, Inventory, Cash Accounts, Expenses, Dashboard, and Reports.</w:t>
      </w:r>
    </w:p>
    <w:p>
      <w:pPr/>
      <w:r>
        <w:rPr>
          <w:rFonts w:ascii="Inter" w:hAnsi="Inter" w:eastAsia="Inter"/>
          <w:color w:val="172033"/>
          <w:sz w:val="18"/>
        </w:rPr>
        <w:t>The module answers practical questions before a transaction can proceed: Who is the customer or supplier? What product or service is involved? Which unit, category, warehouse, branch, project, payment term, Expense Category, tax code, or other shared record should be used? Is the record active, complete, valid for this company, and permitted for this user?</w:t>
      </w:r>
    </w:p>
    <w:p>
      <w:pPr/>
      <w:r>
        <w:rPr>
          <w:rFonts w:ascii="Inter" w:hAnsi="Inter" w:eastAsia="Inter"/>
          <w:color w:val="172033"/>
          <w:sz w:val="18"/>
        </w:rPr>
        <w:t>Master Registries is not a collection of unrelated setup screens. It is a governed shared-data capability that gives each reusable business identity one stable record, detects duplicates, preserves effective history, controls deactivation and merge, and exposes the same authoritative object through every valid UI entry point and API contract.</w:t>
      </w:r>
    </w:p>
    <w:tbl>
      <w:tblPr>
        <w:tblW w:type="dxa" w:w="10261"/>
        <w:jc w:val="center"/>
        <w:tblLayout w:type="fixed"/>
        <w:tblLook w:firstColumn="1" w:firstRow="1" w:lastColumn="0" w:lastRow="0" w:noHBand="0" w:noVBand="1" w:val="04A0"/>
      </w:tblPr>
      <w:tblGrid>
        <w:gridCol w:w="10261"/>
      </w:tblGrid>
      <w:tr>
        <w:trPr>
          <w:cantSplit/>
          <w:tblHeader/>
        </w:trPr>
        <w:tc>
          <w:tcPr>
            <w:tcW w:type="dxa" w:w="10261"/>
            <w:tcMar>
              <w:top w:w="90" w:type="dxa"/>
              <w:start w:w="110" w:type="dxa"/>
              <w:bottom w:w="90" w:type="dxa"/>
              <w:end w:w="110"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r>
              <w:rPr>
                <w:rFonts w:ascii="Inter" w:hAnsi="Inter" w:eastAsia="Inter"/>
                <w:b/>
                <w:color w:val="1A2D44"/>
                <w:sz w:val="19"/>
              </w:rPr>
              <w:t xml:space="preserve">PRACTICAL DISTINCTION  </w:t>
            </w:r>
            <w:r>
              <w:rPr>
                <w:rFonts w:ascii="Inter" w:hAnsi="Inter" w:eastAsia="Inter"/>
                <w:color w:val="1A2D44"/>
                <w:sz w:val="19"/>
              </w:rPr>
              <w:t>Master Registries answer “Who, what, where, and which operational record do we use?” Settings &amp; Administration answers “How should SimpleBIZ behave?”</w:t>
            </w:r>
          </w:p>
        </w:tc>
      </w:tr>
    </w:tbl>
    <w:p>
      <w:pPr>
        <w:spacing w:after="0"/>
      </w:pPr>
    </w:p>
    <w:p>
      <w:pPr>
        <w:pStyle w:val="Heading1"/>
      </w:pPr>
      <w:r>
        <w:t>2. Purpose</w:t>
      </w:r>
    </w:p>
    <w:p>
      <w:pPr/>
      <w:r>
        <w:rPr>
          <w:rFonts w:ascii="Inter" w:hAnsi="Inter" w:eastAsia="Inter"/>
          <w:color w:val="172033"/>
          <w:sz w:val="18"/>
        </w:rPr>
        <w:t>This specification establishes the implementation and acceptance baseline for the shared operational records used across SimpleBIZ editions.</w:t>
      </w:r>
    </w:p>
    <w:p>
      <w:pPr>
        <w:pStyle w:val="ListBullet"/>
      </w:pPr>
      <w:r>
        <w:rPr>
          <w:rFonts w:ascii="Inter" w:hAnsi="Inter" w:eastAsia="Inter"/>
          <w:color w:val="172033"/>
          <w:sz w:val="18"/>
        </w:rPr>
        <w:t>Create each shared master or reference record once and reuse it throughout the platform.</w:t>
      </w:r>
    </w:p>
    <w:p>
      <w:pPr>
        <w:pStyle w:val="ListBullet"/>
      </w:pPr>
      <w:r>
        <w:rPr>
          <w:rFonts w:ascii="Inter" w:hAnsi="Inter" w:eastAsia="Inter"/>
          <w:color w:val="172033"/>
          <w:sz w:val="18"/>
        </w:rPr>
        <w:t>Provide stable identifiers, common lifecycle fields, tenant/company scope, aliases, external identifiers, relationships, and effective dates.</w:t>
      </w:r>
    </w:p>
    <w:p>
      <w:pPr>
        <w:pStyle w:val="ListBullet"/>
      </w:pPr>
      <w:r>
        <w:rPr>
          <w:rFonts w:ascii="Inter" w:hAnsi="Inter" w:eastAsia="Inter"/>
          <w:color w:val="172033"/>
          <w:sz w:val="18"/>
        </w:rPr>
        <w:t>Support fast ordinary maintenance while applying approvals, duplicate controls, field security, and stewardship where risk or edition requires it.</w:t>
      </w:r>
    </w:p>
    <w:p>
      <w:pPr>
        <w:pStyle w:val="ListBullet"/>
      </w:pPr>
      <w:r>
        <w:rPr>
          <w:rFonts w:ascii="Inter" w:hAnsi="Inter" w:eastAsia="Inter"/>
          <w:color w:val="172033"/>
          <w:sz w:val="18"/>
        </w:rPr>
        <w:t>Enable contextual quick-create from transactions without duplicating registry logic or losing the user’s transaction context.</w:t>
      </w:r>
    </w:p>
    <w:p>
      <w:pPr>
        <w:pStyle w:val="ListBullet"/>
      </w:pPr>
      <w:r>
        <w:rPr>
          <w:rFonts w:ascii="Inter" w:hAnsi="Inter" w:eastAsia="Inter"/>
          <w:color w:val="172033"/>
          <w:sz w:val="18"/>
        </w:rPr>
        <w:t>Preserve historical document identity and values when a current master record changes.</w:t>
      </w:r>
    </w:p>
    <w:p>
      <w:pPr>
        <w:pStyle w:val="ListBullet"/>
      </w:pPr>
      <w:r>
        <w:rPr>
          <w:rFonts w:ascii="Inter" w:hAnsi="Inter" w:eastAsia="Inter"/>
          <w:color w:val="172033"/>
          <w:sz w:val="18"/>
        </w:rPr>
        <w:t>Use deactivation, supersession, effective dating, or governed merge instead of destructive deletion of referenced records.</w:t>
      </w:r>
    </w:p>
    <w:p>
      <w:pPr>
        <w:pStyle w:val="ListBullet"/>
      </w:pPr>
      <w:r>
        <w:rPr>
          <w:rFonts w:ascii="Inter" w:hAnsi="Inter" w:eastAsia="Inter"/>
          <w:color w:val="172033"/>
          <w:sz w:val="18"/>
        </w:rPr>
        <w:t>Provide searchable, filterable, importable, exportable, auditable, and API-ready shared data.</w:t>
      </w:r>
    </w:p>
    <w:p>
      <w:pPr>
        <w:pStyle w:val="ListBullet"/>
      </w:pPr>
      <w:r>
        <w:rPr>
          <w:rFonts w:ascii="Inter" w:hAnsi="Inter" w:eastAsia="Inter"/>
          <w:color w:val="172033"/>
          <w:sz w:val="18"/>
        </w:rPr>
        <w:t>Support the practical SimpleBIZ Free registry set and expand through paid editions to enterprise master-data governance.</w:t>
      </w:r>
    </w:p>
    <w:p>
      <w:pPr>
        <w:pStyle w:val="Heading1"/>
      </w:pPr>
      <w:r>
        <w:t>3. Scope and Boundary</w:t>
      </w:r>
    </w:p>
    <w:tbl>
      <w:tblPr>
        <w:tblW w:type="dxa" w:w="10261"/>
        <w:jc w:val="center"/>
        <w:tblLayout w:type="fixed"/>
        <w:tblLook w:firstColumn="1" w:firstRow="1" w:lastColumn="0" w:lastRow="0" w:noHBand="0" w:noVBand="1" w:val="04A0"/>
      </w:tblPr>
      <w:tblGrid>
        <w:gridCol w:w="5112"/>
        <w:gridCol w:w="5149"/>
      </w:tblGrid>
      <w:tr>
        <w:trPr>
          <w:cantSplit/>
          <w:tblHeader w:val="true"/>
        </w:trPr>
        <w:tc>
          <w:tcPr>
            <w:tcW w:type="dxa" w:w="511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In scope - MDS-1000 owns</w:t>
            </w:r>
          </w:p>
        </w:tc>
        <w:tc>
          <w:tcPr>
            <w:tcW w:type="dxa" w:w="514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Out of scope - authoritative owner</w:t>
            </w:r>
          </w:p>
        </w:tc>
      </w:tr>
      <w:tr>
        <w:tc>
          <w:tcPr>
            <w:tcW w:type="dxa" w:w="51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Central Master Registries workspace, registry catalog, shared record discovery, contextual quick-create, and common registry lifecycle.</w:t>
            </w:r>
          </w:p>
        </w:tc>
        <w:tc>
          <w:tcPr>
            <w:tcW w:type="dxa" w:w="51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Application behavior, numbering, approval policy, security configuration, subscription, localization, notification preferences, and integrations - MDS-1100.</w:t>
            </w:r>
          </w:p>
        </w:tc>
      </w:tr>
      <w:tr>
        <w:tc>
          <w:tcPr>
            <w:tcW w:type="dxa" w:w="51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Business Partner identity, customer/supplier roles, contacts, groups, addresses, identifiers, and shared party relationships.</w:t>
            </w:r>
          </w:p>
        </w:tc>
        <w:tc>
          <w:tcPr>
            <w:tcW w:type="dxa" w:w="51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Sales history, receivables, customer balances, collections, supplier purchases, payables, and payment execution - MDS-200 to MDS-500.</w:t>
            </w:r>
          </w:p>
        </w:tc>
      </w:tr>
      <w:tr>
        <w:tc>
          <w:tcPr>
            <w:tcW w:type="dxa" w:w="51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Product and Service identity, categories, units, identifiers, standard commercial references, and shared classification.</w:t>
            </w:r>
          </w:p>
        </w:tc>
        <w:tc>
          <w:tcPr>
            <w:tcW w:type="dxa" w:w="51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Stock quantity, availability, movement, valuation, counts, reservations, and replenishment state - MDS-600.</w:t>
            </w:r>
          </w:p>
        </w:tc>
      </w:tr>
      <w:tr>
        <w:tc>
          <w:tcPr>
            <w:tcW w:type="dxa" w:w="51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Shared operational classifications including Expense Categories, Account Titles, Payment Methods, Payment Terms, Tax Codes, Currencies, organization dimensions, warehouses, locations, projects, and reference lists where enabled.</w:t>
            </w:r>
          </w:p>
        </w:tc>
        <w:tc>
          <w:tcPr>
            <w:tcW w:type="dxa" w:w="51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Cash Account profile, ledger, balance, movement, reconciliation, and account closure - MDS-700; expense transactions and recognition - MDS-800.</w:t>
            </w:r>
          </w:p>
        </w:tc>
      </w:tr>
      <w:tr>
        <w:tc>
          <w:tcPr>
            <w:tcW w:type="dxa" w:w="51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Record validation, duplicate detection, activation/deactivation, merge, effective-dated change, import, alias, relationship, and audit evidence.</w:t>
            </w:r>
          </w:p>
        </w:tc>
        <w:tc>
          <w:tcPr>
            <w:tcW w:type="dxa" w:w="51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Operational transaction posting, payment, receipt, inventory movement, cash movement, expense recognition, or source-document correction - owning transaction module.</w:t>
            </w:r>
          </w:p>
        </w:tc>
      </w:tr>
      <w:tr>
        <w:tc>
          <w:tcPr>
            <w:tcW w:type="dxa" w:w="51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Governed registry source contracts for lists, search, reports, APIs, and future AI assistance.</w:t>
            </w:r>
          </w:p>
        </w:tc>
        <w:tc>
          <w:tcPr>
            <w:tcW w:type="dxa" w:w="51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Consolidated report catalog, shared report parameters, generation, display, export, scheduling, and cross-module analytics - MDS-900.</w:t>
            </w:r>
          </w:p>
        </w:tc>
      </w:tr>
    </w:tbl>
    <w:p>
      <w:pPr>
        <w:spacing w:after="0"/>
      </w:pPr>
    </w:p>
    <w:p>
      <w:pPr>
        <w:pStyle w:val="Heading2"/>
      </w:pPr>
      <w:r>
        <w:t>3.1 Shared Master Identity versus Domain State</w:t>
      </w:r>
    </w:p>
    <w:tbl>
      <w:tblPr>
        <w:tblW w:type="dxa" w:w="10261"/>
        <w:jc w:val="center"/>
        <w:tblLayout w:type="fixed"/>
        <w:tblLook w:firstColumn="1" w:firstRow="1" w:lastColumn="0" w:lastRow="0" w:noHBand="0" w:noVBand="1" w:val="04A0"/>
      </w:tblPr>
      <w:tblGrid>
        <w:gridCol w:w="3384"/>
        <w:gridCol w:w="2376"/>
        <w:gridCol w:w="4501"/>
      </w:tblGrid>
      <w:tr>
        <w:trPr>
          <w:cantSplit/>
          <w:tblHeader w:val="true"/>
        </w:trPr>
        <w:tc>
          <w:tcPr>
            <w:tcW w:type="dxa" w:w="338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Business question</w:t>
            </w:r>
          </w:p>
        </w:tc>
        <w:tc>
          <w:tcPr>
            <w:tcW w:type="dxa" w:w="237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Authoritative owner</w:t>
            </w:r>
          </w:p>
        </w:tc>
        <w:tc>
          <w:tcPr>
            <w:tcW w:type="dxa" w:w="450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Boundary</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Who or what is the reusable business record?</w:t>
            </w:r>
          </w:p>
        </w:tc>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MDS-1000</w:t>
            </w:r>
          </w:p>
        </w:tc>
        <w:tc>
          <w:tcPr>
            <w:tcW w:type="dxa" w:w="450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Owns shared identity, descriptive attributes, roles, classifications, aliases, effective status, and relationships.</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What happened in a sale, purchase, receipt, payment, stock, cash, or expense transaction?</w:t>
            </w:r>
          </w:p>
        </w:tc>
        <w:tc>
          <w:tcPr>
            <w:tcW w:type="dxa" w:w="237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Originating transaction module</w:t>
            </w:r>
          </w:p>
        </w:tc>
        <w:tc>
          <w:tcPr>
            <w:tcW w:type="dxa" w:w="450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Owns documents, events, statuses, amounts, balances, corrections, and audit effects.</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How should the system validate, approve, number, secure, localize, or expose the record?</w:t>
            </w:r>
          </w:p>
        </w:tc>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MDS-1100 and Core</w:t>
            </w:r>
          </w:p>
        </w:tc>
        <w:tc>
          <w:tcPr>
            <w:tcW w:type="dxa" w:w="450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Owns configuration and enforces approved behavior.</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How is the shared record analyzed across transactions?</w:t>
            </w:r>
          </w:p>
        </w:tc>
        <w:tc>
          <w:tcPr>
            <w:tcW w:type="dxa" w:w="237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Source module plus MDS-900</w:t>
            </w:r>
          </w:p>
        </w:tc>
        <w:tc>
          <w:tcPr>
            <w:tcW w:type="dxa" w:w="450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Source owns meaning and dimensions; MDS-900 owns consolidated discovery and generation.</w:t>
            </w:r>
          </w:p>
        </w:tc>
      </w:tr>
    </w:tbl>
    <w:p>
      <w:pPr>
        <w:spacing w:after="0"/>
      </w:pPr>
    </w:p>
    <w:p>
      <w:pPr>
        <w:pStyle w:val="Heading2"/>
      </w:pPr>
      <w:r>
        <w:t>3.2 Domain-Delegated Registries</w:t>
      </w:r>
    </w:p>
    <w:p>
      <w:pPr/>
      <w:r>
        <w:rPr>
          <w:rFonts w:ascii="Inter" w:hAnsi="Inter" w:eastAsia="Inter"/>
          <w:color w:val="172033"/>
          <w:sz w:val="18"/>
        </w:rPr>
        <w:t>Some records behave like master data but contain operational state that is inseparable from a domain ledger or control process. MDS-1000 may list, search, link to, or contextually open these records, but it shall not create a duplicate authoritative profile.</w:t>
      </w:r>
    </w:p>
    <w:tbl>
      <w:tblPr>
        <w:tblW w:type="dxa" w:w="10261"/>
        <w:jc w:val="center"/>
        <w:tblLayout w:type="fixed"/>
        <w:tblLook w:firstColumn="1" w:firstRow="1" w:lastColumn="0" w:lastRow="0" w:noHBand="0" w:noVBand="1" w:val="04A0"/>
      </w:tblPr>
      <w:tblGrid>
        <w:gridCol w:w="3168"/>
        <w:gridCol w:w="2232"/>
        <w:gridCol w:w="4861"/>
      </w:tblGrid>
      <w:tr>
        <w:trPr>
          <w:cantSplit/>
          <w:tblHeader w:val="true"/>
        </w:trPr>
        <w:tc>
          <w:tcPr>
            <w:tcW w:type="dxa" w:w="316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Record</w:t>
            </w:r>
          </w:p>
        </w:tc>
        <w:tc>
          <w:tcPr>
            <w:tcW w:type="dxa" w:w="223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Authoritative owner</w:t>
            </w:r>
          </w:p>
        </w:tc>
        <w:tc>
          <w:tcPr>
            <w:tcW w:type="dxa" w:w="486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MDS-1000 role</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Cash Account</w:t>
            </w:r>
          </w:p>
        </w:tc>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MDS-700</w:t>
            </w:r>
          </w:p>
        </w:tc>
        <w:tc>
          <w:tcPr>
            <w:tcW w:type="dxa" w:w="48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Catalog entry, global search, reference selection, and route to the authoritative Cash Account Registry.</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User, Role, Permission, Access Group</w:t>
            </w:r>
          </w:p>
        </w:tc>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MDS-1100</w:t>
            </w:r>
          </w:p>
        </w:tc>
        <w:tc>
          <w:tcPr>
            <w:tcW w:type="dxa" w:w="48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No duplicate user registry; may show authorized administrative destination links.</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Inventory Balance / Stock Location Quantity</w:t>
            </w:r>
          </w:p>
        </w:tc>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MDS-600</w:t>
            </w:r>
          </w:p>
        </w:tc>
        <w:tc>
          <w:tcPr>
            <w:tcW w:type="dxa" w:w="48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Uses Product, Unit, Warehouse, and Stock Location masters; does not store quantity or valuation.</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Customer/Supplier balance or ledger</w:t>
            </w:r>
          </w:p>
        </w:tc>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MDS-200 / MDS-400</w:t>
            </w:r>
          </w:p>
        </w:tc>
        <w:tc>
          <w:tcPr>
            <w:tcW w:type="dxa" w:w="48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Uses Business Partner identity; does not own financial balance.</w:t>
            </w:r>
          </w:p>
        </w:tc>
      </w:tr>
    </w:tbl>
    <w:p>
      <w:pPr>
        <w:spacing w:after="0"/>
      </w:pPr>
    </w:p>
    <w:p>
      <w:pPr>
        <w:pStyle w:val="Heading2"/>
      </w:pPr>
      <w:r>
        <w:t>3.3 Historical Snapshot Rule</w:t>
      </w:r>
    </w:p>
    <w:p>
      <w:pPr/>
      <w:r>
        <w:rPr>
          <w:rFonts w:ascii="Inter" w:hAnsi="Inter" w:eastAsia="Inter"/>
          <w:color w:val="172033"/>
          <w:sz w:val="18"/>
        </w:rPr>
        <w:t>A current master record may change its name, address, category, role, contact, tax registration, or status. Historical business documents shall retain the identity and values required to explain what was valid when the transaction occurred. Transactions shall store stable references and controlled snapshots where legal, commercial, accounting, tax, or audit meaning requires them.</w:t>
      </w:r>
    </w:p>
    <w:p>
      <w:pPr>
        <w:pStyle w:val="Heading1"/>
      </w:pPr>
      <w:r>
        <w:t>4. Module Overview</w:t>
      </w:r>
    </w:p>
    <w:tbl>
      <w:tblPr>
        <w:tblW w:type="dxa" w:w="10261"/>
        <w:jc w:val="center"/>
        <w:tblLayout w:type="fixed"/>
        <w:tblLook w:firstColumn="1" w:firstRow="1" w:lastColumn="0" w:lastRow="0" w:noHBand="0" w:noVBand="1" w:val="04A0"/>
      </w:tblPr>
      <w:tblGrid>
        <w:gridCol w:w="3240"/>
        <w:gridCol w:w="7021"/>
      </w:tblGrid>
      <w:tr>
        <w:trPr>
          <w:cantSplit/>
          <w:tblHeader w:val="true"/>
        </w:trPr>
        <w:tc>
          <w:tcPr>
            <w:tcW w:type="dxa" w:w="324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Element</w:t>
            </w:r>
          </w:p>
        </w:tc>
        <w:tc>
          <w:tcPr>
            <w:tcW w:type="dxa" w:w="702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Design</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Primary responsibility</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Maintain authoritative shared operational records used by transactions, reports, search, workflows, and integrations.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Primary users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Business owners, registry maintainers, sales and purchasing staff, inventory staff, bookkeepers, accountants, data stewards, auditors, administrators, and authorized integration identities.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Primary workspace</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Master Registries workspace with grouped registry cards, search, recent records, data-quality attention, import, and authorized quick actions.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Core record families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Business Partners; Products &amp; Services; Finance and Commercial References; Inventory &amp; Locations; Organization; People; Assets &amp; Projects; Reference Lists.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Core platform services</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Identity and Security, Master Data service, Search, Attachment, Import/Export, Notification, Audit Trail, Entitlement, Reporting, and Business Event services.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Primary outcomes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Faster transaction entry, fewer duplicates, consistent classification, reliable reporting dimensions, safe change history, and ERP-ready shared identity.</w:t>
            </w:r>
          </w:p>
        </w:tc>
      </w:tr>
    </w:tbl>
    <w:p>
      <w:pPr>
        <w:spacing w:after="0"/>
      </w:pPr>
    </w:p>
    <w:p>
      <w:pPr>
        <w:pStyle w:val="Heading2"/>
      </w:pPr>
      <w:r>
        <w:t>4.1 Ownership Principles</w:t>
      </w:r>
    </w:p>
    <w:p>
      <w:pPr>
        <w:pStyle w:val="ListBullet"/>
      </w:pPr>
      <w:r>
        <w:rPr>
          <w:rFonts w:ascii="Inter" w:hAnsi="Inter" w:eastAsia="Inter"/>
          <w:color w:val="172033"/>
          <w:sz w:val="18"/>
        </w:rPr>
        <w:t>One Authoritative Record: each shared object has one stable internal identity and one owning registry or domain service.</w:t>
      </w:r>
    </w:p>
    <w:p>
      <w:pPr>
        <w:pStyle w:val="ListBullet"/>
      </w:pPr>
      <w:r>
        <w:rPr>
          <w:rFonts w:ascii="Inter" w:hAnsi="Inter" w:eastAsia="Inter"/>
          <w:color w:val="172033"/>
          <w:sz w:val="18"/>
        </w:rPr>
        <w:t>Reference, Do Not Copy: modules reference the authoritative record and preserve required transaction snapshots instead of maintaining independent master copies.</w:t>
      </w:r>
    </w:p>
    <w:p>
      <w:pPr>
        <w:pStyle w:val="ListBullet"/>
      </w:pPr>
      <w:r>
        <w:rPr>
          <w:rFonts w:ascii="Inter" w:hAnsi="Inter" w:eastAsia="Inter"/>
          <w:color w:val="172033"/>
          <w:sz w:val="18"/>
        </w:rPr>
        <w:t>Business Partner Role Model: one party may validly act as Customer, Supplier, Payee, Contact Organization, Employee-related party, or another permitted role without duplicate identities.</w:t>
      </w:r>
    </w:p>
    <w:p>
      <w:pPr>
        <w:pStyle w:val="ListBullet"/>
      </w:pPr>
      <w:r>
        <w:rPr>
          <w:rFonts w:ascii="Inter" w:hAnsi="Inter" w:eastAsia="Inter"/>
          <w:color w:val="172033"/>
          <w:sz w:val="18"/>
        </w:rPr>
        <w:t>Current Record Does Not Rewrite History: changes affect future use according to effective dates and shall not silently alter posted documents.</w:t>
      </w:r>
    </w:p>
    <w:p>
      <w:pPr>
        <w:pStyle w:val="ListBullet"/>
      </w:pPr>
      <w:r>
        <w:rPr>
          <w:rFonts w:ascii="Inter" w:hAnsi="Inter" w:eastAsia="Inter"/>
          <w:color w:val="172033"/>
          <w:sz w:val="18"/>
        </w:rPr>
        <w:t>Deactivate Before Delete: a referenced record is normally deactivated, superseded, merged, or archived rather than destroyed.</w:t>
      </w:r>
    </w:p>
    <w:p>
      <w:pPr>
        <w:pStyle w:val="ListBullet"/>
      </w:pPr>
      <w:r>
        <w:rPr>
          <w:rFonts w:ascii="Inter" w:hAnsi="Inter" w:eastAsia="Inter"/>
          <w:color w:val="172033"/>
          <w:sz w:val="18"/>
        </w:rPr>
        <w:t>Multiple UI Entry Points: registry creation or selection may begin from a transaction, global search, Dashboard, or Master Registries workspace while invoking one underlying service.</w:t>
      </w:r>
    </w:p>
    <w:p>
      <w:pPr>
        <w:pStyle w:val="ListBullet"/>
      </w:pPr>
      <w:r>
        <w:rPr>
          <w:rFonts w:ascii="Inter" w:hAnsi="Inter" w:eastAsia="Inter"/>
          <w:color w:val="172033"/>
          <w:sz w:val="18"/>
        </w:rPr>
        <w:t>Progressive Governance: Free remains simple; higher editions add approvals, stewardship, hierarchy, import, merge, effective dating, and enterprise controls without replacing the core identity model.</w:t>
      </w:r>
    </w:p>
    <w:p>
      <w:r>
        <w:br w:type="page"/>
      </w:r>
    </w:p>
    <w:p>
      <w:pPr>
        <w:pStyle w:val="PartTitle"/>
      </w:pPr>
      <w:r>
        <w:t>PART II</w:t>
      </w:r>
    </w:p>
    <w:p>
      <w:pPr>
        <w:pStyle w:val="PartName"/>
      </w:pPr>
      <w:r>
        <w:t>Functional Design</w:t>
      </w:r>
    </w:p>
    <w:p>
      <w:pPr>
        <w:pStyle w:val="PartSubtitle"/>
      </w:pPr>
      <w:r>
        <w:t>Registry components, catalog, governed change artifacts, events, requirements, rules, workflows, statuses, duplicate handling, and exceptions.</w:t>
      </w:r>
    </w:p>
    <w:p>
      <w:pPr>
        <w:pStyle w:val="Heading1"/>
      </w:pPr>
      <w:r>
        <w:t>5. Module Components</w:t>
      </w:r>
    </w:p>
    <w:tbl>
      <w:tblPr>
        <w:tblW w:type="dxa" w:w="10261"/>
        <w:jc w:val="center"/>
        <w:tblLayout w:type="fixed"/>
        <w:tblLook w:firstColumn="1" w:firstRow="1" w:lastColumn="0" w:lastRow="0" w:noHBand="0" w:noVBand="1" w:val="04A0"/>
      </w:tblPr>
      <w:tblGrid>
        <w:gridCol w:w="3528"/>
        <w:gridCol w:w="6733"/>
      </w:tblGrid>
      <w:tr>
        <w:trPr>
          <w:cantSplit/>
          <w:tblHeader w:val="true"/>
        </w:trPr>
        <w:tc>
          <w:tcPr>
            <w:tcW w:type="dxa" w:w="352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Component</w:t>
            </w:r>
          </w:p>
        </w:tc>
        <w:tc>
          <w:tcPr>
            <w:tcW w:type="dxa" w:w="6733"/>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capability</w:t>
            </w:r>
          </w:p>
        </w:tc>
      </w:tr>
      <w:tr>
        <w:tc>
          <w:tcPr>
            <w:tcW w:type="dxa" w:w="352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5.1 Master Registries Workspace</w:t>
            </w:r>
          </w:p>
        </w:tc>
        <w:tc>
          <w:tcPr>
            <w:tcW w:type="dxa" w:w="673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Provides grouped registry navigation, search, dominant create actions, recently used records, data-quality attention, import, and authorized administration routes.</w:t>
            </w:r>
          </w:p>
        </w:tc>
      </w:tr>
      <w:tr>
        <w:tc>
          <w:tcPr>
            <w:tcW w:type="dxa" w:w="352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5.2 Registry Framework</w:t>
            </w:r>
          </w:p>
        </w:tc>
        <w:tc>
          <w:tcPr>
            <w:tcW w:type="dxa" w:w="673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Applies common identity, code, name, description, company scope, active status, effective dates, aliases, external IDs, relationships, attachments, ownership, and audit behavior.</w:t>
            </w:r>
          </w:p>
        </w:tc>
      </w:tr>
      <w:tr>
        <w:tc>
          <w:tcPr>
            <w:tcW w:type="dxa" w:w="352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5.3 Business Partner Registry</w:t>
            </w:r>
          </w:p>
        </w:tc>
        <w:tc>
          <w:tcPr>
            <w:tcW w:type="dxa" w:w="673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Maintains one party identity with Customer, Supplier, Payee, and other permitted roles; supports contacts, addresses, identifiers, groups, terms, and role-specific extensions.</w:t>
            </w:r>
          </w:p>
        </w:tc>
      </w:tr>
      <w:tr>
        <w:tc>
          <w:tcPr>
            <w:tcW w:type="dxa" w:w="352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5.4 Contacts and Relationships</w:t>
            </w:r>
          </w:p>
        </w:tc>
        <w:tc>
          <w:tcPr>
            <w:tcW w:type="dxa" w:w="673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Maintains people, communication details, addresses, positions, primary-contact rules, and relationships to one or more Business Partners according to permission.</w:t>
            </w:r>
          </w:p>
        </w:tc>
      </w:tr>
      <w:tr>
        <w:tc>
          <w:tcPr>
            <w:tcW w:type="dxa" w:w="352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5.5 Products &amp; Services Registry</w:t>
            </w:r>
          </w:p>
        </w:tc>
        <w:tc>
          <w:tcPr>
            <w:tcW w:type="dxa" w:w="673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Maintains sellable, purchasable, stock-managed, non-stock, service, bundle, and future item identities with categories, units, identifiers, defaults, and lifecycle.</w:t>
            </w:r>
          </w:p>
        </w:tc>
      </w:tr>
      <w:tr>
        <w:tc>
          <w:tcPr>
            <w:tcW w:type="dxa" w:w="352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5.6 Classification and Reference Registries</w:t>
            </w:r>
          </w:p>
        </w:tc>
        <w:tc>
          <w:tcPr>
            <w:tcW w:type="dxa" w:w="673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Maintains Product Categories, Units of Measure, Expense Categories, Payment Methods, Payment Terms, Tax Codes, Currencies, Account Titles, groups, and controlled lists.</w:t>
            </w:r>
          </w:p>
        </w:tc>
      </w:tr>
      <w:tr>
        <w:tc>
          <w:tcPr>
            <w:tcW w:type="dxa" w:w="352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5.7 Inventory and Location Registries</w:t>
            </w:r>
          </w:p>
        </w:tc>
        <w:tc>
          <w:tcPr>
            <w:tcW w:type="dxa" w:w="673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Maintains Warehouses and Stock Locations and supplies valid location identities to MDS-600; stock quantity and value remain in Inventory.</w:t>
            </w:r>
          </w:p>
        </w:tc>
      </w:tr>
      <w:tr>
        <w:tc>
          <w:tcPr>
            <w:tcW w:type="dxa" w:w="352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5.8 Organization and People Registries</w:t>
            </w:r>
          </w:p>
        </w:tc>
        <w:tc>
          <w:tcPr>
            <w:tcW w:type="dxa" w:w="673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Maintains branches, departments, cost centers, profit centers, territories, legal entities, business/operating units, employees, contractors, and related structures by edition.</w:t>
            </w:r>
          </w:p>
        </w:tc>
      </w:tr>
      <w:tr>
        <w:tc>
          <w:tcPr>
            <w:tcW w:type="dxa" w:w="352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5.9 Assets and Projects Registries</w:t>
            </w:r>
          </w:p>
        </w:tc>
        <w:tc>
          <w:tcPr>
            <w:tcW w:type="dxa" w:w="673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Maintains Project, Fixed Asset, Asset Category, responsibility, location, and reference identities for future operational modules and reporting.</w:t>
            </w:r>
          </w:p>
        </w:tc>
      </w:tr>
      <w:tr>
        <w:tc>
          <w:tcPr>
            <w:tcW w:type="dxa" w:w="352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5.10 Duplicate, Merge, and Data Quality</w:t>
            </w:r>
          </w:p>
        </w:tc>
        <w:tc>
          <w:tcPr>
            <w:tcW w:type="dxa" w:w="673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Detects candidate duplicates, compares records, governs merge/survivorship, preserves aliases and references, scores completeness, and surfaces remediation.</w:t>
            </w:r>
          </w:p>
        </w:tc>
      </w:tr>
      <w:tr>
        <w:tc>
          <w:tcPr>
            <w:tcW w:type="dxa" w:w="352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5.11 Import, Export, and Integration</w:t>
            </w:r>
          </w:p>
        </w:tc>
        <w:tc>
          <w:tcPr>
            <w:tcW w:type="dxa" w:w="673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Supports templates, dry-run validation, row-level errors, idempotent imports, external identifiers, controlled export, APIs, and synchronization evidence.</w:t>
            </w:r>
          </w:p>
        </w:tc>
      </w:tr>
      <w:tr>
        <w:tc>
          <w:tcPr>
            <w:tcW w:type="dxa" w:w="352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5.12 Registry History and Audit</w:t>
            </w:r>
          </w:p>
        </w:tc>
        <w:tc>
          <w:tcPr>
            <w:tcW w:type="dxa" w:w="673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Shows versions, changes, approvals, merges, deactivations, imports, sensitive access, usage references, and source-system provenance.</w:t>
            </w:r>
          </w:p>
        </w:tc>
      </w:tr>
    </w:tbl>
    <w:p>
      <w:pPr>
        <w:spacing w:after="0"/>
      </w:pPr>
    </w:p>
    <w:p>
      <w:pPr>
        <w:pStyle w:val="Heading1"/>
      </w:pPr>
      <w:r>
        <w:t>6. Registry Catalog and Master Data</w:t>
      </w:r>
    </w:p>
    <w:p>
      <w:pPr/>
      <w:r>
        <w:rPr>
          <w:rFonts w:ascii="Inter" w:hAnsi="Inter" w:eastAsia="Inter"/>
          <w:color w:val="172033"/>
          <w:sz w:val="18"/>
        </w:rPr>
        <w:t>MDS-1000 is itself the authoritative owner of shared operational Master Data and Reference Data listed below unless a specific domain module is explicitly named as the owner. Commercial plan limits may change, but ownership shall not.</w:t>
      </w:r>
    </w:p>
    <w:tbl>
      <w:tblPr>
        <w:tblW w:type="dxa" w:w="10261"/>
        <w:jc w:val="center"/>
        <w:tblLayout w:type="fixed"/>
        <w:tblLook w:firstColumn="1" w:firstRow="1" w:lastColumn="0" w:lastRow="0" w:noHBand="0" w:noVBand="1" w:val="04A0"/>
      </w:tblPr>
      <w:tblGrid>
        <w:gridCol w:w="2376"/>
        <w:gridCol w:w="4824"/>
        <w:gridCol w:w="3061"/>
      </w:tblGrid>
      <w:tr>
        <w:trPr>
          <w:cantSplit/>
          <w:tblHeader w:val="true"/>
        </w:trPr>
        <w:tc>
          <w:tcPr>
            <w:tcW w:type="dxa" w:w="237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Registry family</w:t>
            </w:r>
          </w:p>
        </w:tc>
        <w:tc>
          <w:tcPr>
            <w:tcW w:type="dxa" w:w="482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Initial and future records</w:t>
            </w:r>
          </w:p>
        </w:tc>
        <w:tc>
          <w:tcPr>
            <w:tcW w:type="dxa" w:w="306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Ownership note</w:t>
            </w:r>
          </w:p>
        </w:tc>
      </w:tr>
      <w:tr>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 Partners</w:t>
            </w:r>
          </w:p>
        </w:tc>
        <w:tc>
          <w:tcPr>
            <w:tcW w:type="dxa" w:w="482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Business Partner, Customer role, Supplier role, Payee role, Contact, Address, Customer/Supplier Group, Salesperson/Collector reference.</w:t>
            </w:r>
          </w:p>
        </w:tc>
        <w:tc>
          <w:tcPr>
            <w:tcW w:type="dxa" w:w="30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 owns shared identity and roles; transaction histories and balances remain in source modules.</w:t>
            </w:r>
          </w:p>
        </w:tc>
      </w:tr>
      <w:tr>
        <w:tc>
          <w:tcPr>
            <w:tcW w:type="dxa" w:w="237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Products &amp; Services</w:t>
            </w:r>
          </w:p>
        </w:tc>
        <w:tc>
          <w:tcPr>
            <w:tcW w:type="dxa" w:w="482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Product, Service, Product/Service Category, Brand, Identifier/Barcode, Unit of Measure, UOM Conversion, Price List, Price List Item.</w:t>
            </w:r>
          </w:p>
        </w:tc>
        <w:tc>
          <w:tcPr>
            <w:tcW w:type="dxa" w:w="30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 owns identity and commercial classification; MDS-600 owns stock and valuation.</w:t>
            </w:r>
          </w:p>
        </w:tc>
      </w:tr>
      <w:tr>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Finance and Commercial</w:t>
            </w:r>
          </w:p>
        </w:tc>
        <w:tc>
          <w:tcPr>
            <w:tcW w:type="dxa" w:w="482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Expense Category, Account Title, Payment Method, Payment Term, Tax Code, Currency, Price List, financial dimension references.</w:t>
            </w:r>
          </w:p>
        </w:tc>
        <w:tc>
          <w:tcPr>
            <w:tcW w:type="dxa" w:w="30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MDS-1100 governs behavior, lock rules, default profiles, and configuration.</w:t>
            </w:r>
          </w:p>
        </w:tc>
      </w:tr>
      <w:tr>
        <w:tc>
          <w:tcPr>
            <w:tcW w:type="dxa" w:w="237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Inventory &amp; Locations</w:t>
            </w:r>
          </w:p>
        </w:tc>
        <w:tc>
          <w:tcPr>
            <w:tcW w:type="dxa" w:w="482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Warehouse, Stock Location, Location Type, Storage Zone, branch-location relationship.</w:t>
            </w:r>
          </w:p>
        </w:tc>
        <w:tc>
          <w:tcPr>
            <w:tcW w:type="dxa" w:w="30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 owns place identity; MDS-600 owns stock state and movement.</w:t>
            </w:r>
          </w:p>
        </w:tc>
      </w:tr>
      <w:tr>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Organization</w:t>
            </w:r>
          </w:p>
        </w:tc>
        <w:tc>
          <w:tcPr>
            <w:tcW w:type="dxa" w:w="482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Legal Entity, Business Unit, Operating Unit, Branch, Department, Cost Center, Profit Center, Sales Territory.</w:t>
            </w:r>
          </w:p>
        </w:tc>
        <w:tc>
          <w:tcPr>
            <w:tcW w:type="dxa" w:w="30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Enabled progressively by edition; organization hierarchy is effective-dated and non-circular.</w:t>
            </w:r>
          </w:p>
        </w:tc>
      </w:tr>
      <w:tr>
        <w:tc>
          <w:tcPr>
            <w:tcW w:type="dxa" w:w="237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People</w:t>
            </w:r>
          </w:p>
        </w:tc>
        <w:tc>
          <w:tcPr>
            <w:tcW w:type="dxa" w:w="482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Employee, Contractor, Salesperson, Collector, Custodian, responsible person reference.</w:t>
            </w:r>
          </w:p>
        </w:tc>
        <w:tc>
          <w:tcPr>
            <w:tcW w:type="dxa" w:w="30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 owns operational person identity where no dedicated HR master exists; user access remains MDS-1100.</w:t>
            </w:r>
          </w:p>
        </w:tc>
      </w:tr>
      <w:tr>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Assets &amp; Projects</w:t>
            </w:r>
          </w:p>
        </w:tc>
        <w:tc>
          <w:tcPr>
            <w:tcW w:type="dxa" w:w="482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Project, Project Type, Fixed Asset, Asset Category, asset location/custodian references.</w:t>
            </w:r>
          </w:p>
        </w:tc>
        <w:tc>
          <w:tcPr>
            <w:tcW w:type="dxa" w:w="30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identity only until dedicated operational modules assume lifecycle ownership.</w:t>
            </w:r>
          </w:p>
        </w:tc>
      </w:tr>
      <w:tr>
        <w:tc>
          <w:tcPr>
            <w:tcW w:type="dxa" w:w="237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Reference Lists</w:t>
            </w:r>
          </w:p>
        </w:tc>
        <w:tc>
          <w:tcPr>
            <w:tcW w:type="dxa" w:w="482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Industry, country, region, city, reason code, adjustment type, document classification, procurement classification, and approved controlled values.</w:t>
            </w:r>
          </w:p>
        </w:tc>
        <w:tc>
          <w:tcPr>
            <w:tcW w:type="dxa" w:w="30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Standard values may be locked; configurable values remain governed and effective-dated where material.</w:t>
            </w:r>
          </w:p>
        </w:tc>
      </w:tr>
      <w:tr>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Domain-delegated</w:t>
            </w:r>
          </w:p>
        </w:tc>
        <w:tc>
          <w:tcPr>
            <w:tcW w:type="dxa" w:w="482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Cash Account, User, Role, Permission, transaction statuses, stock balances, ledgers.</w:t>
            </w:r>
          </w:p>
        </w:tc>
        <w:tc>
          <w:tcPr>
            <w:tcW w:type="dxa" w:w="30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 routes to authoritative owners and shall not duplicate these records.</w:t>
            </w:r>
          </w:p>
        </w:tc>
      </w:tr>
    </w:tbl>
    <w:p>
      <w:pPr>
        <w:spacing w:after="0"/>
      </w:pPr>
    </w:p>
    <w:p>
      <w:pPr>
        <w:pStyle w:val="Heading2"/>
      </w:pPr>
      <w:r>
        <w:t>6.1 Common Master Record Fields</w:t>
      </w:r>
    </w:p>
    <w:tbl>
      <w:tblPr>
        <w:tblW w:type="dxa" w:w="10261"/>
        <w:jc w:val="center"/>
        <w:tblLayout w:type="fixed"/>
        <w:tblLook w:firstColumn="1" w:firstRow="1" w:lastColumn="0" w:lastRow="0" w:noHBand="0" w:noVBand="1" w:val="04A0"/>
      </w:tblPr>
      <w:tblGrid>
        <w:gridCol w:w="2520"/>
        <w:gridCol w:w="7741"/>
      </w:tblGrid>
      <w:tr>
        <w:trPr>
          <w:cantSplit/>
          <w:tblHeader w:val="true"/>
        </w:trPr>
        <w:tc>
          <w:tcPr>
            <w:tcW w:type="dxa" w:w="252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Field group</w:t>
            </w:r>
          </w:p>
        </w:tc>
        <w:tc>
          <w:tcPr>
            <w:tcW w:type="dxa" w:w="774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Minimum design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Identity</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Stable internal ID, registry type, tenant/company scope, human-readable code when used, official name, display name, and record status.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Classification</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Role, category, type, parent, tags, accounting/reporting mapping, and edition-appropriate dimensions.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Validity</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Active/inactive state, effective-from/to dates, reason, approved change, and dependency conditions.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Contact and location</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Addresses, communication channels, primary flags, country/region, geospatial or delivery attributes where permitted.</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External reference</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Source system, external identifier, alias, barcode, tax/registration ID, and import provenance.</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Governance</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Owner/steward, created/changed by and time, approval, change request, duplicate score, merge/survivor link, and audit history.</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Privacy and security</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Sensitivity class, field permissions, consent/purpose where required, retention, masking, and export restrictions.</w:t>
            </w:r>
          </w:p>
        </w:tc>
      </w:tr>
    </w:tbl>
    <w:p>
      <w:pPr>
        <w:spacing w:after="0"/>
      </w:pPr>
    </w:p>
    <w:p>
      <w:pPr>
        <w:pStyle w:val="Heading2"/>
      </w:pPr>
      <w:r>
        <w:t>6.2 Registry Hierarchy and Relationships</w:t>
      </w:r>
    </w:p>
    <w:p>
      <w:pPr>
        <w:pStyle w:val="ListBullet"/>
      </w:pPr>
      <w:r>
        <w:rPr>
          <w:rFonts w:ascii="Inter" w:hAnsi="Inter" w:eastAsia="Inter"/>
          <w:color w:val="172033"/>
          <w:sz w:val="18"/>
        </w:rPr>
        <w:t>Parent-child hierarchies shall reject circular relationships and invalid effective-date overlap.</w:t>
      </w:r>
    </w:p>
    <w:p>
      <w:pPr>
        <w:pStyle w:val="ListBullet"/>
      </w:pPr>
      <w:r>
        <w:rPr>
          <w:rFonts w:ascii="Inter" w:hAnsi="Inter" w:eastAsia="Inter"/>
          <w:color w:val="172033"/>
          <w:sz w:val="18"/>
        </w:rPr>
        <w:t>Role and relationship records shall be explicit rather than inferred from transaction history alone.</w:t>
      </w:r>
    </w:p>
    <w:p>
      <w:pPr>
        <w:pStyle w:val="ListBullet"/>
      </w:pPr>
      <w:r>
        <w:rPr>
          <w:rFonts w:ascii="Inter" w:hAnsi="Inter" w:eastAsia="Inter"/>
          <w:color w:val="172033"/>
          <w:sz w:val="18"/>
        </w:rPr>
        <w:t>A shared identity may have multiple valid roles, addresses, contacts, identifiers, categories, or organization relationships according to registry rules.</w:t>
      </w:r>
    </w:p>
    <w:p>
      <w:pPr>
        <w:pStyle w:val="ListBullet"/>
      </w:pPr>
      <w:r>
        <w:rPr>
          <w:rFonts w:ascii="Inter" w:hAnsi="Inter" w:eastAsia="Inter"/>
          <w:color w:val="172033"/>
          <w:sz w:val="18"/>
        </w:rPr>
        <w:t>One record may be designated primary only within a clearly defined scope, such as primary billing address for one Business Partner and company.</w:t>
      </w:r>
    </w:p>
    <w:p>
      <w:pPr>
        <w:pStyle w:val="ListBullet"/>
      </w:pPr>
      <w:r>
        <w:rPr>
          <w:rFonts w:ascii="Inter" w:hAnsi="Inter" w:eastAsia="Inter"/>
          <w:color w:val="172033"/>
          <w:sz w:val="18"/>
        </w:rPr>
        <w:t>Relationship changes shall preserve prior effective history where reporting, tax, legal, or operational interpretation depends on it.</w:t>
      </w:r>
    </w:p>
    <w:p>
      <w:pPr>
        <w:pStyle w:val="Heading1"/>
      </w:pPr>
      <w:r>
        <w:t>7. Governed Registry Artifacts</w:t>
      </w:r>
    </w:p>
    <w:p>
      <w:pPr/>
      <w:r>
        <w:rPr>
          <w:rFonts w:ascii="Inter" w:hAnsi="Inter" w:eastAsia="Inter"/>
          <w:color w:val="172033"/>
          <w:sz w:val="18"/>
        </w:rPr>
        <w:t>Master Registries does not ordinarily create a commercial transaction document. It creates governed master-data artifacts used to authorize, evidence, import, correct, merge, or retire shared records.</w:t>
      </w:r>
    </w:p>
    <w:tbl>
      <w:tblPr>
        <w:tblW w:type="dxa" w:w="10261"/>
        <w:jc w:val="center"/>
        <w:tblLayout w:type="fixed"/>
        <w:tblLook w:firstColumn="1" w:firstRow="1" w:lastColumn="0" w:lastRow="0" w:noHBand="0" w:noVBand="1" w:val="04A0"/>
      </w:tblPr>
      <w:tblGrid>
        <w:gridCol w:w="2520"/>
        <w:gridCol w:w="4392"/>
        <w:gridCol w:w="3349"/>
      </w:tblGrid>
      <w:tr>
        <w:trPr>
          <w:cantSplit/>
          <w:tblHeader w:val="true"/>
        </w:trPr>
        <w:tc>
          <w:tcPr>
            <w:tcW w:type="dxa" w:w="252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Artifact</w:t>
            </w:r>
          </w:p>
        </w:tc>
        <w:tc>
          <w:tcPr>
            <w:tcW w:type="dxa" w:w="439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Purpose</w:t>
            </w:r>
          </w:p>
        </w:tc>
        <w:tc>
          <w:tcPr>
            <w:tcW w:type="dxa" w:w="334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Lifecycle</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 Record</w:t>
            </w:r>
          </w:p>
        </w:tc>
        <w:tc>
          <w:tcPr>
            <w:tcW w:type="dxa" w:w="43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Authoritative current shared operational record and its version history.</w:t>
            </w:r>
          </w:p>
        </w:tc>
        <w:tc>
          <w:tcPr>
            <w:tcW w:type="dxa" w:w="33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Draft -&gt; Submitted/Validated -&gt; Active -&gt; Inactive/Superseded/Merged/Archived.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 Record Change Request</w:t>
            </w:r>
          </w:p>
        </w:tc>
        <w:tc>
          <w:tcPr>
            <w:tcW w:type="dxa" w:w="43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Requests sensitive or controlled creation, update, role assignment, mapping, deactivation, or reactivation.</w:t>
            </w:r>
          </w:p>
        </w:tc>
        <w:tc>
          <w:tcPr>
            <w:tcW w:type="dxa" w:w="33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Draft -&gt; Submitted -&gt; For Approval -&gt; Approved/Rejected/Returned -&gt; Applied/Cancelled.</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Duplicate Review Case</w:t>
            </w:r>
          </w:p>
        </w:tc>
        <w:tc>
          <w:tcPr>
            <w:tcW w:type="dxa" w:w="43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Collects candidate records, match evidence, steward decision, and resolution.</w:t>
            </w:r>
          </w:p>
        </w:tc>
        <w:tc>
          <w:tcPr>
            <w:tcW w:type="dxa" w:w="33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Open -&gt; Under Review -&gt; Not Duplicate/Merge Approved/Deferred -&gt; Closed.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Merge Record</w:t>
            </w:r>
          </w:p>
        </w:tc>
        <w:tc>
          <w:tcPr>
            <w:tcW w:type="dxa" w:w="43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Preserves survivor, merged identities, aliases, field decisions, affected references, approvals, and rollback evidence where supported.</w:t>
            </w:r>
          </w:p>
        </w:tc>
        <w:tc>
          <w:tcPr>
            <w:tcW w:type="dxa" w:w="33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Proposed -&gt; Validated -&gt; Approved -&gt; Applied -&gt; Verified/Exception.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 Import Batch</w:t>
            </w:r>
          </w:p>
        </w:tc>
        <w:tc>
          <w:tcPr>
            <w:tcW w:type="dxa" w:w="43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Captures source file/API identity, mapping, dry-run, row results, duplicate checks, accepted changes, and errors.</w:t>
            </w:r>
          </w:p>
        </w:tc>
        <w:tc>
          <w:tcPr>
            <w:tcW w:type="dxa" w:w="33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Uploaded -&gt; Validated -&gt; Dry Run -&gt; Ready -&gt; Processing -&gt; Completed/Partially Completed/Failed/Cancelled.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Reference List Change Set</w:t>
            </w:r>
          </w:p>
        </w:tc>
        <w:tc>
          <w:tcPr>
            <w:tcW w:type="dxa" w:w="43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Packages controlled additions, code changes, translations, effective dates, and retirements.</w:t>
            </w:r>
          </w:p>
        </w:tc>
        <w:tc>
          <w:tcPr>
            <w:tcW w:type="dxa" w:w="33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Draft -&gt; Review -&gt; Published -&gt; Superseded/Withdrawn.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Registry Export Package</w:t>
            </w:r>
          </w:p>
        </w:tc>
        <w:tc>
          <w:tcPr>
            <w:tcW w:type="dxa" w:w="43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Controlled data extract with scope, fields, actor, purpose, sensitivity, generation time, and expiry.</w:t>
            </w:r>
          </w:p>
        </w:tc>
        <w:tc>
          <w:tcPr>
            <w:tcW w:type="dxa" w:w="33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Requested -&gt; Generated -&gt; Available -&gt; Downloaded/Expired/Purged.</w:t>
            </w:r>
          </w:p>
        </w:tc>
      </w:tr>
    </w:tbl>
    <w:p>
      <w:pPr>
        <w:spacing w:after="0"/>
      </w:pPr>
    </w:p>
    <w:p>
      <w:pPr>
        <w:pStyle w:val="Heading2"/>
      </w:pPr>
      <w:r>
        <w:t>7.1 Record Codes, Names, and Identifiers</w:t>
      </w:r>
    </w:p>
    <w:p>
      <w:pPr>
        <w:pStyle w:val="ListBullet"/>
      </w:pPr>
      <w:r>
        <w:rPr>
          <w:rFonts w:ascii="Inter" w:hAnsi="Inter" w:eastAsia="Inter"/>
          <w:color w:val="172033"/>
          <w:sz w:val="18"/>
        </w:rPr>
        <w:t>Every master record shall have a stable internal identifier that never depends on its display name or current code.</w:t>
      </w:r>
    </w:p>
    <w:p>
      <w:pPr>
        <w:pStyle w:val="ListBullet"/>
      </w:pPr>
      <w:r>
        <w:rPr>
          <w:rFonts w:ascii="Inter" w:hAnsi="Inter" w:eastAsia="Inter"/>
          <w:color w:val="172033"/>
          <w:sz w:val="18"/>
        </w:rPr>
        <w:t>Human-readable codes shall be unique only within their defined registry, tenant/company, and effective scope.</w:t>
      </w:r>
    </w:p>
    <w:p>
      <w:pPr>
        <w:pStyle w:val="ListBullet"/>
      </w:pPr>
      <w:r>
        <w:rPr>
          <w:rFonts w:ascii="Inter" w:hAnsi="Inter" w:eastAsia="Inter"/>
          <w:color w:val="172033"/>
          <w:sz w:val="18"/>
        </w:rPr>
        <w:t>Codes used by posted transactions shall not be casually reused after deactivation or merge.</w:t>
      </w:r>
    </w:p>
    <w:p>
      <w:pPr>
        <w:pStyle w:val="ListBullet"/>
      </w:pPr>
      <w:r>
        <w:rPr>
          <w:rFonts w:ascii="Inter" w:hAnsi="Inter" w:eastAsia="Inter"/>
          <w:color w:val="172033"/>
          <w:sz w:val="18"/>
        </w:rPr>
        <w:t>Official name, display name, aliases, prior names, external identifiers, and tax/registration identifiers shall remain distinguishable.</w:t>
      </w:r>
    </w:p>
    <w:p>
      <w:pPr>
        <w:pStyle w:val="ListBullet"/>
      </w:pPr>
      <w:r>
        <w:rPr>
          <w:rFonts w:ascii="Inter" w:hAnsi="Inter" w:eastAsia="Inter"/>
          <w:color w:val="172033"/>
          <w:sz w:val="18"/>
        </w:rPr>
        <w:t>Identifiers shall be normalized for comparison without destroying the original entered or imported value required for evidence.</w:t>
      </w:r>
    </w:p>
    <w:p>
      <w:pPr>
        <w:pStyle w:val="Heading2"/>
      </w:pPr>
      <w:r>
        <w:t>7.2 Standard Status Catalog</w:t>
      </w:r>
    </w:p>
    <w:tbl>
      <w:tblPr>
        <w:tblW w:type="dxa" w:w="10261"/>
        <w:jc w:val="center"/>
        <w:tblLayout w:type="fixed"/>
        <w:tblLook w:firstColumn="1" w:firstRow="1" w:lastColumn="0" w:lastRow="0" w:noHBand="0" w:noVBand="1" w:val="04A0"/>
      </w:tblPr>
      <w:tblGrid>
        <w:gridCol w:w="2232"/>
        <w:gridCol w:w="3816"/>
        <w:gridCol w:w="4213"/>
      </w:tblGrid>
      <w:tr>
        <w:trPr>
          <w:cantSplit/>
          <w:tblHeader w:val="true"/>
        </w:trPr>
        <w:tc>
          <w:tcPr>
            <w:tcW w:type="dxa" w:w="223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Object</w:t>
            </w:r>
          </w:p>
        </w:tc>
        <w:tc>
          <w:tcPr>
            <w:tcW w:type="dxa" w:w="381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Statuses</w:t>
            </w:r>
          </w:p>
        </w:tc>
        <w:tc>
          <w:tcPr>
            <w:tcW w:type="dxa" w:w="4213"/>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Control meaning</w:t>
            </w:r>
          </w:p>
        </w:tc>
      </w:tr>
      <w:tr>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 Record</w:t>
            </w:r>
          </w:p>
        </w:tc>
        <w:tc>
          <w:tcPr>
            <w:tcW w:type="dxa" w:w="381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Draft; Submitted; Active; Inactive; Superseded; Merged; Archived</w:t>
            </w:r>
          </w:p>
        </w:tc>
        <w:tc>
          <w:tcPr>
            <w:tcW w:type="dxa" w:w="421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Only Active records are ordinarily selectable for new transactions; historical references remain viewable.</w:t>
            </w:r>
          </w:p>
        </w:tc>
      </w:tr>
      <w:tr>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Change Request</w:t>
            </w:r>
          </w:p>
        </w:tc>
        <w:tc>
          <w:tcPr>
            <w:tcW w:type="dxa" w:w="381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Draft; Submitted; For Approval; Returned; Approved; Rejected; Applied; Cancelled</w:t>
            </w:r>
          </w:p>
        </w:tc>
        <w:tc>
          <w:tcPr>
            <w:tcW w:type="dxa" w:w="421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Applied confirms the approved change reached the authoritative record.</w:t>
            </w:r>
          </w:p>
        </w:tc>
      </w:tr>
      <w:tr>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Duplicate Case</w:t>
            </w:r>
          </w:p>
        </w:tc>
        <w:tc>
          <w:tcPr>
            <w:tcW w:type="dxa" w:w="381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Open; Under Review; Not Duplicate; Merge Proposed; Merge Approved; Deferred; Closed</w:t>
            </w:r>
          </w:p>
        </w:tc>
        <w:tc>
          <w:tcPr>
            <w:tcW w:type="dxa" w:w="421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Closing requires a steward resolution and retained evidence.</w:t>
            </w:r>
          </w:p>
        </w:tc>
      </w:tr>
      <w:tr>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Import Batch</w:t>
            </w:r>
          </w:p>
        </w:tc>
        <w:tc>
          <w:tcPr>
            <w:tcW w:type="dxa" w:w="381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Uploaded; Validating; Dry Run; Ready; Processing; Completed; Partially Completed; Failed; Cancelled</w:t>
            </w:r>
          </w:p>
        </w:tc>
        <w:tc>
          <w:tcPr>
            <w:tcW w:type="dxa" w:w="421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Completed/Partially Completed identifies row-level results; file upload alone is not success.</w:t>
            </w:r>
          </w:p>
        </w:tc>
      </w:tr>
      <w:tr>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Reference Change Set</w:t>
            </w:r>
          </w:p>
        </w:tc>
        <w:tc>
          <w:tcPr>
            <w:tcW w:type="dxa" w:w="381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Draft; For Review; Published; Superseded; Withdrawn</w:t>
            </w:r>
          </w:p>
        </w:tc>
        <w:tc>
          <w:tcPr>
            <w:tcW w:type="dxa" w:w="421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Published values are usable according to effective dates and edition.</w:t>
            </w:r>
          </w:p>
        </w:tc>
      </w:tr>
    </w:tbl>
    <w:p>
      <w:pPr>
        <w:spacing w:after="0"/>
      </w:pPr>
    </w:p>
    <w:p>
      <w:pPr>
        <w:pStyle w:val="Heading1"/>
      </w:pPr>
      <w:r>
        <w:t>8. Business Events</w:t>
      </w:r>
    </w:p>
    <w:tbl>
      <w:tblPr>
        <w:tblW w:type="dxa" w:w="10261"/>
        <w:jc w:val="center"/>
        <w:tblLayout w:type="fixed"/>
        <w:tblLook w:firstColumn="1" w:firstRow="1" w:lastColumn="0" w:lastRow="0" w:noHBand="0" w:noVBand="1" w:val="04A0"/>
      </w:tblPr>
      <w:tblGrid>
        <w:gridCol w:w="1944"/>
        <w:gridCol w:w="3096"/>
        <w:gridCol w:w="5221"/>
      </w:tblGrid>
      <w:tr>
        <w:trPr>
          <w:cantSplit/>
          <w:tblHeader w:val="true"/>
        </w:trPr>
        <w:tc>
          <w:tcPr>
            <w:tcW w:type="dxa" w:w="194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Event code</w:t>
            </w:r>
          </w:p>
        </w:tc>
        <w:tc>
          <w:tcPr>
            <w:tcW w:type="dxa" w:w="309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 event</w:t>
            </w:r>
          </w:p>
        </w:tc>
        <w:tc>
          <w:tcPr>
            <w:tcW w:type="dxa" w:w="522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Trigger / result</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EVT-MAS-001</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Record Draft Created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Creates an editable registry record with stable internal identity.</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EVT-MAS-002</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Record Submitted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Validates required fields and begins approval or activation processing.</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EVT-MAS-003</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Duplicate Check Completed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Records candidate matches, score, rules, and user/steward resolution requirement.</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EVT-MAS-004</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Record Approved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Authorizes creation or controlled change according to policy.</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EVT-MAS-005</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Record Activated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Makes an eligible record selectable for authorized new transactions.</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EVT-MAS-006</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Record Updated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Applies a governed change while preserving prior version and audit evidence.</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EVT-MAS-007</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Effective-Dated Change Published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Schedules or activates a version for its approved date range.</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EVT-MAS-008</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Business Partner Role Assigned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Adds Customer, Supplier, Payee, or another permitted role to one shared party identity.</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EVT-MAS-009</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Business Partner Role Deactivated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Stops future use of a role without destroying the shared identity or history.</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EVT-MAS-010</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Contact Linked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Associates an authorized contact with a Business Partner or organizational record.</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EVT-MAS-011</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Product or Service Activated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Makes a validated item available to permitted sales, purchase, expense, or inventory workflows.</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EVT-MAS-012</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Classification Mapping Changed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Updates category, Account Title, tax, unit, price, or other governed mapping with effective history.</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EVT-MAS-013</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Record Deactivated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Prevents new ordinary selection after dependency checks and reason capture.</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EVT-MAS-014</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Record Reactivated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Restores future use after validation, authorization, and conflict checks.</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EVT-MAS-015</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Duplicate Merge Proposed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Identifies survivor, field decisions, references, aliases, and approval evidence.</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EVT-MAS-016</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Duplicate Records Merged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Repoints approved references, preserves aliases and merged identities, and closes the duplicate case.</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EVT-MAS-017</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Import Dry Run Completed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Reports row-level validation, duplicate, mapping, permission, and dependency results without applying changes.</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EVT-MAS-018</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Import Applied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Creates or updates authorized records idempotently and records row results.</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EVT-MAS-019</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Registry Export Generated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Produces an authorized scoped extract with sensitivity and audit metadata.</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EVT-MAS-020</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Contextual Quick-Create Completed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Returns the newly created authoritative record to the originating workflow without duplicate logic.</w:t>
            </w:r>
          </w:p>
        </w:tc>
      </w:tr>
      <w:tr>
        <w:tc>
          <w:tcPr>
            <w:tcW w:type="dxa" w:w="194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EVT-MAS-021</w:t>
            </w:r>
          </w:p>
        </w:tc>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Reference List Published</w:t>
            </w:r>
          </w:p>
        </w:tc>
        <w:tc>
          <w:tcPr>
            <w:tcW w:type="dxa" w:w="52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Makes an approved controlled value or translation available from its effective date.</w:t>
            </w:r>
          </w:p>
        </w:tc>
      </w:tr>
      <w:tr>
        <w:tc>
          <w:tcPr>
            <w:tcW w:type="dxa" w:w="194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EVT-MAS-022</w:t>
            </w:r>
          </w:p>
        </w:tc>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Record Archived</w:t>
            </w:r>
          </w:p>
        </w:tc>
        <w:tc>
          <w:tcPr>
            <w:tcW w:type="dxa" w:w="52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Removes a retired record from ordinary operations while preserving required history and evidence.</w:t>
            </w:r>
          </w:p>
        </w:tc>
      </w:tr>
    </w:tbl>
    <w:p>
      <w:pPr>
        <w:spacing w:after="0"/>
      </w:pPr>
    </w:p>
    <w:p>
      <w:pPr>
        <w:pStyle w:val="Heading2"/>
      </w:pPr>
      <w:r>
        <w:t>8.1 Event Processing Requirements</w:t>
      </w:r>
    </w:p>
    <w:p>
      <w:pPr>
        <w:pStyle w:val="ListBullet"/>
      </w:pPr>
      <w:r>
        <w:rPr>
          <w:rFonts w:ascii="Inter" w:hAnsi="Inter" w:eastAsia="Inter"/>
          <w:color w:val="172033"/>
          <w:sz w:val="18"/>
        </w:rPr>
        <w:t>Every event shall validate tenant/company scope, registry ownership, user permission, edition entitlement, current version, status, effective date, required fields, dependencies, and duplicate risk.</w:t>
      </w:r>
    </w:p>
    <w:p>
      <w:pPr>
        <w:pStyle w:val="ListBullet"/>
      </w:pPr>
      <w:r>
        <w:rPr>
          <w:rFonts w:ascii="Inter" w:hAnsi="Inter" w:eastAsia="Inter"/>
          <w:color w:val="172033"/>
          <w:sz w:val="18"/>
        </w:rPr>
        <w:t>Create, update, merge, deactivation, reactivation, import, and quick-create requests shall be idempotent and carry correlation identity.</w:t>
      </w:r>
    </w:p>
    <w:p>
      <w:pPr>
        <w:pStyle w:val="ListBullet"/>
      </w:pPr>
      <w:r>
        <w:rPr>
          <w:rFonts w:ascii="Inter" w:hAnsi="Inter" w:eastAsia="Inter"/>
          <w:color w:val="172033"/>
          <w:sz w:val="18"/>
        </w:rPr>
        <w:t>A partial merge or import shall enter a recoverable exception state and shall never silently lose or duplicate references.</w:t>
      </w:r>
    </w:p>
    <w:p>
      <w:pPr>
        <w:pStyle w:val="ListBullet"/>
      </w:pPr>
      <w:r>
        <w:rPr>
          <w:rFonts w:ascii="Inter" w:hAnsi="Inter" w:eastAsia="Inter"/>
          <w:color w:val="172033"/>
          <w:sz w:val="18"/>
        </w:rPr>
        <w:t>Published events shall identify record type, record ID, version, actor, source, previous/new state, reason where required, and affected downstream references without exposing protected fields.</w:t>
      </w:r>
    </w:p>
    <w:p>
      <w:pPr>
        <w:pStyle w:val="ListBullet"/>
      </w:pPr>
      <w:r>
        <w:rPr>
          <w:rFonts w:ascii="Inter" w:hAnsi="Inter" w:eastAsia="Inter"/>
          <w:color w:val="172033"/>
          <w:sz w:val="18"/>
        </w:rPr>
        <w:t>AI suggestions may propose normalization, duplicate matches, categories, or mappings but shall not activate, merge, deactivate, or overwrite records without an authorized human decision.</w:t>
      </w:r>
    </w:p>
    <w:p>
      <w:pPr>
        <w:pStyle w:val="Heading1"/>
      </w:pPr>
      <w:r>
        <w:t>9. Functional Requirements</w:t>
      </w:r>
    </w:p>
    <w:tbl>
      <w:tblPr>
        <w:tblW w:type="dxa" w:w="10261"/>
        <w:jc w:val="center"/>
        <w:tblLayout w:type="fixed"/>
        <w:tblLook w:firstColumn="1" w:firstRow="1" w:lastColumn="0" w:lastRow="0" w:noHBand="0" w:noVBand="1" w:val="04A0"/>
      </w:tblPr>
      <w:tblGrid>
        <w:gridCol w:w="2520"/>
        <w:gridCol w:w="7741"/>
      </w:tblGrid>
      <w:tr>
        <w:trPr>
          <w:cantSplit/>
          <w:tblHeader w:val="true"/>
        </w:trPr>
        <w:tc>
          <w:tcPr>
            <w:tcW w:type="dxa" w:w="252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ID</w:t>
            </w:r>
          </w:p>
        </w:tc>
        <w:tc>
          <w:tcPr>
            <w:tcW w:type="dxa" w:w="774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Requirement</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MDS-1000-FR-001</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provide one consolidated Master Registries workspace covering all enabled shared registry families.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MDS-1000-FR-002</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provide registry search by code, name, alias, identifier, role, category, contact, location, status, and permitted keyword.</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MDS-1000-FR-003</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Every authoritative record shall receive a stable internal ID, registry type, tenant/company scope, status, version, and audit identity.</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MDS-1000-FR-004</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create, save draft, submit, approve, activate, update, deactivate, reactivate, supersede, merge, archive, view, and export actions according to registry, role, status, and edition.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MDS-1000-FR-005</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Business Partner identity with multiple permitted roles without requiring duplicate Customer and Supplier records.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MDS-1000-FR-006</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multiple contacts, addresses, communication methods, primary designations, and effective relationships by edition.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MDS-1000-FR-007</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Product and Service records with sellable, purchasable, stock-managed, non-stock, service, active, and future extension attributes.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MDS-1000-FR-008</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Product/Service Categories and reject circular category hierarchies.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MDS-1000-FR-009</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Units of Measure, one base unit per applicable item, and validated conversion relationships.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MDS-1000-FR-010</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standard price, price-list, payment-term, payment-method, tax-code, currency, Account Title, and Expense Category references according to edition.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MDS-1000-FR-011</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Expense Category mapping to a governed Expense Account or Account Title without exposing debit/credit entry to ordinary users.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MDS-1000-FR-012</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Warehouses, Stock Locations, branches, departments, cost centers, projects, and other enabled location or organization dimensions.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MDS-1000-FR-013</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effective-from/to dates and retain prior versions for records whose meaning changes over time.</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MDS-1000-FR-014</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prevent selection of inactive, future, expired, unauthorized, wrong-company, or otherwise ineligible records for new transactions.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MDS-1000-FR-015</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Historical transactions shall remain readable with their original record identity and required snapshot values after a master change.</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MDS-1000-FR-016</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detect probable duplicates using registry-specific normalized names, identifiers, contacts, addresses, codes, and other governed evidence.</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MDS-1000-FR-017</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steward review, not-duplicate resolution, merge proposal, survivorship decision, approval, application, verification, and retained merge history.</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MDS-1000-FR-018</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Merge shall preserve aliases, prior IDs, source-system identifiers, audit evidence, and authorized transaction references.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MDS-1000-FR-019</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contextual quick-create from authorized transaction workflows and return the authoritative record to the originating form.</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MDS-1000-FR-020</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All UI entry points and APIs shall invoke the same validation, duplicate, approval, security, effective-date, and audit services.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MDS-1000-FR-021</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provide configurable required fields and defaults by registry, role, company, jurisdiction, and edition through MDS-1100.</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MDS-1000-FR-022</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controlled attachments and evidence such as registration documents, product images, certificates, and reference files.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MDS-1000-FR-023</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template-based import with field mapping, validation, dry run, duplicate detection, row-level results, idempotency, and controlled apply.</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MDS-1000-FR-024</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authorized export with field permission, purpose, scope, sensitivity, masking, expiry, and audit controls.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MDS-1000-FR-025</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aliases, external identifiers, source-system identity, and integration provenance without replacing the stable internal ID.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MDS-1000-FR-026</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expose stable lookup, search, detail, create, update, status, relationship, and bulk interfaces through approved APIs.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MDS-1000-FR-027</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provide list, card, detail, relationship, history, usage, duplicate, import, and data-quality views.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MDS-1000-FR-028</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show where a record is used before deactivation, merge, or material classification change.</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MDS-1000-FR-029</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block unsafe deactivation or merge when unresolved dependencies cannot be preserved or redirected.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MDS-1000-FR-030</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reactivation only when code, identity, date, mapping, and duplicate conflicts are resolved.</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MDS-1000-FR-031</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maintain registry-specific completeness, validity, duplicate, stale, unmapped, orphan, and exception indicators.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MDS-1000-FR-032</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provide Needs Attention items for pending approvals, duplicate candidates, import errors, mapping gaps, expiring references, and blocked lifecycle actions.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MDS-1000-FR-033</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apply record-, field-, company-, branch-, role-, action-, import-, export-, and API-level permissions server-side.</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MDS-1000-FR-034</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mask and protect tax identifiers, personal data, addresses, contact details, bank-related references, and sensitive attachments according to purpose and role.</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MDS-1000-FR-035</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maintain immutable audit history for creation, view where sensitive, change, approval, import, export, merge, deactivation, reactivation, and archive.</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MDS-1000-FR-036</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preserve downgrade data and safely restrict editing or selection when a capability is no longer entitled.</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MDS-1000-FR-037</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localization of names, addresses, identifiers, languages, currencies, units, tax references, and display formats without changing business identity.</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MDS-1000-FR-038</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support reporting dimensions and hierarchies with stable keys, effective dates, permitted labels, and source-contract metadata.</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MDS-1000-FR-039</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The system shall allow future AI services to suggest normalization, duplicates, classification, mapping, and completeness improvements with source evidence and human control.</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MDS-1000-FR-040</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All registry capabilities shall remain traceable to MDS requirements, events, APIs, data entities, screens, permissions, imports, reports, and tests.</w:t>
            </w:r>
          </w:p>
        </w:tc>
      </w:tr>
    </w:tbl>
    <w:p>
      <w:pPr>
        <w:spacing w:after="0"/>
      </w:pPr>
    </w:p>
    <w:p>
      <w:pPr>
        <w:pStyle w:val="Heading1"/>
      </w:pPr>
      <w:r>
        <w:t>10. Module Rules</w:t>
      </w:r>
    </w:p>
    <w:tbl>
      <w:tblPr>
        <w:tblW w:type="dxa" w:w="10261"/>
        <w:jc w:val="center"/>
        <w:tblLayout w:type="fixed"/>
        <w:tblLook w:firstColumn="1" w:firstRow="1" w:lastColumn="0" w:lastRow="0" w:noHBand="0" w:noVBand="1" w:val="04A0"/>
      </w:tblPr>
      <w:tblGrid>
        <w:gridCol w:w="2520"/>
        <w:gridCol w:w="7741"/>
      </w:tblGrid>
      <w:tr>
        <w:trPr>
          <w:cantSplit/>
          <w:tblHeader w:val="true"/>
        </w:trPr>
        <w:tc>
          <w:tcPr>
            <w:tcW w:type="dxa" w:w="252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Rule</w:t>
            </w:r>
          </w:p>
        </w:tc>
        <w:tc>
          <w:tcPr>
            <w:tcW w:type="dxa" w:w="774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Requirement</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MDS-1000-MR-001</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Every master record shall have one stable internal identity and one authoritative owner.</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MDS-1000-MR-002</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 shared record shall be referenced by stable ID; display name or code alone shall not be used as the relationship key.</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MDS-1000-MR-003</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Every tenant-owned record shall enforce tenant/company scope in storage, query, search, import, export, API, background processing, and reporting.</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MDS-1000-MR-004</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 current master change shall not silently rewrite posted transaction history or retained report snapshots.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MDS-1000-MR-005</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 referenced active or historical record shall normally be deactivated, superseded, merged, or archived rather than physically deleted.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MDS-1000-MR-006</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Only Active and currently effective records may be selected for new ordinary transactions unless a documented exception permits another state.</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MDS-1000-MR-007</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Deactivation shall preserve existing references and shall identify open dependencies, replacements, or blocked actions.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MDS-1000-MR-008</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Codes shall be unique within their defined registry and scope and shall not be casually reused after material transaction history.</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MDS-1000-MR-009</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Official name, display name, alias, external identifier, and prior name shall remain distinguishable.</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MDS-1000-MR-010</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Duplicate checks shall use registry-specific normalized evidence and shall never merge records solely because names are similar.</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MDS-1000-MR-011</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One Business Partner may hold multiple valid roles; Customer and Supplier roles shall not require duplicate party identities.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MDS-1000-MR-012</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Role deactivation shall not deactivate the entire Business Partner when another valid role or historical reference remains.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MDS-1000-MR-013</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Contact and address primary flags shall be unique only within their explicitly defined purpose and scope.</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MDS-1000-MR-014</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 Product or Service classification shall control permitted transaction use; a stock-managed item requires valid inventory setup before stock movement.</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MDS-1000-MR-015</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Each product requiring quantity conversion shall have one base Unit of Measure and non-circular, mathematically valid conversion rules.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MDS-1000-MR-016</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Category, organization, warehouse, location, and other parent-child hierarchies shall not contain circular relationships.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MDS-1000-MR-017</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Warehouse and Stock Location masters shall not store or directly change inventory quantity or valuation.</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MDS-1000-MR-018</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Expense Category shall remain a user-facing operational grouping and shall not replace its governed Expense Account or Account Title mapping.</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MDS-1000-MR-019</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Standard locked Account Titles may be exposed for selection and mapping; lock behavior and accounting profile are governed by MDS-1100.</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MDS-1000-MR-020</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 Payment Method record shall not store online-banking passwords, wallet PINs, OTPs, card secrets, or payment-provider credentials.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MDS-1000-MR-021</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Tax Code and Currency changes that affect business meaning shall be effective-dated and shall not retroactively alter posted transactions.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MDS-1000-MR-022</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Cash Account profiles shall remain authoritative in MDS-700; MDS-1000 shall not create a duplicate Cash Account master.</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MDS-1000-MR-023</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Users, roles, permissions, numbering, approval policy, localization, and plan behavior shall remain authoritative in MDS-1100.</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MDS-1000-MR-024</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Master Registries shall not store transaction balances, sales history, supplier ledger, stock balance, cash balance, or expense balance as authoritative fields.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MDS-1000-MR-025</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Effective-dated versions for the same record and scope shall not overlap where only one version may be valid.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MDS-1000-MR-026</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Merge shall identify one survivor, preserve merged identities and aliases, repoint only approved references, and retain immutable merge evidence.</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MDS-1000-MR-027</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 merge shall not combine legally distinct parties, products, companies, or records merely to simplify reporting.</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MDS-1000-MR-028</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Merge, split, undo, or remediation shall not erase posted transaction evidence or break source-module reconciliation.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MDS-1000-MR-029</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Import shall validate permission, scope, required fields, identifiers, duplicates, references, and edition before applying any row.</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MDS-1000-MR-030</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Repeated import or quick-create requests with the same idempotency identity shall not create duplicate master records.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MDS-1000-MR-031</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Row-level import success shall not conceal rejected rows; completed and partially completed states shall remain distinguishable.</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MDS-1000-MR-032</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Contextual quick-create shall use the same server-side rules as creation from the Master Registries workspace.</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MDS-1000-MR-033</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 record shall not become Active until mandatory mappings, identifiers, approvals, and dependency rules are satisfied.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MDS-1000-MR-034</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Sensitive personal, tax, address, contact, banking-related, and attachment data shall be minimized, masked, encrypted, and accessed only for authorized purpose.</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MDS-1000-MR-035</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Every material state or field change shall record actor, date-time, source, previous/new value, reason where required, and correlation identity.</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MDS-1000-MR-036</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Exports and APIs shall not expose fields or records unavailable to the acting user in the ordinary application.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MDS-1000-MR-037</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Reporting labels and dimensions may be derived or cached, but authoritative master identity and effective history remain in MDS-1000 or the named domain owner.</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MDS-1000-MR-038</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Edition differences shall unlock capabilities without creating separate master identities or incompatible record histories.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MDS-1000-MR-039</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AI may suggest but shall not autonomously activate, merge, deactivate, archive, or materially reclassify a master record.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6"/>
              </w:rPr>
              <w:t>MDS-1000-MR-040</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6"/>
              </w:rPr>
              <w:t>All entry points shall invoke the same validation, security, duplicate, effective-date, event, audit, and integration logic.</w:t>
            </w:r>
          </w:p>
        </w:tc>
      </w:tr>
    </w:tbl>
    <w:p>
      <w:pPr>
        <w:spacing w:after="0"/>
      </w:pPr>
    </w:p>
    <w:p>
      <w:pPr>
        <w:pStyle w:val="Heading1"/>
      </w:pPr>
      <w:r>
        <w:t>11. Workflows, Statuses, and Exceptions</w:t>
      </w:r>
    </w:p>
    <w:p>
      <w:pPr>
        <w:pStyle w:val="Heading2"/>
      </w:pPr>
      <w:r>
        <w:t>11.1 Standard Create and Activate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Authorized user opens a registry from Master Registries or a valid contextual entry point.</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System resolves registry type, company scope, edition, permissions, required fields, defaults, and active configuration.</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User enters identity, classifications, relationships, effective dates, contacts, identifiers, and evidence as applicable.</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System validates values, references, hierarchy, uniqueness, duplicate risk, privacy, and dependency rules.</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Record is saved as Draft, submitted for approval, or activated directly according to policy.</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6</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Activation publishes the authoritative record and makes it selectable through permitted lookups and APIs.</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7</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Originating workflow receives the stable record ID and continues without a duplicate local record.</w:t>
            </w:r>
          </w:p>
        </w:tc>
      </w:tr>
    </w:tbl>
    <w:p>
      <w:pPr>
        <w:spacing w:after="0"/>
      </w:pPr>
    </w:p>
    <w:p>
      <w:pPr>
        <w:pStyle w:val="Heading2"/>
      </w:pPr>
      <w:r>
        <w:t>11.2 Contextual Quick-Create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User selects Add Customer, Add Supplier, Add Product/Service, Add Category, or another permitted quick-create from a transaction.</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 focused registry form opens with source context and only the fields necessary for safe creation.</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The same duplicate, required-field, authorization, effective-date, and activation rules are applied server-side.</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On success, the authoritative record is returned and selected in the original transaction.</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Cancellation or failure returns safely without losing valid transaction input or creating a partial master record.</w:t>
            </w:r>
          </w:p>
        </w:tc>
      </w:tr>
    </w:tbl>
    <w:p>
      <w:pPr>
        <w:spacing w:after="0"/>
      </w:pPr>
    </w:p>
    <w:p>
      <w:pPr>
        <w:pStyle w:val="Heading2"/>
      </w:pPr>
      <w:r>
        <w:t>11.3 Duplicate Review and Merge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Create, update, import, or data-quality scan identifies one or more probable duplicate candidates.</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Authorized user compares identities, roles, identifiers, addresses, contacts, usage, history, and protected-field evidence.</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User marks Not Duplicate, Defers, corrects the record, or proposes a survivor and field-level merge decisions.</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System validates legal/tenant scope, transaction references, open dependencies, role conflicts, code conflicts, and permissions.</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Required approval is completed and the merge executes idempotently with reference redirection and full audit evidence.</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6</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Merged identities remain searchable as aliases and historical references; verification confirms no broken source links.</w:t>
            </w:r>
          </w:p>
        </w:tc>
      </w:tr>
    </w:tbl>
    <w:p>
      <w:pPr>
        <w:spacing w:after="0"/>
      </w:pPr>
    </w:p>
    <w:p>
      <w:pPr>
        <w:pStyle w:val="Heading2"/>
      </w:pPr>
      <w:r>
        <w:t>11.4 Import Workflow</w:t>
      </w:r>
    </w:p>
    <w:tbl>
      <w:tblPr>
        <w:tblW w:type="dxa" w:w="10261"/>
        <w:jc w:val="center"/>
        <w:tblLayout w:type="fixed"/>
        <w:tblLook w:firstColumn="1" w:firstRow="1" w:lastColumn="0" w:lastRow="0" w:noHBand="0" w:noVBand="1" w:val="04A0"/>
      </w:tblPr>
      <w:tblGrid>
        <w:gridCol w:w="1080"/>
        <w:gridCol w:w="9181"/>
      </w:tblGrid>
      <w:tr>
        <w:trPr>
          <w:cantSplit/>
          <w:tblHeader w:val="true"/>
        </w:trPr>
        <w:tc>
          <w:tcPr>
            <w:tcW w:type="dxa" w:w="10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Step</w:t>
            </w:r>
          </w:p>
        </w:tc>
        <w:tc>
          <w:tcPr>
            <w:tcW w:type="dxa" w:w="91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processing</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1</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Authorized user selects registry, downloads or uses an approved template, and uploads a file or submits an API batch.</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2</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System validates file safety, encoding, headers, mapping, company scope, field permission, and row identity.</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3</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Dry run reports accepted, warning, duplicate, invalid, unauthorized, and dependency-blocked rows without applying changes.</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4</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User corrects source data or confirms an authorized apply operation.</w:t>
            </w:r>
          </w:p>
        </w:tc>
      </w:tr>
      <w:tr>
        <w:tc>
          <w:tcPr>
            <w:tcW w:type="dxa" w:w="10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5</w:t>
            </w:r>
          </w:p>
        </w:tc>
        <w:tc>
          <w:tcPr>
            <w:tcW w:type="dxa" w:w="91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System processes rows idempotently, records create/update/skip/reject results, and publishes events for applied records.</w:t>
            </w:r>
          </w:p>
        </w:tc>
      </w:tr>
      <w:tr>
        <w:tc>
          <w:tcPr>
            <w:tcW w:type="dxa" w:w="10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6</w:t>
            </w:r>
          </w:p>
        </w:tc>
        <w:tc>
          <w:tcPr>
            <w:tcW w:type="dxa" w:w="91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Batch completion exposes row-level evidence, downloadable errors, reconciliation counts, and safe retry for unresolved rows.</w:t>
            </w:r>
          </w:p>
        </w:tc>
      </w:tr>
    </w:tbl>
    <w:p>
      <w:pPr>
        <w:spacing w:after="0"/>
      </w:pPr>
    </w:p>
    <w:p>
      <w:pPr>
        <w:pStyle w:val="Heading2"/>
      </w:pPr>
      <w:r>
        <w:t>11.5 Effective-Dated Change and Deactivation</w:t>
      </w:r>
    </w:p>
    <w:p>
      <w:pPr/>
      <w:r>
        <w:rPr>
          <w:rFonts w:ascii="Inter" w:hAnsi="Inter" w:eastAsia="Inter"/>
          <w:color w:val="172033"/>
          <w:sz w:val="18"/>
        </w:rPr>
        <w:t>Select Record -&gt; Review Usage and Dependencies -&gt; Enter Change/Reason/Effective Date -&gt; Validate Overlap and Impact -&gt; Approve when required -&gt; Publish New Version or Deactivate -&gt; Preserve Prior Version and Historical References -&gt; Refresh authorized lookups, reports, and caches.</w:t>
      </w:r>
    </w:p>
    <w:p>
      <w:pPr>
        <w:pStyle w:val="Heading2"/>
      </w:pPr>
      <w:r>
        <w:t>11.6 Exception Handling</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Condition</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Required handling</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Probable duplicate</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Show candidate evidence and require authorized resolution before activation when policy blocks duplicates.</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Code or external-ID conflict</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Prevent unsafe save/activation; identify scope and existing record without exposing protected detail.</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Invalid hierarchy or date overlap</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Reject the relationship or version and explain the conflicting parent, cycle, or effective period.</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Referenced record cannot be deactivated</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Show open dependencies and permitted replacement, close, or override route.</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Merge dependency cannot be redirected</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Stop before partial completion or enter recoverable exception with preserved proposal and correlation ID.</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Import partially succeeds</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Retain accepted records and row-level failures only when policy permits partial application; never label all rows successful.</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Attachment or integration failure</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Preserve record draft and metadata, retry safely, and avoid duplicate master creation.</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Concurrent update</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Use optimistic version control; reject stale overwrite and show the latest record/change comparison.</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Permission or edition changes mid-process</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Revalidate before apply, merge, export, or activation; preserve draft and explain the new restriction.</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AI suggestion unavailable or low confidence</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Continue normal registry workflow and show no suggestion or a qualified suggestion with source evidence.</w:t>
            </w:r>
          </w:p>
        </w:tc>
      </w:tr>
    </w:tbl>
    <w:p>
      <w:pPr>
        <w:spacing w:after="0"/>
      </w:pPr>
    </w:p>
    <w:p>
      <w:r>
        <w:br w:type="page"/>
      </w:r>
    </w:p>
    <w:p>
      <w:pPr>
        <w:pStyle w:val="PartTitle"/>
      </w:pPr>
      <w:r>
        <w:t>PART III</w:t>
      </w:r>
    </w:p>
    <w:p>
      <w:pPr>
        <w:pStyle w:val="PartName"/>
      </w:pPr>
      <w:r>
        <w:t>Integration and Information</w:t>
      </w:r>
    </w:p>
    <w:p>
      <w:pPr>
        <w:pStyle w:val="PartSubtitle"/>
      </w:pPr>
      <w:r>
        <w:t>Cross-module contracts, reports, metrics, tasks, security, privacy, audit, logical entities, relationships, and master-data integrity.</w:t>
      </w:r>
    </w:p>
    <w:p>
      <w:pPr>
        <w:pStyle w:val="Heading1"/>
      </w:pPr>
      <w:r>
        <w:t>12. Integration</w:t>
      </w:r>
    </w:p>
    <w:tbl>
      <w:tblPr>
        <w:tblW w:type="dxa" w:w="10261"/>
        <w:jc w:val="center"/>
        <w:tblLayout w:type="fixed"/>
        <w:tblLook w:firstColumn="1" w:firstRow="1" w:lastColumn="0" w:lastRow="0" w:noHBand="0" w:noVBand="1" w:val="04A0"/>
      </w:tblPr>
      <w:tblGrid>
        <w:gridCol w:w="3240"/>
        <w:gridCol w:w="7021"/>
      </w:tblGrid>
      <w:tr>
        <w:trPr>
          <w:cantSplit/>
          <w:tblHeader w:val="true"/>
        </w:trPr>
        <w:tc>
          <w:tcPr>
            <w:tcW w:type="dxa" w:w="324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Module / service</w:t>
            </w:r>
          </w:p>
        </w:tc>
        <w:tc>
          <w:tcPr>
            <w:tcW w:type="dxa" w:w="702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MDS-1000 integration</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MDS-000 Core</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Uses tenant/company context, identity, permissions, entitlements, events, audit, search, attachments, import/export, notifications, observability, and common record conventions.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MDS-100 Dashboard</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Supplies authorized registry counts, quality metrics, recent changes, attention items, and navigation destinations; Dashboard never stores duplicate masters.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MDS-200 Sales &amp; Receivables</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Supplies Business Partners, Customer roles, contacts, products/services, prices, terms, tax and organization dimensions; receives transaction usage references.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MDS-300 Collections &amp; Receipts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Supplies customers, payees, collectors, payment methods, Cash Account references, currencies, and receipt-related classifications.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MDS-400 Purchases &amp; Payables</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Supplies Supplier roles, contacts, products/services, units, terms, tax, warehouses, projects, and purchasing classifications.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MDS-500 Payments &amp; Disbursements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Supplies payees, payment methods, terms, currencies, organization dimensions, and references to domain-owned Cash Accounts.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MDS-600 Inventory</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Supplies Products, Categories, Units, Warehouses, Stock Locations, identifiers, and organization dimensions; receives usage and validation status.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MDS-700 Cash Accounts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MDS-700 owns Cash Account profiles; MDS-1000 exposes search/catalog routing and shared references without duplicating account identity or balance.</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MDS-800 Expenses</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Supplies payees, Expense Categories, Account Titles, tax codes, projects, cost centers, currencies, and reimbursement-related identities.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MDS-900 Reports &amp; Analytics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Consumes versioned master dimensions, labels, hierarchies, effective dates, data-quality facts, and source contracts; owns shared report generation.</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MDS-1100 Settings &amp; Administration</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Provides registry configuration, required fields, lock behavior, permissions, approvals, localization, plan entitlements, import/export policy, and integration settings.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External systems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Uses approved APIs, external identifiers, import batches, synchronization contracts, and provenance; direct uncontrolled table writes are prohibited.</w:t>
            </w:r>
          </w:p>
        </w:tc>
      </w:tr>
    </w:tbl>
    <w:p>
      <w:pPr>
        <w:spacing w:after="0"/>
      </w:pPr>
    </w:p>
    <w:p>
      <w:pPr>
        <w:pStyle w:val="Heading2"/>
      </w:pPr>
      <w:r>
        <w:t>12.1 Registry Lookup and Reference Contract</w:t>
      </w:r>
    </w:p>
    <w:tbl>
      <w:tblPr>
        <w:tblW w:type="dxa" w:w="10261"/>
        <w:jc w:val="center"/>
        <w:tblLayout w:type="fixed"/>
        <w:tblLook w:firstColumn="1" w:firstRow="1" w:lastColumn="0" w:lastRow="0" w:noHBand="0" w:noVBand="1" w:val="04A0"/>
      </w:tblPr>
      <w:tblGrid>
        <w:gridCol w:w="2520"/>
        <w:gridCol w:w="7741"/>
      </w:tblGrid>
      <w:tr>
        <w:trPr>
          <w:cantSplit/>
          <w:tblHeader w:val="true"/>
        </w:trPr>
        <w:tc>
          <w:tcPr>
            <w:tcW w:type="dxa" w:w="252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Contract field</w:t>
            </w:r>
          </w:p>
        </w:tc>
        <w:tc>
          <w:tcPr>
            <w:tcW w:type="dxa" w:w="774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Required content</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Registry identity</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Owning module/service, registry type, stable ID, version, company scope, and responsible owner/steward.</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Selection eligibility</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Active/effective status, role, type, edition, permission, transaction context, currency/location restrictions, and dependency conditions.</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Search schema</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Permitted code, name, alias, identifier, category, contact, location, status, sort, paging, and relevance fields.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Display projection</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Business-friendly label, secondary label, status, role/type, masked identifiers, warnings, and source destination.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Snapshot contract</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Fields that the transaction must preserve at posting or issuance to explain historical meaning.</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Change event</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Record/version ID, change type, effective date, impacted dimensions, correlation identity, and safe cache/projection invalidation.</w:t>
            </w:r>
          </w:p>
        </w:tc>
      </w:tr>
      <w:tr>
        <w:tc>
          <w:tcPr>
            <w:tcW w:type="dxa" w:w="252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Security</w:t>
            </w:r>
          </w:p>
        </w:tc>
        <w:tc>
          <w:tcPr>
            <w:tcW w:type="dxa" w:w="774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Tenant/company scope, row and field permission, sensitive aggregation, export, API, logging, and privacy restrictions.</w:t>
            </w:r>
          </w:p>
        </w:tc>
      </w:tr>
      <w:tr>
        <w:tc>
          <w:tcPr>
            <w:tcW w:type="dxa" w:w="252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Availability</w:t>
            </w:r>
          </w:p>
        </w:tc>
        <w:tc>
          <w:tcPr>
            <w:tcW w:type="dxa" w:w="774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Timeout, retry, stale-cache behavior, fallback, dependency message, and no false creation or selection.</w:t>
            </w:r>
          </w:p>
        </w:tc>
      </w:tr>
    </w:tbl>
    <w:p>
      <w:pPr>
        <w:spacing w:after="0"/>
      </w:pPr>
    </w:p>
    <w:p>
      <w:pPr>
        <w:pStyle w:val="Heading2"/>
      </w:pPr>
      <w:r>
        <w:t>12.2 Transaction Snapshot and Change Propagation</w:t>
      </w:r>
    </w:p>
    <w:p>
      <w:pPr>
        <w:pStyle w:val="ListBullet"/>
      </w:pPr>
      <w:r>
        <w:rPr>
          <w:rFonts w:ascii="Inter" w:hAnsi="Inter" w:eastAsia="Inter"/>
          <w:color w:val="172033"/>
          <w:sz w:val="18"/>
        </w:rPr>
        <w:t>Transactions shall reference the master ID and preserve the approved snapshot fields required by their document and jurisdiction.</w:t>
      </w:r>
    </w:p>
    <w:p>
      <w:pPr>
        <w:pStyle w:val="ListBullet"/>
      </w:pPr>
      <w:r>
        <w:rPr>
          <w:rFonts w:ascii="Inter" w:hAnsi="Inter" w:eastAsia="Inter"/>
          <w:color w:val="172033"/>
          <w:sz w:val="18"/>
        </w:rPr>
        <w:t>A master change may refresh future defaults and reporting labels but shall not rewrite posted amounts, classifications, addresses, taxes, or names that must remain historical.</w:t>
      </w:r>
    </w:p>
    <w:p>
      <w:pPr>
        <w:pStyle w:val="ListBullet"/>
      </w:pPr>
      <w:r>
        <w:rPr>
          <w:rFonts w:ascii="Inter" w:hAnsi="Inter" w:eastAsia="Inter"/>
          <w:color w:val="172033"/>
          <w:sz w:val="18"/>
        </w:rPr>
        <w:t>Deactivation or merge events shall invalidate future selection caches and redirect authorized navigation without breaking existing source links.</w:t>
      </w:r>
    </w:p>
    <w:p>
      <w:pPr>
        <w:pStyle w:val="ListBullet"/>
      </w:pPr>
      <w:r>
        <w:rPr>
          <w:rFonts w:ascii="Inter" w:hAnsi="Inter" w:eastAsia="Inter"/>
          <w:color w:val="172033"/>
          <w:sz w:val="18"/>
        </w:rPr>
        <w:t>Reporting dimensions may use current or as-of hierarchy according to a documented definition; the chosen basis shall be explicit.</w:t>
      </w:r>
    </w:p>
    <w:p>
      <w:pPr>
        <w:pStyle w:val="Heading1"/>
      </w:pPr>
      <w:r>
        <w:t>13. Reports and Metrics</w:t>
      </w:r>
    </w:p>
    <w:p>
      <w:pPr/>
      <w:r>
        <w:rPr>
          <w:rFonts w:ascii="Inter" w:hAnsi="Inter" w:eastAsia="Inter"/>
          <w:color w:val="172033"/>
          <w:sz w:val="18"/>
        </w:rPr>
        <w:t>MDS-1000 owns registry report definitions and governed source facts. MDS-900 owns the consolidated catalog, shared parameters, generation, Display Report, export, scheduling, and cross-module analytics.</w:t>
      </w:r>
    </w:p>
    <w:tbl>
      <w:tblPr>
        <w:tblW w:type="dxa" w:w="10261"/>
        <w:jc w:val="center"/>
        <w:tblLayout w:type="fixed"/>
        <w:tblLook w:firstColumn="1" w:firstRow="1" w:lastColumn="0" w:lastRow="0" w:noHBand="0" w:noVBand="1" w:val="04A0"/>
      </w:tblPr>
      <w:tblGrid>
        <w:gridCol w:w="3240"/>
        <w:gridCol w:w="7021"/>
      </w:tblGrid>
      <w:tr>
        <w:trPr>
          <w:cantSplit/>
          <w:tblHeader w:val="true"/>
        </w:trPr>
        <w:tc>
          <w:tcPr>
            <w:tcW w:type="dxa" w:w="324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Report / view</w:t>
            </w:r>
          </w:p>
        </w:tc>
        <w:tc>
          <w:tcPr>
            <w:tcW w:type="dxa" w:w="702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Purpose</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Master Registry Directory</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Authorized list of records by registry, status, type, role, category, company, branch, and effective date.</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Business Partner Directory</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Customers, suppliers, contacts, roles, groups, addresses, identifiers, and active status.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Product &amp; Service Catalog</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Products/services, categories, units, identifiers, commercial defaults, and lifecycle status.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Registry Change History</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Creation, changes, approvals, deactivations, reactivations, merges, imports, and effective versions.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Duplicate Review Report</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Open candidates, score, evidence, age, owner, resolution, and merged records.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Data Completeness and Quality</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Missing required fields, invalid mappings, orphan relationships, stale values, expired references, and exception severity.</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Inactive and Referenced Records</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Inactive masters still used by open or historical transactions and their dependency status.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Category and Mapping Report</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Product/Expense categories, Account Title mappings, units, tax, terms, methods, hierarchy, and effective dates.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Import Batch History</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Batch source, user, counts, duplicates, creates, updates, skips, rejects, errors, and reconciliation.</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Master Usage and Unused Records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Where records are referenced, last ordinary use, potential cleanup, and retention considerations.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Sensitive Access and Export History</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Authorized views, exports, API access, merge, and high-risk change evidence where required.</w:t>
            </w:r>
          </w:p>
        </w:tc>
      </w:tr>
    </w:tbl>
    <w:p>
      <w:pPr>
        <w:spacing w:after="0"/>
      </w:pPr>
    </w:p>
    <w:p>
      <w:pPr>
        <w:pStyle w:val="Heading2"/>
      </w:pPr>
      <w:r>
        <w:t>13.1 Initial Governed Metrics</w:t>
      </w:r>
    </w:p>
    <w:tbl>
      <w:tblPr>
        <w:tblW w:type="dxa" w:w="10261"/>
        <w:jc w:val="center"/>
        <w:tblLayout w:type="fixed"/>
        <w:tblLook w:firstColumn="1" w:firstRow="1" w:lastColumn="0" w:lastRow="0" w:noHBand="0" w:noVBand="1" w:val="04A0"/>
      </w:tblPr>
      <w:tblGrid>
        <w:gridCol w:w="3168"/>
        <w:gridCol w:w="7093"/>
      </w:tblGrid>
      <w:tr>
        <w:trPr>
          <w:cantSplit/>
          <w:tblHeader w:val="true"/>
        </w:trPr>
        <w:tc>
          <w:tcPr>
            <w:tcW w:type="dxa" w:w="316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Metric</w:t>
            </w:r>
          </w:p>
        </w:tc>
        <w:tc>
          <w:tcPr>
            <w:tcW w:type="dxa" w:w="7093"/>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Definition</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Active records</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Count of active and currently effective records by registry and authorized scope.</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Completeness rate</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Records satisfying defined mandatory-field and mapping rules divided by records assessed.</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Duplicate candidate rate</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Open duplicate candidates divided by active records for the same registry and scope.</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Unresolved duplicate age</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Elapsed time since candidate creation for open duplicate cases.</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Inactive referenced records</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Inactive records still referenced by open or current operational processes.</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Invalid or missing mappings</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Records lacking required Account Title, category, unit, tax, location, or other governed relationships.</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Import acceptance rate</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Rows applied divided by valid rows submitted, with partial/failed rows disclosed separately.</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Master change volume</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Created, updated, deactivated, reactivated, merged, and archived records by period and registry.</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Unused active records</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Active records with no ordinary use according to the documented period and source scope.</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Data-quality exception closure</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Resolved quality cases divided by cases opened for the selected period and severity.</w:t>
            </w:r>
          </w:p>
        </w:tc>
      </w:tr>
    </w:tbl>
    <w:p>
      <w:pPr>
        <w:spacing w:after="0"/>
      </w:pPr>
    </w:p>
    <w:p>
      <w:pPr>
        <w:pStyle w:val="Heading2"/>
      </w:pPr>
      <w:r>
        <w:t>13.2 Metric Rules</w:t>
      </w:r>
    </w:p>
    <w:p>
      <w:pPr>
        <w:pStyle w:val="ListBullet"/>
      </w:pPr>
      <w:r>
        <w:rPr>
          <w:rFonts w:ascii="Inter" w:hAnsi="Inter" w:eastAsia="Inter"/>
          <w:color w:val="172033"/>
          <w:sz w:val="18"/>
        </w:rPr>
        <w:t>Every metric shall define registry scope, status/effective-date basis, company context, denominator, source, owner, and drill-down.</w:t>
      </w:r>
    </w:p>
    <w:p>
      <w:pPr>
        <w:pStyle w:val="ListBullet"/>
      </w:pPr>
      <w:r>
        <w:rPr>
          <w:rFonts w:ascii="Inter" w:hAnsi="Inter" w:eastAsia="Inter"/>
          <w:color w:val="172033"/>
          <w:sz w:val="18"/>
        </w:rPr>
        <w:t>Record counts shall not add incompatible registry types or duplicate role counts without explicit explanation.</w:t>
      </w:r>
    </w:p>
    <w:p>
      <w:pPr>
        <w:pStyle w:val="ListBullet"/>
      </w:pPr>
      <w:r>
        <w:rPr>
          <w:rFonts w:ascii="Inter" w:hAnsi="Inter" w:eastAsia="Inter"/>
          <w:color w:val="172033"/>
          <w:sz w:val="18"/>
        </w:rPr>
        <w:t>A merged record shall not inflate current active counts; historical merged identity remains available for audit and lookup.</w:t>
      </w:r>
    </w:p>
    <w:p>
      <w:pPr>
        <w:pStyle w:val="ListBullet"/>
      </w:pPr>
      <w:r>
        <w:rPr>
          <w:rFonts w:ascii="Inter" w:hAnsi="Inter" w:eastAsia="Inter"/>
          <w:color w:val="172033"/>
          <w:sz w:val="18"/>
        </w:rPr>
        <w:t>Current-hierarchy and as-of-hierarchy analysis shall remain distinct when organization or category structures change.</w:t>
      </w:r>
    </w:p>
    <w:p>
      <w:pPr>
        <w:pStyle w:val="ListBullet"/>
      </w:pPr>
      <w:r>
        <w:rPr>
          <w:rFonts w:ascii="Inter" w:hAnsi="Inter" w:eastAsia="Inter"/>
          <w:color w:val="172033"/>
          <w:sz w:val="18"/>
        </w:rPr>
        <w:t>Import batch success shall reconcile to row-level create, update, skip, reject, and error counts.</w:t>
      </w:r>
    </w:p>
    <w:p>
      <w:pPr>
        <w:pStyle w:val="Heading1"/>
      </w:pPr>
      <w:r>
        <w:t>14. Needs Attention, Action Center, and Notifications</w:t>
      </w:r>
    </w:p>
    <w:tbl>
      <w:tblPr>
        <w:tblW w:type="dxa" w:w="10261"/>
        <w:jc w:val="center"/>
        <w:tblLayout w:type="fixed"/>
        <w:tblLook w:firstColumn="1" w:firstRow="1" w:lastColumn="0" w:lastRow="0" w:noHBand="0" w:noVBand="1" w:val="04A0"/>
      </w:tblPr>
      <w:tblGrid>
        <w:gridCol w:w="3240"/>
        <w:gridCol w:w="7021"/>
      </w:tblGrid>
      <w:tr>
        <w:trPr>
          <w:cantSplit/>
          <w:tblHeader w:val="true"/>
        </w:trPr>
        <w:tc>
          <w:tcPr>
            <w:tcW w:type="dxa" w:w="324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Trigger</w:t>
            </w:r>
          </w:p>
        </w:tc>
        <w:tc>
          <w:tcPr>
            <w:tcW w:type="dxa" w:w="702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Required action / recipient</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Pending master approval</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Current approver reviews the record or change request within assigned scope.</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Probable duplicate</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Data steward or authorized maintainer compares evidence and resolves, defers, corrects, or proposes merge.</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Required mapping missing</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Responsible registry owner completes Account Title, category, UOM, tax, term, location, or other required relationship.</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Reference nearing expiry</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Owner reviews tax code, certificate, identifier, price list, agreement, or effective-dated record before expiry.</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Deactivation blocked</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Owner resolves open references, replacement, balances in the domain owner, or policy exception.</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Import partially completed or failed</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Uploader reviews row-level errors and retries only unresolved rows safely.</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Merge failed verification</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Data steward and support role investigate reference, permission, or dependency exceptions.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Orphan or invalid hierarchy</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Organization/category/location owner corrects missing parent, cycle, or date conflict.</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Sensitive record changed</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Designated owner, auditor, or affected approver receives material-change evidence where policy requires.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Unusually large or AI-flagged change</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Authorized reviewer examines source, suggested issue, confidence, and proposed correction.</w:t>
            </w:r>
          </w:p>
        </w:tc>
      </w:tr>
    </w:tbl>
    <w:p>
      <w:pPr>
        <w:spacing w:after="0"/>
      </w:pPr>
    </w:p>
    <w:p>
      <w:pPr>
        <w:pStyle w:val="Heading2"/>
      </w:pPr>
      <w:r>
        <w:t>14.1 Task and Notification Requirements</w:t>
      </w:r>
    </w:p>
    <w:p>
      <w:pPr>
        <w:pStyle w:val="ListBullet"/>
      </w:pPr>
      <w:r>
        <w:rPr>
          <w:rFonts w:ascii="Inter" w:hAnsi="Inter" w:eastAsia="Inter"/>
          <w:color w:val="172033"/>
          <w:sz w:val="18"/>
        </w:rPr>
        <w:t>Each task shall identify registry, record, authoritative source, owner/role, due date, priority, reason, current status, and permitted action.</w:t>
      </w:r>
    </w:p>
    <w:p>
      <w:pPr>
        <w:pStyle w:val="ListBullet"/>
      </w:pPr>
      <w:r>
        <w:rPr>
          <w:rFonts w:ascii="Inter" w:hAnsi="Inter" w:eastAsia="Inter"/>
          <w:color w:val="172033"/>
          <w:sz w:val="18"/>
        </w:rPr>
        <w:t>Completing a task shall update the authoritative master or change case and then refresh Dashboard/Needs Attention projections.</w:t>
      </w:r>
    </w:p>
    <w:p>
      <w:pPr>
        <w:pStyle w:val="ListBullet"/>
      </w:pPr>
      <w:r>
        <w:rPr>
          <w:rFonts w:ascii="Inter" w:hAnsi="Inter" w:eastAsia="Inter"/>
          <w:color w:val="172033"/>
          <w:sz w:val="18"/>
        </w:rPr>
        <w:t>Notifications shall respect tenant/company, field sensitivity, user preference, purpose, and duplicate-delivery controls.</w:t>
      </w:r>
    </w:p>
    <w:p>
      <w:pPr>
        <w:pStyle w:val="ListBullet"/>
      </w:pPr>
      <w:r>
        <w:rPr>
          <w:rFonts w:ascii="Inter" w:hAnsi="Inter" w:eastAsia="Inter"/>
          <w:color w:val="172033"/>
          <w:sz w:val="18"/>
        </w:rPr>
        <w:t>A notification is not proof that a record was approved, activated, merged, imported, deactivated, or corrected.</w:t>
      </w:r>
    </w:p>
    <w:p>
      <w:pPr>
        <w:pStyle w:val="Heading1"/>
      </w:pPr>
      <w:r>
        <w:t>15. Security, Privacy, and Audit</w:t>
      </w:r>
    </w:p>
    <w:tbl>
      <w:tblPr>
        <w:tblW w:type="dxa" w:w="10261"/>
        <w:jc w:val="center"/>
        <w:tblLayout w:type="fixed"/>
        <w:tblLook w:firstColumn="1" w:firstRow="1" w:lastColumn="0" w:lastRow="0" w:noHBand="0" w:noVBand="1" w:val="04A0"/>
      </w:tblPr>
      <w:tblGrid>
        <w:gridCol w:w="3384"/>
        <w:gridCol w:w="6877"/>
      </w:tblGrid>
      <w:tr>
        <w:trPr>
          <w:cantSplit/>
          <w:tblHeader w:val="true"/>
        </w:trPr>
        <w:tc>
          <w:tcPr>
            <w:tcW w:type="dxa" w:w="338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Role</w:t>
            </w:r>
          </w:p>
        </w:tc>
        <w:tc>
          <w:tcPr>
            <w:tcW w:type="dxa" w:w="6877"/>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Typical permissions</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 Owner / Administrator</w:t>
            </w:r>
          </w:p>
        </w:tc>
        <w:tc>
          <w:tcPr>
            <w:tcW w:type="dxa" w:w="6877"/>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Broad authorized oversight, approval, reporting, and exception access; not automatic access to every protected field.</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 Data Administrator / Steward</w:t>
            </w:r>
          </w:p>
        </w:tc>
        <w:tc>
          <w:tcPr>
            <w:tcW w:type="dxa" w:w="6877"/>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Create, review, approve, merge, deactivate, reactivate, import, resolve quality issues, and manage assigned registries.</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 Partner Maintainer</w:t>
            </w:r>
          </w:p>
        </w:tc>
        <w:tc>
          <w:tcPr>
            <w:tcW w:type="dxa" w:w="6877"/>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Maintain permitted parties, roles, contacts, addresses, groups, and commercial defaults.</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Product and Inventory Master Maintainer</w:t>
            </w:r>
          </w:p>
        </w:tc>
        <w:tc>
          <w:tcPr>
            <w:tcW w:type="dxa" w:w="6877"/>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Maintain products/services, categories, units, identifiers, warehouses, and locations; no stock-balance authority.</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Finance Registry Maintainer</w:t>
            </w:r>
          </w:p>
        </w:tc>
        <w:tc>
          <w:tcPr>
            <w:tcW w:type="dxa" w:w="6877"/>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Maintain permitted Expense Categories, Account Title mappings, payment methods/terms, tax codes, currencies, and financial dimensions.</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Organization / Project Maintainer</w:t>
            </w:r>
          </w:p>
        </w:tc>
        <w:tc>
          <w:tcPr>
            <w:tcW w:type="dxa" w:w="6877"/>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Maintain branches, departments, cost centers, projects, territories, and assigned hierarchies.</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Transaction User</w:t>
            </w:r>
          </w:p>
        </w:tc>
        <w:tc>
          <w:tcPr>
            <w:tcW w:type="dxa" w:w="6877"/>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Search, select, view permitted fields, and use contextual quick-create only where authorized.</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Auditor / Reviewer</w:t>
            </w:r>
          </w:p>
        </w:tc>
        <w:tc>
          <w:tcPr>
            <w:tcW w:type="dxa" w:w="6877"/>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Read-only access to records, versions, approvals, merges, imports, exports, usage, and control evidence.</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Integration Identity</w:t>
            </w:r>
          </w:p>
        </w:tc>
        <w:tc>
          <w:tcPr>
            <w:tcW w:type="dxa" w:w="6877"/>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Scoped API/search/import rights with no interactive or cross-tenant privilege.</w:t>
            </w:r>
          </w:p>
        </w:tc>
      </w:tr>
    </w:tbl>
    <w:p>
      <w:pPr>
        <w:spacing w:after="0"/>
      </w:pPr>
    </w:p>
    <w:p>
      <w:pPr>
        <w:pStyle w:val="Heading2"/>
      </w:pPr>
      <w:r>
        <w:t>15.1 Initial Permission Catalog</w:t>
      </w:r>
    </w:p>
    <w:tbl>
      <w:tblPr>
        <w:tblW w:type="dxa" w:w="10261"/>
        <w:jc w:val="center"/>
        <w:tblLayout w:type="fixed"/>
        <w:tblLook w:firstColumn="1" w:firstRow="1" w:lastColumn="0" w:lastRow="0" w:noHBand="0" w:noVBand="1" w:val="04A0"/>
      </w:tblPr>
      <w:tblGrid>
        <w:gridCol w:w="3312"/>
        <w:gridCol w:w="6949"/>
      </w:tblGrid>
      <w:tr>
        <w:trPr>
          <w:cantSplit/>
          <w:tblHeader w:val="true"/>
        </w:trPr>
        <w:tc>
          <w:tcPr>
            <w:tcW w:type="dxa" w:w="331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Permission area</w:t>
            </w:r>
          </w:p>
        </w:tc>
        <w:tc>
          <w:tcPr>
            <w:tcW w:type="dxa" w:w="694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Examples</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Discover registry</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View registry card/name and permitted count without protected record detail.</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View record / field</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View permitted identity, classification, contact, tax, personal, attachment, and relationship fields.</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Create / quick-create</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Create records in assigned registry and company scope.</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Update / classify</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Change ordinary descriptive fields, roles, categories, mappings, and relationships.</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Approve / activate</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Approve controlled changes and make eligible records active.</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Deactivate / reactivate</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Change future usability after dependency and reason checks.</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Duplicate review / merge</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View candidate evidence, propose/approve/apply merge, and verify references.</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Import / export</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Use templates, dry run, apply, download errors, and export permitted fields.</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Sensitive identifiers / attachments</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View or change protected personal, tax, registration, address, and evidence fields.</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Audit / usage history</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View changes, approvals, source references, sensitive access, and integration provenance.</w:t>
            </w:r>
          </w:p>
        </w:tc>
      </w:tr>
    </w:tbl>
    <w:p>
      <w:pPr>
        <w:spacing w:after="0"/>
      </w:pPr>
    </w:p>
    <w:p>
      <w:pPr>
        <w:pStyle w:val="Heading2"/>
      </w:pPr>
      <w:r>
        <w:t>15.2 Control Requirements</w:t>
      </w:r>
    </w:p>
    <w:p>
      <w:pPr>
        <w:pStyle w:val="ListBullet"/>
      </w:pPr>
      <w:r>
        <w:rPr>
          <w:rFonts w:ascii="Inter" w:hAnsi="Inter" w:eastAsia="Inter"/>
          <w:color w:val="172033"/>
          <w:sz w:val="18"/>
        </w:rPr>
        <w:t>Least privilege and server-side authorization shall apply to every record, field, action, import row, export field, API request, and background job.</w:t>
      </w:r>
    </w:p>
    <w:p>
      <w:pPr>
        <w:pStyle w:val="ListBullet"/>
      </w:pPr>
      <w:r>
        <w:rPr>
          <w:rFonts w:ascii="Inter" w:hAnsi="Inter" w:eastAsia="Inter"/>
          <w:color w:val="172033"/>
          <w:sz w:val="18"/>
        </w:rPr>
        <w:t>High-risk creation, bank-related reference, tax identifier, Account Title mapping, merge, deactivation, and bulk change may require approval and segregation of duties.</w:t>
      </w:r>
    </w:p>
    <w:p>
      <w:pPr>
        <w:pStyle w:val="ListBullet"/>
      </w:pPr>
      <w:r>
        <w:rPr>
          <w:rFonts w:ascii="Inter" w:hAnsi="Inter" w:eastAsia="Inter"/>
          <w:color w:val="172033"/>
          <w:sz w:val="18"/>
        </w:rPr>
        <w:t>Personal and contact data shall be collected only for valid business purposes and protected according to privacy, retention, and data-subject requirements.</w:t>
      </w:r>
    </w:p>
    <w:p>
      <w:pPr>
        <w:pStyle w:val="ListBullet"/>
      </w:pPr>
      <w:r>
        <w:rPr>
          <w:rFonts w:ascii="Inter" w:hAnsi="Inter" w:eastAsia="Inter"/>
          <w:color w:val="172033"/>
          <w:sz w:val="18"/>
        </w:rPr>
        <w:t>Attachments shall be malware-scanned, access-controlled, encrypted, and retained with tamper-evident metadata.</w:t>
      </w:r>
    </w:p>
    <w:p>
      <w:pPr>
        <w:pStyle w:val="ListBullet"/>
      </w:pPr>
      <w:r>
        <w:rPr>
          <w:rFonts w:ascii="Inter" w:hAnsi="Inter" w:eastAsia="Inter"/>
          <w:color w:val="172033"/>
          <w:sz w:val="18"/>
        </w:rPr>
        <w:t>Support or administrator access to protected records shall be explicit, logged, purpose-limited, and time-bound where practical.</w:t>
      </w:r>
    </w:p>
    <w:p>
      <w:pPr>
        <w:pStyle w:val="ListBullet"/>
      </w:pPr>
      <w:r>
        <w:rPr>
          <w:rFonts w:ascii="Inter" w:hAnsi="Inter" w:eastAsia="Inter"/>
          <w:color w:val="172033"/>
          <w:sz w:val="18"/>
        </w:rPr>
        <w:t>Audit history shall remain immutable and distinguish user entry, import, API, migration, merge, AI suggestion, and administrative change sources.</w:t>
      </w:r>
    </w:p>
    <w:p>
      <w:pPr>
        <w:pStyle w:val="Heading1"/>
      </w:pPr>
      <w:r>
        <w:t>16. Data Entities, Ownership, and Integrity</w:t>
      </w:r>
    </w:p>
    <w:p>
      <w:pPr/>
      <w:r>
        <w:rPr>
          <w:rFonts w:ascii="Inter" w:hAnsi="Inter" w:eastAsia="Inter"/>
          <w:color w:val="172033"/>
          <w:sz w:val="18"/>
        </w:rPr>
        <w:t>Final physical tables, indexes, constraints, partitions, views, and migration structures belong in DBS artifacts. MDS-1000 defines logical entities, ownership, relationships, lifecycle, and integrity requirements.</w:t>
      </w:r>
    </w:p>
    <w:tbl>
      <w:tblPr>
        <w:tblW w:type="dxa" w:w="10261"/>
        <w:jc w:val="center"/>
        <w:tblLayout w:type="fixed"/>
        <w:tblLook w:firstColumn="1" w:firstRow="1" w:lastColumn="0" w:lastRow="0" w:noHBand="0" w:noVBand="1" w:val="04A0"/>
      </w:tblPr>
      <w:tblGrid>
        <w:gridCol w:w="3312"/>
        <w:gridCol w:w="6949"/>
      </w:tblGrid>
      <w:tr>
        <w:trPr>
          <w:cantSplit/>
          <w:tblHeader w:val="true"/>
        </w:trPr>
        <w:tc>
          <w:tcPr>
            <w:tcW w:type="dxa" w:w="331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Entity</w:t>
            </w:r>
          </w:p>
        </w:tc>
        <w:tc>
          <w:tcPr>
            <w:tcW w:type="dxa" w:w="694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Purpose</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MasterRegistryDefinition</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Registry identity, owner, fields, statuses, permissions, duplicate rules, effective-date behavior, and entitlement metadata.</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MasterRecord</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Common stable identity, registry type, tenant/company, code, name, status, current version, owner/steward, and audit references.</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MasterRecordVersion</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Effective-dated or historical field state with reason, source, approval, and previous/next relationship.</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MasterAlias</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Prior name, alternate spelling, searchable alias, merged identity, or historical label.</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ExternalIdentifier</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Source system, identifier type/value, original form, normalized comparison value, effective date, and provenance.</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MasterRelationship</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Typed relationship among parties, contacts, categories, organizations, locations, projects, or other masters with effective dates.</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MasterRole</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Customer, Supplier, Payee, Contact, Employee-related, Salesperson, or other permitted role and its lifecycle.</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MasterAddress / ContactMethod</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Purpose-specific location and communication data with primary, validity, privacy, and verification attributes.</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MasterCategory / Hierarchy</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Category or organization tree, parent, level, sequence, path, effective dates, and anti-cycle controls.</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MasterMapping</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Effective-dated link between a master and Account Title, tax, category, unit, price, location, organization, or reporting dimension.</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MasterChangeRequest / Approval</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Requested change, before/after values, reason, requester, route, decisions, comments, and apply result.</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DuplicateCandidate / MergeRecord</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Candidate evidence, score, survivor, field decisions, approvals, redirected references, aliases, verification, and exception state.</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MasterImportBatch / ImportRow</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Source, mapping, file hash, idempotency, row values, validations, duplicates, result, error, and created/updated record.</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MasterUsageReference</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Governed record of where a master is used or queried for lifecycle impact, without replacing the source transaction.</w:t>
            </w:r>
          </w:p>
        </w:tc>
      </w:tr>
      <w:tr>
        <w:tc>
          <w:tcPr>
            <w:tcW w:type="dxa" w:w="331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MasterAttachment</w:t>
            </w:r>
          </w:p>
        </w:tc>
        <w:tc>
          <w:tcPr>
            <w:tcW w:type="dxa" w:w="694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Protected evidence, metadata, hash, purpose, access, retention, and record relationship.</w:t>
            </w:r>
          </w:p>
        </w:tc>
      </w:tr>
      <w:tr>
        <w:tc>
          <w:tcPr>
            <w:tcW w:type="dxa" w:w="331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MasterEventHistory</w:t>
            </w:r>
          </w:p>
        </w:tc>
        <w:tc>
          <w:tcPr>
            <w:tcW w:type="dxa" w:w="694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Immutable event, actor, source, previous/new state, reason, correlation, and downstream publication result.</w:t>
            </w:r>
          </w:p>
        </w:tc>
      </w:tr>
    </w:tbl>
    <w:p>
      <w:pPr>
        <w:spacing w:after="0"/>
      </w:pPr>
    </w:p>
    <w:p>
      <w:pPr>
        <w:pStyle w:val="Heading2"/>
      </w:pPr>
      <w:r>
        <w:t>16.1 Domain Entity Catalog</w:t>
      </w:r>
    </w:p>
    <w:tbl>
      <w:tblPr>
        <w:tblW w:type="dxa" w:w="10261"/>
        <w:jc w:val="center"/>
        <w:tblLayout w:type="fixed"/>
        <w:tblLook w:firstColumn="1" w:firstRow="1" w:lastColumn="0" w:lastRow="0" w:noHBand="0" w:noVBand="1" w:val="04A0"/>
      </w:tblPr>
      <w:tblGrid>
        <w:gridCol w:w="3600"/>
        <w:gridCol w:w="6661"/>
      </w:tblGrid>
      <w:tr>
        <w:trPr>
          <w:cantSplit/>
          <w:tblHeader w:val="true"/>
        </w:trPr>
        <w:tc>
          <w:tcPr>
            <w:tcW w:type="dxa" w:w="360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Domain entity</w:t>
            </w:r>
          </w:p>
        </w:tc>
        <w:tc>
          <w:tcPr>
            <w:tcW w:type="dxa" w:w="666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Key design</w:t>
            </w:r>
          </w:p>
        </w:tc>
      </w:tr>
      <w:tr>
        <w:tc>
          <w:tcPr>
            <w:tcW w:type="dxa" w:w="360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BusinessPartner / PartyRole</w:t>
            </w:r>
          </w:p>
        </w:tc>
        <w:tc>
          <w:tcPr>
            <w:tcW w:type="dxa" w:w="66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One shared party identity with Customer, Supplier, Payee, and other permitted role extensions.</w:t>
            </w:r>
          </w:p>
        </w:tc>
      </w:tr>
      <w:tr>
        <w:tc>
          <w:tcPr>
            <w:tcW w:type="dxa" w:w="360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Contact / Address</w:t>
            </w:r>
          </w:p>
        </w:tc>
        <w:tc>
          <w:tcPr>
            <w:tcW w:type="dxa" w:w="66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People and purpose-specific communication/location relationships with privacy controls.</w:t>
            </w:r>
          </w:p>
        </w:tc>
      </w:tr>
      <w:tr>
        <w:tc>
          <w:tcPr>
            <w:tcW w:type="dxa" w:w="360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ProductService / ProductCategory</w:t>
            </w:r>
          </w:p>
        </w:tc>
        <w:tc>
          <w:tcPr>
            <w:tcW w:type="dxa" w:w="66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Sell/purchase/service/stock attributes, category hierarchy, identifiers, status, and defaults.</w:t>
            </w:r>
          </w:p>
        </w:tc>
      </w:tr>
      <w:tr>
        <w:tc>
          <w:tcPr>
            <w:tcW w:type="dxa" w:w="360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UnitOfMeasure / UOMConversion</w:t>
            </w:r>
          </w:p>
        </w:tc>
        <w:tc>
          <w:tcPr>
            <w:tcW w:type="dxa" w:w="66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Standard unit identity, base-unit relation, precision, conversion factor, and validity.</w:t>
            </w:r>
          </w:p>
        </w:tc>
      </w:tr>
      <w:tr>
        <w:tc>
          <w:tcPr>
            <w:tcW w:type="dxa" w:w="360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PriceList / PaymentTerm / PaymentMethod</w:t>
            </w:r>
          </w:p>
        </w:tc>
        <w:tc>
          <w:tcPr>
            <w:tcW w:type="dxa" w:w="66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Commercial reference identity and defaults; transaction execution and behavior remain in source modules/settings.</w:t>
            </w:r>
          </w:p>
        </w:tc>
      </w:tr>
      <w:tr>
        <w:tc>
          <w:tcPr>
            <w:tcW w:type="dxa" w:w="360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ExpenseCategory / AccountTitle / TaxCode / Currency</w:t>
            </w:r>
          </w:p>
        </w:tc>
        <w:tc>
          <w:tcPr>
            <w:tcW w:type="dxa" w:w="66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Governed classifications and mappings with lock/effective-date behavior.</w:t>
            </w:r>
          </w:p>
        </w:tc>
      </w:tr>
      <w:tr>
        <w:tc>
          <w:tcPr>
            <w:tcW w:type="dxa" w:w="360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Warehouse / StockLocation</w:t>
            </w:r>
          </w:p>
        </w:tc>
        <w:tc>
          <w:tcPr>
            <w:tcW w:type="dxa" w:w="66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Location identity, hierarchy, branch relationship, type, and eligibility; no stock quantity.</w:t>
            </w:r>
          </w:p>
        </w:tc>
      </w:tr>
      <w:tr>
        <w:tc>
          <w:tcPr>
            <w:tcW w:type="dxa" w:w="360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OrganizationUnit / Branch / Department / CostCenter / ProfitCenter</w:t>
            </w:r>
          </w:p>
        </w:tc>
        <w:tc>
          <w:tcPr>
            <w:tcW w:type="dxa" w:w="66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Effective-dated non-circular organizational and reporting structures.</w:t>
            </w:r>
          </w:p>
        </w:tc>
      </w:tr>
      <w:tr>
        <w:tc>
          <w:tcPr>
            <w:tcW w:type="dxa" w:w="360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Employee / Contractor / SalesTerritory</w:t>
            </w:r>
          </w:p>
        </w:tc>
        <w:tc>
          <w:tcPr>
            <w:tcW w:type="dxa" w:w="666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Operational person and responsibility references; users/access remain MDS-1100.</w:t>
            </w:r>
          </w:p>
        </w:tc>
      </w:tr>
      <w:tr>
        <w:tc>
          <w:tcPr>
            <w:tcW w:type="dxa" w:w="360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Project / FixedAsset / AssetCategory</w:t>
            </w:r>
          </w:p>
        </w:tc>
        <w:tc>
          <w:tcPr>
            <w:tcW w:type="dxa" w:w="666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Shared project or asset identity and classification until dedicated operational modules own lifecycle transactions.</w:t>
            </w:r>
          </w:p>
        </w:tc>
      </w:tr>
    </w:tbl>
    <w:p>
      <w:pPr>
        <w:spacing w:after="0"/>
      </w:pPr>
    </w:p>
    <w:p>
      <w:pPr>
        <w:pStyle w:val="Heading2"/>
      </w:pPr>
      <w:r>
        <w:t>16.2 Identity, Version, and Reference Integrity</w:t>
      </w:r>
    </w:p>
    <w:p>
      <w:pPr>
        <w:pStyle w:val="ListBullet"/>
      </w:pPr>
      <w:r>
        <w:rPr>
          <w:rFonts w:ascii="Inter" w:hAnsi="Inter" w:eastAsia="Inter"/>
          <w:color w:val="172033"/>
          <w:sz w:val="18"/>
        </w:rPr>
        <w:t>Internal IDs shall be immutable and safe across tenant, migration, import, API, merge, backup, restore, and reporting operations.</w:t>
      </w:r>
    </w:p>
    <w:p>
      <w:pPr>
        <w:pStyle w:val="ListBullet"/>
      </w:pPr>
      <w:r>
        <w:rPr>
          <w:rFonts w:ascii="Inter" w:hAnsi="Inter" w:eastAsia="Inter"/>
          <w:color w:val="172033"/>
          <w:sz w:val="18"/>
        </w:rPr>
        <w:t>Optimistic concurrency or equivalent controls shall prevent stale updates from overwriting a newer master version.</w:t>
      </w:r>
    </w:p>
    <w:p>
      <w:pPr>
        <w:pStyle w:val="ListBullet"/>
      </w:pPr>
      <w:r>
        <w:rPr>
          <w:rFonts w:ascii="Inter" w:hAnsi="Inter" w:eastAsia="Inter"/>
          <w:color w:val="172033"/>
          <w:sz w:val="18"/>
        </w:rPr>
        <w:t>Unique constraints shall reflect the true business scope and shall not depend on a visually hidden application rule alone.</w:t>
      </w:r>
    </w:p>
    <w:p>
      <w:pPr>
        <w:pStyle w:val="ListBullet"/>
      </w:pPr>
      <w:r>
        <w:rPr>
          <w:rFonts w:ascii="Inter" w:hAnsi="Inter" w:eastAsia="Inter"/>
          <w:color w:val="172033"/>
          <w:sz w:val="18"/>
        </w:rPr>
        <w:t>Relationships shall enforce valid referenced records, allowed types, effective dates, and anti-cycle constraints at the service and database layers where practical.</w:t>
      </w:r>
    </w:p>
    <w:p>
      <w:pPr>
        <w:pStyle w:val="ListBullet"/>
      </w:pPr>
      <w:r>
        <w:rPr>
          <w:rFonts w:ascii="Inter" w:hAnsi="Inter" w:eastAsia="Inter"/>
          <w:color w:val="172033"/>
          <w:sz w:val="18"/>
        </w:rPr>
        <w:t>Merge and deactivation shall use transaction boundaries, durable work state, and verification so references are neither lost nor redirected twice.</w:t>
      </w:r>
    </w:p>
    <w:p>
      <w:pPr>
        <w:pStyle w:val="ListBullet"/>
      </w:pPr>
      <w:r>
        <w:rPr>
          <w:rFonts w:ascii="Inter" w:hAnsi="Inter" w:eastAsia="Inter"/>
          <w:color w:val="172033"/>
          <w:sz w:val="18"/>
        </w:rPr>
        <w:t>Caches, search indexes, reporting projections, and AI embeddings are derived and rebuildable; authoritative master records and history remain the source of truth.</w:t>
      </w:r>
    </w:p>
    <w:p>
      <w:r>
        <w:br w:type="page"/>
      </w:r>
    </w:p>
    <w:p>
      <w:pPr>
        <w:pStyle w:val="PartTitle"/>
      </w:pPr>
      <w:r>
        <w:t>PART IV</w:t>
      </w:r>
    </w:p>
    <w:p>
      <w:pPr>
        <w:pStyle w:val="PartName"/>
      </w:pPr>
      <w:r>
        <w:t>Product, Quality, and Evolution</w:t>
      </w:r>
    </w:p>
    <w:p>
      <w:pPr>
        <w:pStyle w:val="PartSubtitle"/>
      </w:pPr>
      <w:r>
        <w:t>Edition behavior, product experience, current workspace baseline, non-functional requirements, testing, AI controls, ERP expansion, and success indicators.</w:t>
      </w:r>
    </w:p>
    <w:p>
      <w:pPr>
        <w:pStyle w:val="Heading1"/>
      </w:pPr>
      <w:r>
        <w:t>17. Edition Availability</w:t>
      </w:r>
    </w:p>
    <w:p>
      <w:pPr/>
      <w:r>
        <w:rPr>
          <w:rFonts w:ascii="Inter" w:hAnsi="Inter" w:eastAsia="Inter"/>
          <w:color w:val="172033"/>
          <w:sz w:val="18"/>
        </w:rPr>
        <w:t>All editions use the same registry identities, relationships, events, security model, and audit architecture. Edition differences control which registries, volumes, organization complexity, governance, import, and automation capabilities are available.</w:t>
      </w:r>
    </w:p>
    <w:tbl>
      <w:tblPr>
        <w:tblW w:type="dxa" w:w="10261"/>
        <w:jc w:val="center"/>
        <w:tblLayout w:type="fixed"/>
        <w:tblLook w:firstColumn="1" w:firstRow="1" w:lastColumn="0" w:lastRow="0" w:noHBand="0" w:noVBand="1" w:val="04A0"/>
      </w:tblPr>
      <w:tblGrid>
        <w:gridCol w:w="2448"/>
        <w:gridCol w:w="1562"/>
        <w:gridCol w:w="1562"/>
        <w:gridCol w:w="1562"/>
        <w:gridCol w:w="1562"/>
        <w:gridCol w:w="1564"/>
      </w:tblGrid>
      <w:tr>
        <w:trPr>
          <w:cantSplit/>
          <w:tblHeader w:val="true"/>
        </w:trPr>
        <w:tc>
          <w:tcPr>
            <w:tcW w:type="dxa" w:w="244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4"/>
              </w:rPr>
              <w:t>Capability</w:t>
            </w:r>
          </w:p>
        </w:tc>
        <w:tc>
          <w:tcPr>
            <w:tcW w:type="dxa" w:w="156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4"/>
              </w:rPr>
              <w:t>Free</w:t>
            </w:r>
          </w:p>
        </w:tc>
        <w:tc>
          <w:tcPr>
            <w:tcW w:type="dxa" w:w="156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4"/>
              </w:rPr>
              <w:t>Startup</w:t>
            </w:r>
          </w:p>
        </w:tc>
        <w:tc>
          <w:tcPr>
            <w:tcW w:type="dxa" w:w="156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4"/>
              </w:rPr>
              <w:t>Pro</w:t>
            </w:r>
          </w:p>
        </w:tc>
        <w:tc>
          <w:tcPr>
            <w:tcW w:type="dxa" w:w="156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4"/>
              </w:rPr>
              <w:t>Advanced</w:t>
            </w:r>
          </w:p>
        </w:tc>
        <w:tc>
          <w:tcPr>
            <w:tcW w:type="dxa" w:w="156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4"/>
              </w:rPr>
              <w:t>ERP</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Customers and Suppliers</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governance</w:t>
            </w:r>
          </w:p>
        </w:tc>
      </w:tr>
      <w:tr>
        <w:tc>
          <w:tcPr>
            <w:tcW w:type="dxa" w:w="2448"/>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Products &amp; Services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4"/>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governance</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Product Categories and Units</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hierarchy</w:t>
            </w:r>
          </w:p>
        </w:tc>
      </w:tr>
      <w:tr>
        <w:tc>
          <w:tcPr>
            <w:tcW w:type="dxa" w:w="2448"/>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Expense Categories and Payment Methods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4"/>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reference management</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Account Titles</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Standard locked set</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Standard locked set</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Configurable approved set</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 configurable</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Full Chart of Accounts</w:t>
            </w:r>
          </w:p>
        </w:tc>
      </w:tr>
      <w:tr>
        <w:tc>
          <w:tcPr>
            <w:tcW w:type="dxa" w:w="2448"/>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Contacts per Business Partner</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Primary contact</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Multiple contacts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Multiple contacts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 relationships</w:t>
            </w:r>
          </w:p>
        </w:tc>
        <w:tc>
          <w:tcPr>
            <w:tcW w:type="dxa" w:w="1564"/>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party model</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Customer/Supplier Groups</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Not 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segmentation</w:t>
            </w:r>
          </w:p>
        </w:tc>
      </w:tr>
      <w:tr>
        <w:tc>
          <w:tcPr>
            <w:tcW w:type="dxa" w:w="2448"/>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Payment Terms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Standard terms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Custom terms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w:t>
            </w:r>
          </w:p>
        </w:tc>
        <w:tc>
          <w:tcPr>
            <w:tcW w:type="dxa" w:w="1564"/>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terms</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Price Lists</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Standard price only</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One custom list</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Multiple lists</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 rules</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pricing</w:t>
            </w:r>
          </w:p>
        </w:tc>
      </w:tr>
      <w:tr>
        <w:tc>
          <w:tcPr>
            <w:tcW w:type="dxa" w:w="2448"/>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Warehouses and Stock Locations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One primary warehouse</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One primary warehouse</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Multiple warehouses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Multiple locations/zones</w:t>
            </w:r>
          </w:p>
        </w:tc>
        <w:tc>
          <w:tcPr>
            <w:tcW w:type="dxa" w:w="1564"/>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WMS masters</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Tax Codes and Currencies</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Standard locked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Configurable basic</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 multi-currency</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localization</w:t>
            </w:r>
          </w:p>
        </w:tc>
      </w:tr>
      <w:tr>
        <w:tc>
          <w:tcPr>
            <w:tcW w:type="dxa" w:w="2448"/>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Projects and Basic Cost Centers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Not 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Not 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Basic</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4"/>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dimensions</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Branches, Departments, Profit Centers</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Not 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Not 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Not 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organization</w:t>
            </w:r>
          </w:p>
        </w:tc>
      </w:tr>
      <w:tr>
        <w:tc>
          <w:tcPr>
            <w:tcW w:type="dxa" w:w="2448"/>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Employees / Contractors / Territories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Not 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Not 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Basic salesperson references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4"/>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people masters</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Duplicate review and merge</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Warning and manual correction</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Enhanced warning</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Governed merge</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 stewardship</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MDM</w:t>
            </w:r>
          </w:p>
        </w:tc>
      </w:tr>
      <w:tr>
        <w:tc>
          <w:tcPr>
            <w:tcW w:type="dxa" w:w="2448"/>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Bulk import/export</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Template import for initial setup only</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Basic import/export</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Advanced/bulk</w:t>
            </w:r>
          </w:p>
        </w:tc>
        <w:tc>
          <w:tcPr>
            <w:tcW w:type="dxa" w:w="1564"/>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integration</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Approval and effective dating</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Owner control</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Basic approval where enabled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workflow</w:t>
            </w:r>
          </w:p>
        </w:tc>
      </w:tr>
      <w:tr>
        <w:tc>
          <w:tcPr>
            <w:tcW w:type="dxa" w:w="2448"/>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API and synchronization</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Core lookup APIs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Core lookup APIs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Authorized APIs</w:t>
            </w:r>
          </w:p>
        </w:tc>
        <w:tc>
          <w:tcPr>
            <w:tcW w:type="dxa" w:w="1562"/>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 integration</w:t>
            </w:r>
          </w:p>
        </w:tc>
        <w:tc>
          <w:tcPr>
            <w:tcW w:type="dxa" w:w="1564"/>
            <w:shd w:fill="F2F6FA" w:val="clear"/>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Enterprise MDM hub</w:t>
            </w:r>
          </w:p>
        </w:tc>
      </w:tr>
      <w:tr>
        <w:tc>
          <w:tcPr>
            <w:tcW w:type="dxa" w:w="2448"/>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color w:val="1A2D44"/>
                <w:sz w:val="14"/>
              </w:rPr>
              <w:t>AI-assisted data quality</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Not included</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Optional discovery</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Optional suggestions</w:t>
            </w:r>
          </w:p>
        </w:tc>
        <w:tc>
          <w:tcPr>
            <w:tcW w:type="dxa" w:w="1562"/>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Advanced suggestions</w:t>
            </w:r>
          </w:p>
        </w:tc>
        <w:tc>
          <w:tcPr>
            <w:tcW w:type="dxa" w:w="1564"/>
            <w:tcBorders>
              <w:top w:val="single" w:sz="6" w:space="0" w:color="4A4A4A"/>
              <w:start w:val="single" w:sz="6" w:space="0" w:color="4A4A4A"/>
              <w:bottom w:val="single" w:sz="6" w:space="0" w:color="4A4A4A"/>
              <w:end w:val="single" w:sz="6" w:space="0" w:color="4A4A4A"/>
            </w:tcBorders>
            <w:tcMar>
              <w:top w:w="45" w:type="dxa"/>
              <w:start w:w="70" w:type="dxa"/>
              <w:bottom w:w="45" w:type="dxa"/>
              <w:end w:w="70" w:type="dxa"/>
            </w:tcMar>
          </w:tcPr>
          <w:p>
            <w:pPr>
              <w:spacing w:after="0" w:before="0" w:line="240" w:lineRule="auto"/>
              <w:jc w:val="left"/>
            </w:pPr>
            <w:r>
              <w:rPr>
                <w:rFonts w:ascii="Inter" w:hAnsi="Inter" w:eastAsia="Inter"/>
                <w:b w:val="0"/>
                <w:color w:val="1A2D44"/>
                <w:sz w:val="14"/>
              </w:rPr>
              <w:t>Governed enterprise AI</w:t>
            </w:r>
          </w:p>
        </w:tc>
      </w:tr>
    </w:tbl>
    <w:p>
      <w:pPr>
        <w:spacing w:after="0"/>
      </w:pPr>
    </w:p>
    <w:tbl>
      <w:tblPr>
        <w:tblW w:type="dxa" w:w="10261"/>
        <w:jc w:val="center"/>
        <w:tblLayout w:type="fixed"/>
        <w:tblLook w:firstColumn="1" w:firstRow="1" w:lastColumn="0" w:lastRow="0" w:noHBand="0" w:noVBand="1" w:val="04A0"/>
      </w:tblPr>
      <w:tblGrid>
        <w:gridCol w:w="10261"/>
      </w:tblGrid>
      <w:tr>
        <w:trPr>
          <w:cantSplit/>
          <w:tblHeader/>
        </w:trPr>
        <w:tc>
          <w:tcPr>
            <w:tcW w:type="dxa" w:w="10261"/>
            <w:tcMar>
              <w:top w:w="90" w:type="dxa"/>
              <w:start w:w="110" w:type="dxa"/>
              <w:bottom w:w="90" w:type="dxa"/>
              <w:end w:w="110"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r>
              <w:rPr>
                <w:rFonts w:ascii="Inter" w:hAnsi="Inter" w:eastAsia="Inter"/>
                <w:b/>
                <w:color w:val="1A2D44"/>
                <w:sz w:val="19"/>
              </w:rPr>
              <w:t xml:space="preserve">EDITION RULE  </w:t>
            </w:r>
            <w:r>
              <w:rPr>
                <w:rFonts w:ascii="Inter" w:hAnsi="Inter" w:eastAsia="Inter"/>
                <w:color w:val="1A2D44"/>
                <w:sz w:val="19"/>
              </w:rPr>
              <w:t>Upgrade unlocks capability over the same records. Downgrade preserves records and history, blocks unsafe new use, and provides safe read-only or restricted behavior instead of deleting master data.</w:t>
            </w:r>
          </w:p>
        </w:tc>
      </w:tr>
    </w:tbl>
    <w:p>
      <w:pPr>
        <w:spacing w:after="0"/>
      </w:pPr>
    </w:p>
    <w:p>
      <w:pPr>
        <w:pStyle w:val="Heading1"/>
      </w:pPr>
      <w:r>
        <w:t>18. Product Experience and Current UI Baseline</w:t>
      </w:r>
    </w:p>
    <w:p>
      <w:pPr/>
      <w:r>
        <w:rPr>
          <w:rFonts w:ascii="Inter" w:hAnsi="Inter" w:eastAsia="Inter"/>
          <w:color w:val="172033"/>
          <w:sz w:val="18"/>
        </w:rPr>
        <w:t>The Master Registries workspace shall be a simple directory of the operational records entrepreneurs use every day. It shall group registries by business meaning, provide strong search and dominant create actions, and avoid mixing ordinary master maintenance with system configuration.</w:t>
      </w:r>
    </w:p>
    <w:tbl>
      <w:tblPr>
        <w:tblW w:type="dxa" w:w="10261"/>
        <w:jc w:val="center"/>
        <w:tblLayout w:type="fixed"/>
        <w:tblLook w:firstColumn="1" w:firstRow="1" w:lastColumn="0" w:lastRow="0" w:noHBand="0" w:noVBand="1" w:val="04A0"/>
      </w:tblPr>
      <w:tblGrid>
        <w:gridCol w:w="2952"/>
        <w:gridCol w:w="7309"/>
      </w:tblGrid>
      <w:tr>
        <w:trPr>
          <w:cantSplit/>
          <w:tblHeader w:val="true"/>
        </w:trPr>
        <w:tc>
          <w:tcPr>
            <w:tcW w:type="dxa" w:w="295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Workspace element</w:t>
            </w:r>
          </w:p>
        </w:tc>
        <w:tc>
          <w:tcPr>
            <w:tcW w:type="dxa" w:w="730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Current baseline / direction</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Official workspace name</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Master Registries.</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Purpose statement</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Maintain the people, products, places, categories, and reference records used across SimpleBIZ.</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Prominent actions</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Add Customer, Add Product/Service, Add Supplier; exact action priority remains governed by WF/UI.</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Free registry set</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Customers; Suppliers; Products &amp; Services; Product Categories; Units of Measure; Expense Categories; Payment Methods; Cash Accounts as a routed MDS-700 destination.</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Grouped navigation</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Business Partners; Products &amp; Services; Finance; Inventory &amp; Locations; Organization; People; Assets &amp; Projects; Reference Lists.</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Attention area</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Duplicate candidates, missing mappings, incomplete records, expiring references, import errors, and blocked deactivation/merge.</w:t>
            </w:r>
          </w:p>
        </w:tc>
      </w:tr>
      <w:tr>
        <w:tc>
          <w:tcPr>
            <w:tcW w:type="dxa" w:w="295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Supporting functions</w:t>
            </w:r>
          </w:p>
        </w:tc>
        <w:tc>
          <w:tcPr>
            <w:tcW w:type="dxa" w:w="730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Registry search, recently used, data import, data quality, record history, aliases, relationships, usage, and authorized Settings routes.</w:t>
            </w:r>
          </w:p>
        </w:tc>
      </w:tr>
      <w:tr>
        <w:tc>
          <w:tcPr>
            <w:tcW w:type="dxa" w:w="295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Multiple Entry Points</w:t>
            </w:r>
          </w:p>
        </w:tc>
        <w:tc>
          <w:tcPr>
            <w:tcW w:type="dxa" w:w="730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Transaction quick-create, global search, Dashboard, source record detail, import review, and Master Registries all route to one authoritative process.</w:t>
            </w:r>
          </w:p>
        </w:tc>
      </w:tr>
    </w:tbl>
    <w:p>
      <w:pPr>
        <w:spacing w:after="0"/>
      </w:pPr>
    </w:p>
    <w:p>
      <w:pPr>
        <w:pStyle w:val="Heading2"/>
      </w:pPr>
      <w:r>
        <w:t>18.1 UX Requirements</w:t>
      </w:r>
    </w:p>
    <w:p>
      <w:pPr>
        <w:pStyle w:val="ListBullet"/>
      </w:pPr>
      <w:r>
        <w:rPr>
          <w:rFonts w:ascii="Inter" w:hAnsi="Inter" w:eastAsia="Inter"/>
          <w:color w:val="172033"/>
          <w:sz w:val="18"/>
        </w:rPr>
        <w:t>Use business-friendly labels such as Customer, Supplier, Product, Service, Category, Unit, Warehouse, Contact, Payment Term, and Expense Category.</w:t>
      </w:r>
    </w:p>
    <w:p>
      <w:pPr>
        <w:pStyle w:val="ListBullet"/>
      </w:pPr>
      <w:r>
        <w:rPr>
          <w:rFonts w:ascii="Inter" w:hAnsi="Inter" w:eastAsia="Inter"/>
          <w:color w:val="172033"/>
          <w:sz w:val="18"/>
        </w:rPr>
        <w:t>Show the record’s role, status, code/identifier, company scope, primary contact/location, and important warnings without overwhelming the list view.</w:t>
      </w:r>
    </w:p>
    <w:p>
      <w:pPr>
        <w:pStyle w:val="ListBullet"/>
      </w:pPr>
      <w:r>
        <w:rPr>
          <w:rFonts w:ascii="Inter" w:hAnsi="Inter" w:eastAsia="Inter"/>
          <w:color w:val="172033"/>
          <w:sz w:val="18"/>
        </w:rPr>
        <w:t>Use progressive disclosure for tax, accounting mapping, hierarchy, effective dates, advanced identifiers, stewardship, and ERP fields.</w:t>
      </w:r>
    </w:p>
    <w:p>
      <w:pPr>
        <w:pStyle w:val="ListBullet"/>
      </w:pPr>
      <w:r>
        <w:rPr>
          <w:rFonts w:ascii="Inter" w:hAnsi="Inter" w:eastAsia="Inter"/>
          <w:color w:val="172033"/>
          <w:sz w:val="18"/>
        </w:rPr>
        <w:t>Quick-create shall remain focused and shall not expose every registry field when only a safe minimum is required.</w:t>
      </w:r>
    </w:p>
    <w:p>
      <w:pPr>
        <w:pStyle w:val="ListBullet"/>
      </w:pPr>
      <w:r>
        <w:rPr>
          <w:rFonts w:ascii="Inter" w:hAnsi="Inter" w:eastAsia="Inter"/>
          <w:color w:val="172033"/>
          <w:sz w:val="18"/>
        </w:rPr>
        <w:t>Duplicate warnings shall explain why records may match and provide comparison without disclosing unauthorized fields.</w:t>
      </w:r>
    </w:p>
    <w:p>
      <w:pPr>
        <w:pStyle w:val="ListBullet"/>
      </w:pPr>
      <w:r>
        <w:rPr>
          <w:rFonts w:ascii="Inter" w:hAnsi="Inter" w:eastAsia="Inter"/>
          <w:color w:val="172033"/>
          <w:sz w:val="18"/>
        </w:rPr>
        <w:t>Deactivation and merge dialogs shall explain downstream impact, open dependencies, retained history, and irreversible consequences.</w:t>
      </w:r>
    </w:p>
    <w:p>
      <w:pPr>
        <w:pStyle w:val="ListBullet"/>
      </w:pPr>
      <w:r>
        <w:rPr>
          <w:rFonts w:ascii="Inter" w:hAnsi="Inter" w:eastAsia="Inter"/>
          <w:color w:val="172033"/>
          <w:sz w:val="18"/>
        </w:rPr>
        <w:t>Desktop, tablet, and mobile layouts shall preserve search, selection, creation, review, and correction tasks; dense stewardship grids may use responsive alternatives.</w:t>
      </w:r>
    </w:p>
    <w:p>
      <w:pPr>
        <w:pStyle w:val="ListBullet"/>
      </w:pPr>
      <w:r>
        <w:rPr>
          <w:rFonts w:ascii="Inter" w:hAnsi="Inter" w:eastAsia="Inter"/>
          <w:color w:val="172033"/>
          <w:sz w:val="18"/>
        </w:rPr>
        <w:t>Keyboard use, visible focus, screen readers, accessible validation, sufficient contrast, touch targets, and readable export shall follow UID-000.</w:t>
      </w:r>
    </w:p>
    <w:p>
      <w:pPr>
        <w:pStyle w:val="Heading1"/>
      </w:pPr>
      <w:r>
        <w:t>19. Quality, Testing, and AI Readiness</w:t>
      </w:r>
    </w:p>
    <w:p>
      <w:pPr>
        <w:pStyle w:val="Heading2"/>
      </w:pPr>
      <w:r>
        <w:t>19.1 Non-Functional Requirements</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Quality attribute</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Requirement</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Performance</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Common lookup/search should return promptly under supported volumes; large imports, exports, merge verification, and quality scans shall be asynchronous and observable.</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Scalability</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Architecture shall support SimpleBIZ Free through multi-company, multi-language, high-volume enterprise master-data workloads.</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Reliability</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Create, update, import, merge, deactivation, event publication, and cache invalidation shall be atomic or recoverable, idempotent, and retry-safe.</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Data integrity</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Identity, uniqueness, effective dates, hierarchy, mappings, references, merge survivorship, and version history shall reconcile at all times.</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Security and privacy</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Sensitive data shall be encrypted, access-controlled, minimized, monitored, and protected in UI, API, import, export, logs, backups, and AI contexts.</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Availability</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Ordinary transaction lookup shall degrade safely; unavailable master services shall not create local duplicates or false selections.</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Accessibility</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Workspace, forms, comparisons, lists, grids, dialogs, errors, imports, and exports shall meet approved accessibility standards.</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Localization</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Names, addresses, scripts, languages, units, currencies, identifiers, tax references, sorting, and formats shall support configured jurisdictions.</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Observability</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Events, failures, latency, duplicate checks, merge/import progress, cache invalidation, and API usage shall carry correlation identity and measurable outcomes.</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Maintainability</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Registry rules, schemas, duplicate policies, mappings, and UI components shall be modular, versioned, tested, documented, and free of duplicated ownership.</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Portability and recovery</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Backups, restore, migration, import, export, and tenant portability shall preserve stable IDs, relationships, versions, aliases, merges, and audit continuity.</w:t>
            </w:r>
          </w:p>
        </w:tc>
      </w:tr>
    </w:tbl>
    <w:p>
      <w:pPr>
        <w:spacing w:after="0"/>
      </w:pPr>
    </w:p>
    <w:p>
      <w:pPr>
        <w:pStyle w:val="Heading2"/>
      </w:pPr>
      <w:r>
        <w:t>19.2 Minimum Test Coverage</w:t>
      </w:r>
    </w:p>
    <w:tbl>
      <w:tblPr>
        <w:tblW w:type="dxa" w:w="10261"/>
        <w:jc w:val="center"/>
        <w:tblLayout w:type="fixed"/>
        <w:tblLook w:firstColumn="1" w:firstRow="1" w:lastColumn="0" w:lastRow="0" w:noHBand="0" w:noVBand="1" w:val="04A0"/>
      </w:tblPr>
      <w:tblGrid>
        <w:gridCol w:w="2880"/>
        <w:gridCol w:w="7381"/>
      </w:tblGrid>
      <w:tr>
        <w:trPr>
          <w:cantSplit/>
          <w:tblHeader w:val="true"/>
        </w:trPr>
        <w:tc>
          <w:tcPr>
            <w:tcW w:type="dxa" w:w="288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Test domain</w:t>
            </w:r>
          </w:p>
        </w:tc>
        <w:tc>
          <w:tcPr>
            <w:tcW w:type="dxa" w:w="738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Minimum coverage</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Identity and lifecycle</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Create, draft, approve, activate, update, effective-date change, deactivate, reactivate, supersede, merge, archive, and historical lookup.</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 Partner</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Customer/Supplier dual role, contact/address primary rules, role deactivation, groups, terms, identifiers, and privacy.</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Product and reference</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Product/service types, category cycles, UOM conversion, price reference, Expense Category mapping, tax, currency, and Account Title lock behavior.</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Duplicate and merge</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Exact/near matches, false positives, legal distinction, survivor decisions, references, aliases, concurrency, partial failure, verification, and audit.</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Import/export/API</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Template mapping, dry run, idempotency, row errors, partial completion, large files, formula injection, permissions, masking, expiry, and retry.</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Integration</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Quick-create from all relevant modules, lookups, snapshots, effective changes, deactivation, merge events, cache/search/report refresh, and domain-delegated routes.</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Security/privacy</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Tenant isolation, record/field/action scope, sensitive identifiers, attachments, direct URL/API, bulk operations, support access, logs, and data retention.</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Edition</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Included, locked, excluded, upgrade, downgrade, read-only history, preserved records, and safe entitlement changes.</w:t>
            </w:r>
          </w:p>
        </w:tc>
      </w:tr>
      <w:tr>
        <w:tc>
          <w:tcPr>
            <w:tcW w:type="dxa" w:w="288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Accessibility/UX</w:t>
            </w:r>
          </w:p>
        </w:tc>
        <w:tc>
          <w:tcPr>
            <w:tcW w:type="dxa" w:w="738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Keyboard, focus, labels, errors, duplicate comparison, responsive tables, mobile quick-create, screen reader, contrast, zoom, and export readability.</w:t>
            </w:r>
          </w:p>
        </w:tc>
      </w:tr>
      <w:tr>
        <w:tc>
          <w:tcPr>
            <w:tcW w:type="dxa" w:w="288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Performance/recovery</w:t>
            </w:r>
          </w:p>
        </w:tc>
        <w:tc>
          <w:tcPr>
            <w:tcW w:type="dxa" w:w="738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High-volume lookup, concurrent updates, import burst, merge, restore, search rebuild, stale cache, service failure, and correlation tracing.</w:t>
            </w:r>
          </w:p>
        </w:tc>
      </w:tr>
    </w:tbl>
    <w:p>
      <w:pPr>
        <w:spacing w:after="0"/>
      </w:pPr>
    </w:p>
    <w:p>
      <w:pPr>
        <w:pStyle w:val="Heading2"/>
      </w:pPr>
      <w:r>
        <w:t>19.3 AI-Ready Controls</w:t>
      </w:r>
    </w:p>
    <w:p>
      <w:pPr/>
      <w:r>
        <w:rPr>
          <w:rFonts w:ascii="Inter" w:hAnsi="Inter" w:eastAsia="Inter"/>
          <w:color w:val="172033"/>
          <w:sz w:val="18"/>
        </w:rPr>
        <w:t>Structured registry data may support AI-assisted duplicate detection, name/address normalization, product classification, category/account mapping, missing-field detection, relationship suggestion, and data-quality prioritization.</w:t>
      </w:r>
    </w:p>
    <w:p>
      <w:pPr>
        <w:pStyle w:val="ListBullet"/>
      </w:pPr>
      <w:r>
        <w:rPr>
          <w:rFonts w:ascii="Inter" w:hAnsi="Inter" w:eastAsia="Inter"/>
          <w:color w:val="172033"/>
          <w:sz w:val="18"/>
        </w:rPr>
        <w:t>Every suggestion shall identify its source fields or evidence, confidence or uncertainty where practical, and the user action required to accept or reject it.</w:t>
      </w:r>
    </w:p>
    <w:p>
      <w:pPr>
        <w:pStyle w:val="ListBullet"/>
      </w:pPr>
      <w:r>
        <w:rPr>
          <w:rFonts w:ascii="Inter" w:hAnsi="Inter" w:eastAsia="Inter"/>
          <w:color w:val="172033"/>
          <w:sz w:val="18"/>
        </w:rPr>
        <w:t>AI shall inherit tenant, company, registry, record, and field permissions and shall not infer or expose unauthorized values.</w:t>
      </w:r>
    </w:p>
    <w:p>
      <w:pPr>
        <w:pStyle w:val="ListBullet"/>
      </w:pPr>
      <w:r>
        <w:rPr>
          <w:rFonts w:ascii="Inter" w:hAnsi="Inter" w:eastAsia="Inter"/>
          <w:color w:val="172033"/>
          <w:sz w:val="18"/>
        </w:rPr>
        <w:t>AI shall not fabricate tax identifiers, legal names, registration status, bank details, product attributes, approvals, or source documents.</w:t>
      </w:r>
    </w:p>
    <w:p>
      <w:pPr>
        <w:pStyle w:val="ListBullet"/>
      </w:pPr>
      <w:r>
        <w:rPr>
          <w:rFonts w:ascii="Inter" w:hAnsi="Inter" w:eastAsia="Inter"/>
          <w:color w:val="172033"/>
          <w:sz w:val="18"/>
        </w:rPr>
        <w:t>Activation, deactivation, merge, archive, Account Title mapping, tax classification, and other material changes require the same human approval and audit controls whether AI-assisted or manual.</w:t>
      </w:r>
    </w:p>
    <w:p>
      <w:pPr>
        <w:pStyle w:val="ListBullet"/>
      </w:pPr>
      <w:r>
        <w:rPr>
          <w:rFonts w:ascii="Inter" w:hAnsi="Inter" w:eastAsia="Inter"/>
          <w:color w:val="172033"/>
          <w:sz w:val="18"/>
        </w:rPr>
        <w:t>A complete non-AI workflow shall remain available, and AI failure shall not block ordinary registry maintenance.</w:t>
      </w:r>
    </w:p>
    <w:p>
      <w:pPr>
        <w:pStyle w:val="ListBullet"/>
      </w:pPr>
      <w:r>
        <w:rPr>
          <w:rFonts w:ascii="Inter" w:hAnsi="Inter" w:eastAsia="Inter"/>
          <w:color w:val="172033"/>
          <w:sz w:val="18"/>
        </w:rPr>
        <w:t>Use of tenant data for model improvement shall follow approved privacy, consent, security, and contractual controls.</w:t>
      </w:r>
    </w:p>
    <w:p>
      <w:pPr>
        <w:pStyle w:val="Heading1"/>
      </w:pPr>
      <w:r>
        <w:t>20. Future ERP Expansion and Success Indicators</w:t>
      </w:r>
    </w:p>
    <w:p>
      <w:pPr>
        <w:pStyle w:val="Heading2"/>
      </w:pPr>
      <w:r>
        <w:t>20.1 Future ERP Expansion</w:t>
      </w:r>
    </w:p>
    <w:tbl>
      <w:tblPr>
        <w:tblW w:type="dxa" w:w="10261"/>
        <w:jc w:val="center"/>
        <w:tblLayout w:type="fixed"/>
        <w:tblLook w:firstColumn="1" w:firstRow="1" w:lastColumn="0" w:lastRow="0" w:noHBand="0" w:noVBand="1" w:val="04A0"/>
      </w:tblPr>
      <w:tblGrid>
        <w:gridCol w:w="3240"/>
        <w:gridCol w:w="7021"/>
      </w:tblGrid>
      <w:tr>
        <w:trPr>
          <w:cantSplit/>
          <w:tblHeader w:val="true"/>
        </w:trPr>
        <w:tc>
          <w:tcPr>
            <w:tcW w:type="dxa" w:w="324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Capability</w:t>
            </w:r>
          </w:p>
        </w:tc>
        <w:tc>
          <w:tcPr>
            <w:tcW w:type="dxa" w:w="7021"/>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Expansion direction</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Enterprise Master Data Governance</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Data-owner/steward roles, change workflow, policy, quality scorecards, issue queues, service levels, certification, and audit.</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Global Business Partner / Golden Record</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Multi-source matching, survivorship, legal entity/person modeling, global/local attributes, consent, sanctions/watchlist integration, and relationship graph.</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Enterprise Product Information</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Variants, attributes, catalogs, media, lifecycle, bundles, packaging, multiple UOMs, global/local descriptions, and channel publication.</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Organization and Financial Dimensions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Legal entities, business units, divisions, operating units, branches, departments, cost/profit centers, territories, intercompany relationships, and effective hierarchies.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Procurement and Supplier Masters</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Supplier qualification, classifications, contracts, catalogs, risk, diversity, compliance, performance, and sourcing references.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Manufacturing Masters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Bills of material, routings, work centers, resources, formulas, versions, engineering change, and quality specifications.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HR and Payroll Masters</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Employees, positions, jobs, grades, payroll references, benefits, skills, organizational assignment, and protected-person controls.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Service and Maintenance Masters</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Equipment, service items, warranties, contracts, service locations, technicians, maintenance plans, and spare-part relationships.</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Enterprise Asset and Project Registries</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Asset classes, components, locations, custodians, depreciation references, projects, phases, work breakdown, grants, and funding sources.</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Reference Data Management</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Global/local code sets, translation, effective publication, dependency, regulatory updates, and API distribution.</w:t>
            </w:r>
          </w:p>
        </w:tc>
      </w:tr>
      <w:tr>
        <w:tc>
          <w:tcPr>
            <w:tcW w:type="dxa" w:w="324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Integration and MDM Hub</w:t>
            </w:r>
          </w:p>
        </w:tc>
        <w:tc>
          <w:tcPr>
            <w:tcW w:type="dxa" w:w="7021"/>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Source-system registry, external IDs, synchronization, event streaming, canonical APIs, bulk governance, conflict resolution, and data lineage.</w:t>
            </w:r>
          </w:p>
        </w:tc>
      </w:tr>
      <w:tr>
        <w:tc>
          <w:tcPr>
            <w:tcW w:type="dxa" w:w="324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AI and Automation</w:t>
            </w:r>
          </w:p>
        </w:tc>
        <w:tc>
          <w:tcPr>
            <w:tcW w:type="dxa" w:w="7021"/>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Explainable matching, classification, enrichment, anomaly detection, steward prioritization, and natural-language discovery with human accountability.</w:t>
            </w:r>
          </w:p>
        </w:tc>
      </w:tr>
    </w:tbl>
    <w:p>
      <w:pPr>
        <w:spacing w:after="0"/>
      </w:pPr>
    </w:p>
    <w:p>
      <w:pPr>
        <w:pStyle w:val="Heading2"/>
      </w:pPr>
      <w:r>
        <w:t>20.2 Success Indicators</w:t>
      </w:r>
    </w:p>
    <w:p>
      <w:pPr>
        <w:pStyle w:val="ListBullet"/>
      </w:pPr>
      <w:r>
        <w:rPr>
          <w:rFonts w:ascii="Inter" w:hAnsi="Inter" w:eastAsia="Inter"/>
          <w:color w:val="172033"/>
          <w:sz w:val="18"/>
        </w:rPr>
        <w:t>Transactions reuse one authoritative customer, supplier, product, service, category, unit, location, and other shared identity instead of creating local copies.</w:t>
      </w:r>
    </w:p>
    <w:p>
      <w:pPr>
        <w:pStyle w:val="ListBullet"/>
      </w:pPr>
      <w:r>
        <w:rPr>
          <w:rFonts w:ascii="Inter" w:hAnsi="Inter" w:eastAsia="Inter"/>
          <w:color w:val="172033"/>
          <w:sz w:val="18"/>
        </w:rPr>
        <w:t>Users can find or safely create the correct record without understanding internal module boundaries.</w:t>
      </w:r>
    </w:p>
    <w:p>
      <w:pPr>
        <w:pStyle w:val="ListBullet"/>
      </w:pPr>
      <w:r>
        <w:rPr>
          <w:rFonts w:ascii="Inter" w:hAnsi="Inter" w:eastAsia="Inter"/>
          <w:color w:val="172033"/>
          <w:sz w:val="18"/>
        </w:rPr>
        <w:t>A Business Partner can act in multiple valid roles while balances and histories remain owned by the correct transaction modules.</w:t>
      </w:r>
    </w:p>
    <w:p>
      <w:pPr>
        <w:pStyle w:val="ListBullet"/>
      </w:pPr>
      <w:r>
        <w:rPr>
          <w:rFonts w:ascii="Inter" w:hAnsi="Inter" w:eastAsia="Inter"/>
          <w:color w:val="172033"/>
          <w:sz w:val="18"/>
        </w:rPr>
        <w:t>Duplicate, incomplete, invalid, expired, orphaned, and unmapped records are visible, assigned, and recoverable.</w:t>
      </w:r>
    </w:p>
    <w:p>
      <w:pPr>
        <w:pStyle w:val="ListBullet"/>
      </w:pPr>
      <w:r>
        <w:rPr>
          <w:rFonts w:ascii="Inter" w:hAnsi="Inter" w:eastAsia="Inter"/>
          <w:color w:val="172033"/>
          <w:sz w:val="18"/>
        </w:rPr>
        <w:t>Historical documents remain explainable after master changes, deactivation, role changes, or merge.</w:t>
      </w:r>
    </w:p>
    <w:p>
      <w:pPr>
        <w:pStyle w:val="ListBullet"/>
      </w:pPr>
      <w:r>
        <w:rPr>
          <w:rFonts w:ascii="Inter" w:hAnsi="Inter" w:eastAsia="Inter"/>
          <w:color w:val="172033"/>
          <w:sz w:val="18"/>
        </w:rPr>
        <w:t>Contextual quick-create is fast and uses the same controls as the central registry.</w:t>
      </w:r>
    </w:p>
    <w:p>
      <w:pPr>
        <w:pStyle w:val="ListBullet"/>
      </w:pPr>
      <w:r>
        <w:rPr>
          <w:rFonts w:ascii="Inter" w:hAnsi="Inter" w:eastAsia="Inter"/>
          <w:color w:val="172033"/>
          <w:sz w:val="18"/>
        </w:rPr>
        <w:t>Imports, exports, APIs, and future AI services preserve tenant scope, field permission, stable identity, and auditability.</w:t>
      </w:r>
    </w:p>
    <w:p>
      <w:pPr>
        <w:pStyle w:val="ListBullet"/>
      </w:pPr>
      <w:r>
        <w:rPr>
          <w:rFonts w:ascii="Inter" w:hAnsi="Inter" w:eastAsia="Inter"/>
          <w:color w:val="172033"/>
          <w:sz w:val="18"/>
        </w:rPr>
        <w:t>Free remains practical and simple while higher editions add governance without replacing the shared identity foundation.</w:t>
      </w:r>
    </w:p>
    <w:p>
      <w:pPr>
        <w:pStyle w:val="ListBullet"/>
      </w:pPr>
      <w:r>
        <w:rPr>
          <w:rFonts w:ascii="Inter" w:hAnsi="Inter" w:eastAsia="Inter"/>
          <w:color w:val="172033"/>
          <w:sz w:val="18"/>
        </w:rPr>
        <w:t>Registry counts, quality reports, source-module lookups, and MDS-900 outputs reconcile for the same scope and effective date.</w:t>
      </w:r>
    </w:p>
    <w:p>
      <w:pPr>
        <w:pStyle w:val="ListBullet"/>
      </w:pPr>
      <w:r>
        <w:rPr>
          <w:rFonts w:ascii="Inter" w:hAnsi="Inter" w:eastAsia="Inter"/>
          <w:color w:val="172033"/>
          <w:sz w:val="18"/>
        </w:rPr>
        <w:t>Developers and testers can derive clear API, database, UI, security, migration, import, and test artifacts from this specification.</w:t>
      </w:r>
    </w:p>
    <w:p>
      <w:r>
        <w:br w:type="page"/>
      </w:r>
    </w:p>
    <w:p>
      <w:pPr>
        <w:pStyle w:val="PartTitle"/>
      </w:pPr>
      <w:r>
        <w:t>PART V</w:t>
      </w:r>
    </w:p>
    <w:p>
      <w:pPr>
        <w:pStyle w:val="PartName"/>
      </w:pPr>
      <w:r>
        <w:t>Formal Design Authority</w:t>
      </w:r>
    </w:p>
    <w:p>
      <w:pPr>
        <w:pStyle w:val="PartSubtitle"/>
      </w:pPr>
      <w:r>
        <w:t>The normative module statement that governs downstream design, implementation, integration, migration, and assurance artifacts.</w:t>
      </w:r>
    </w:p>
    <w:p>
      <w:pPr>
        <w:pStyle w:val="Heading1"/>
      </w:pPr>
      <w:r>
        <w:t>21. Module Design Statement</w:t>
      </w:r>
    </w:p>
    <w:p>
      <w:pPr/>
      <w:r>
        <w:rPr>
          <w:rFonts w:ascii="Inter" w:hAnsi="Inter" w:eastAsia="Inter"/>
          <w:color w:val="172033"/>
          <w:sz w:val="18"/>
        </w:rPr>
        <w:t>The following statement is the normative summary of MDS-1000 and shall guide all Master Registries design, implementation, integration, data migration, testing, and product decisions.</w:t>
      </w:r>
    </w:p>
    <w:tbl>
      <w:tblPr>
        <w:tblW w:type="dxa" w:w="10261"/>
        <w:jc w:val="center"/>
        <w:tblLayout w:type="fixed"/>
        <w:tblLook w:firstColumn="1" w:firstRow="1" w:lastColumn="0" w:lastRow="0" w:noHBand="0" w:noVBand="1" w:val="04A0"/>
      </w:tblPr>
      <w:tblGrid>
        <w:gridCol w:w="10261"/>
      </w:tblGrid>
      <w:tr>
        <w:trPr>
          <w:cantSplit/>
          <w:tblHeader/>
        </w:trPr>
        <w:tc>
          <w:tcPr>
            <w:tcW w:type="dxa" w:w="10261"/>
            <w:tcMar>
              <w:top w:w="90" w:type="dxa"/>
              <w:start w:w="110" w:type="dxa"/>
              <w:bottom w:w="90" w:type="dxa"/>
              <w:end w:w="110" w:type="dxa"/>
            </w:tcMar>
            <w:vAlign w:val="center"/>
            <w:shd w:fill="E7F1FA" w:val="clear"/>
            <w:tcBorders>
              <w:top w:val="single" w:sz="2" w:space="0" w:color="B9D2E8"/>
              <w:start w:val="single" w:sz="18" w:space="0" w:color="2F78B7"/>
              <w:bottom w:val="single" w:sz="2" w:space="0" w:color="B9D2E8"/>
              <w:end w:val="single" w:sz="2" w:space="0" w:color="B9D2E8"/>
            </w:tcBorders>
          </w:tcPr>
          <w:p>
            <w:pPr>
              <w:spacing w:after="0"/>
            </w:pPr>
            <w:r/>
            <w:r>
              <w:rPr>
                <w:rFonts w:ascii="Inter" w:hAnsi="Inter" w:eastAsia="Inter"/>
                <w:b/>
                <w:color w:val="1A2D44"/>
                <w:sz w:val="19"/>
              </w:rPr>
              <w:t xml:space="preserve">FORMAL STATEMENT  </w:t>
            </w:r>
            <w:r>
              <w:rPr>
                <w:rFonts w:ascii="Inter" w:hAnsi="Inter" w:eastAsia="Inter"/>
                <w:color w:val="1A2D44"/>
                <w:sz w:val="19"/>
              </w:rPr>
              <w:t>MDS-1000 establishes Master Registries as the authoritative shared operational identity layer of SimpleBIZ One. It creates and maintains the people, organizations, products, services, categories, units, locations, dimensions, and reference records reused by transactions. Each record shall have one stable identity, one accountable owner, governed lifecycle and history, secure reuse through every valid entry point, and no competing copy in another module. Settings &amp; Administration shall control behavior; transaction modules shall own business events, balances, and corrections; Reports &amp; Analytics shall transform governed registry dimensions without replacing their source.</w:t>
            </w:r>
          </w:p>
        </w:tc>
      </w:tr>
    </w:tbl>
    <w:p>
      <w:pPr>
        <w:spacing w:after="0"/>
      </w:pPr>
    </w:p>
    <w:tbl>
      <w:tblPr>
        <w:tblW w:type="dxa" w:w="10261"/>
        <w:jc w:val="center"/>
        <w:tblLayout w:type="fixed"/>
        <w:tblLook w:firstColumn="1" w:firstRow="1" w:lastColumn="0" w:lastRow="0" w:noHBand="0" w:noVBand="1" w:val="04A0"/>
      </w:tblPr>
      <w:tblGrid>
        <w:gridCol w:w="3096"/>
        <w:gridCol w:w="7165"/>
      </w:tblGrid>
      <w:tr>
        <w:trPr>
          <w:cantSplit/>
          <w:tblHeader w:val="true"/>
        </w:trPr>
        <w:tc>
          <w:tcPr>
            <w:tcW w:type="dxa" w:w="309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Attribute</w:t>
            </w:r>
          </w:p>
        </w:tc>
        <w:tc>
          <w:tcPr>
            <w:tcW w:type="dxa" w:w="716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Normative position</w:t>
            </w:r>
          </w:p>
        </w:tc>
      </w:tr>
      <w:tr>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Module identity</w:t>
            </w:r>
          </w:p>
        </w:tc>
        <w:tc>
          <w:tcPr>
            <w:tcW w:type="dxa" w:w="716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MDS-1000 Master Registries.</w:t>
            </w:r>
          </w:p>
        </w:tc>
      </w:tr>
      <w:tr>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Primary ownership</w:t>
            </w:r>
          </w:p>
        </w:tc>
        <w:tc>
          <w:tcPr>
            <w:tcW w:type="dxa" w:w="7165"/>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Authoritative shared operational master and reference records, registry lifecycle, duplicate resolution, merge, import/export, quick-create, usage, and audit.</w:t>
            </w:r>
          </w:p>
        </w:tc>
      </w:tr>
      <w:tr>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Boundary</w:t>
            </w:r>
          </w:p>
        </w:tc>
        <w:tc>
          <w:tcPr>
            <w:tcW w:type="dxa" w:w="716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MDS-1100 owns behavior/configuration; domain modules own transactions, balances, and domain-delegated registries; MDS-900 owns consolidated report generation.</w:t>
            </w:r>
          </w:p>
        </w:tc>
      </w:tr>
      <w:tr>
        <w:tc>
          <w:tcPr>
            <w:tcW w:type="dxa" w:w="309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Record principle</w:t>
            </w:r>
          </w:p>
        </w:tc>
        <w:tc>
          <w:tcPr>
            <w:tcW w:type="dxa" w:w="7165"/>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Create once, identify stably, reference everywhere, preserve snapshots and history, deactivate or merge safely, and never rewrite posted business evidence.</w:t>
            </w:r>
          </w:p>
        </w:tc>
      </w:tr>
      <w:tr>
        <w:tc>
          <w:tcPr>
            <w:tcW w:type="dxa" w:w="309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8"/>
              </w:rPr>
              <w:t>Product path</w:t>
            </w:r>
          </w:p>
        </w:tc>
        <w:tc>
          <w:tcPr>
            <w:tcW w:type="dxa" w:w="716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8"/>
              </w:rPr>
              <w:t>One common identity architecture from SimpleBIZ Free through enterprise master-data governance, industry masters, integration hub, and AI assistance.</w:t>
            </w:r>
          </w:p>
        </w:tc>
      </w:tr>
    </w:tbl>
    <w:p>
      <w:pPr>
        <w:spacing w:after="0"/>
      </w:pPr>
    </w:p>
    <w:p>
      <w:r>
        <w:br w:type="page"/>
      </w:r>
    </w:p>
    <w:p>
      <w:pPr>
        <w:pStyle w:val="PartTitle"/>
      </w:pPr>
      <w:r>
        <w:t>PART VI</w:t>
      </w:r>
    </w:p>
    <w:p>
      <w:pPr>
        <w:pStyle w:val="PartName"/>
      </w:pPr>
      <w:r>
        <w:t>Appendices</w:t>
      </w:r>
    </w:p>
    <w:p>
      <w:pPr>
        <w:pStyle w:val="PartSubtitle"/>
      </w:pPr>
      <w:r>
        <w:t>Reference catalogs for ownership, registry scope, events, evidence, current UI, legacy continuity, and final review.</w:t>
      </w:r>
    </w:p>
    <w:p>
      <w:pPr>
        <w:pStyle w:val="Heading1"/>
      </w:pPr>
      <w:r>
        <w:t>Appendix A - Functional Ownership Matrix</w:t>
      </w:r>
    </w:p>
    <w:tbl>
      <w:tblPr>
        <w:tblW w:type="dxa" w:w="10261"/>
        <w:jc w:val="center"/>
        <w:tblLayout w:type="fixed"/>
        <w:tblLook w:firstColumn="1" w:firstRow="1" w:lastColumn="0" w:lastRow="0" w:noHBand="0" w:noVBand="1" w:val="04A0"/>
      </w:tblPr>
      <w:tblGrid>
        <w:gridCol w:w="3384"/>
        <w:gridCol w:w="2232"/>
        <w:gridCol w:w="4645"/>
      </w:tblGrid>
      <w:tr>
        <w:trPr>
          <w:cantSplit/>
          <w:tblHeader w:val="true"/>
        </w:trPr>
        <w:tc>
          <w:tcPr>
            <w:tcW w:type="dxa" w:w="3384"/>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Capability / record</w:t>
            </w:r>
          </w:p>
        </w:tc>
        <w:tc>
          <w:tcPr>
            <w:tcW w:type="dxa" w:w="223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Authoritative owner</w:t>
            </w:r>
          </w:p>
        </w:tc>
        <w:tc>
          <w:tcPr>
            <w:tcW w:type="dxa" w:w="4645"/>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Valid additional entry points</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 Partner identity and roles</w:t>
            </w:r>
          </w:p>
        </w:tc>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w:t>
            </w:r>
          </w:p>
        </w:tc>
        <w:tc>
          <w:tcPr>
            <w:tcW w:type="dxa" w:w="464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Sales, Collections, Purchases, Payments, Expenses, global search, Dashboard.</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Customer transactions and receivables</w:t>
            </w:r>
          </w:p>
        </w:tc>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MDS-200</w:t>
            </w:r>
          </w:p>
        </w:tc>
        <w:tc>
          <w:tcPr>
            <w:tcW w:type="dxa" w:w="4645"/>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Customer context, Dashboard, Reports.</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Supplier transactions and payables</w:t>
            </w:r>
          </w:p>
        </w:tc>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MDS-400</w:t>
            </w:r>
          </w:p>
        </w:tc>
        <w:tc>
          <w:tcPr>
            <w:tcW w:type="dxa" w:w="464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Supplier context, Payments, Dashboard, Reports.</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Product/Service identity and category</w:t>
            </w:r>
          </w:p>
        </w:tc>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w:t>
            </w:r>
          </w:p>
        </w:tc>
        <w:tc>
          <w:tcPr>
            <w:tcW w:type="dxa" w:w="4645"/>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Sales, Purchases, Inventory, Expenses, global search.</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Stock quantity and valuation</w:t>
            </w:r>
          </w:p>
        </w:tc>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MDS-600</w:t>
            </w:r>
          </w:p>
        </w:tc>
        <w:tc>
          <w:tcPr>
            <w:tcW w:type="dxa" w:w="464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Product detail, Warehouse, Dashboard, Reports.</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Warehouse and Stock Location identity</w:t>
            </w:r>
          </w:p>
        </w:tc>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w:t>
            </w:r>
          </w:p>
        </w:tc>
        <w:tc>
          <w:tcPr>
            <w:tcW w:type="dxa" w:w="4645"/>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Inventory workspace and transaction forms.</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Cash Account profile, ledger, balance</w:t>
            </w:r>
          </w:p>
        </w:tc>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MDS-700</w:t>
            </w:r>
          </w:p>
        </w:tc>
        <w:tc>
          <w:tcPr>
            <w:tcW w:type="dxa" w:w="464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Master Registries catalog route, Collections, Payments, Expenses, Dashboard.</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Expense Category and Account Title master</w:t>
            </w:r>
          </w:p>
        </w:tc>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w:t>
            </w:r>
          </w:p>
        </w:tc>
        <w:tc>
          <w:tcPr>
            <w:tcW w:type="dxa" w:w="4645"/>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Expenses, Reports, Settings mapping/configuration.</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Expense transaction and recognition</w:t>
            </w:r>
          </w:p>
        </w:tc>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MDS-800</w:t>
            </w:r>
          </w:p>
        </w:tc>
        <w:tc>
          <w:tcPr>
            <w:tcW w:type="dxa" w:w="464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Payments, Cash Accounts, Dashboard.</w:t>
            </w:r>
          </w:p>
        </w:tc>
      </w:tr>
      <w:tr>
        <w:tc>
          <w:tcPr>
            <w:tcW w:type="dxa" w:w="3384"/>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User, role, permission, numbering, behavior</w:t>
            </w:r>
          </w:p>
        </w:tc>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MDS-1100</w:t>
            </w:r>
          </w:p>
        </w:tc>
        <w:tc>
          <w:tcPr>
            <w:tcW w:type="dxa" w:w="4645"/>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Authorized administration routes only.</w:t>
            </w:r>
          </w:p>
        </w:tc>
      </w:tr>
      <w:tr>
        <w:tc>
          <w:tcPr>
            <w:tcW w:type="dxa" w:w="3384"/>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Report catalog and output generation</w:t>
            </w:r>
          </w:p>
        </w:tc>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MDS-900</w:t>
            </w:r>
          </w:p>
        </w:tc>
        <w:tc>
          <w:tcPr>
            <w:tcW w:type="dxa" w:w="4645"/>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Every module, Dashboard, scheduled delivery.</w:t>
            </w:r>
          </w:p>
        </w:tc>
      </w:tr>
    </w:tbl>
    <w:p>
      <w:pPr>
        <w:spacing w:after="0"/>
      </w:pPr>
    </w:p>
    <w:p>
      <w:pPr>
        <w:pStyle w:val="Heading1"/>
      </w:pPr>
      <w:r>
        <w:t>Appendix B - Registry Catalog and Edition Path</w:t>
      </w:r>
    </w:p>
    <w:tbl>
      <w:tblPr>
        <w:tblW w:type="dxa" w:w="10261"/>
        <w:jc w:val="center"/>
        <w:tblLayout w:type="fixed"/>
        <w:tblLook w:firstColumn="1" w:firstRow="1" w:lastColumn="0" w:lastRow="0" w:noHBand="0" w:noVBand="1" w:val="04A0"/>
      </w:tblPr>
      <w:tblGrid>
        <w:gridCol w:w="2232"/>
        <w:gridCol w:w="3960"/>
        <w:gridCol w:w="4069"/>
      </w:tblGrid>
      <w:tr>
        <w:trPr>
          <w:cantSplit/>
          <w:tblHeader w:val="true"/>
        </w:trPr>
        <w:tc>
          <w:tcPr>
            <w:tcW w:type="dxa" w:w="223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Top-level group</w:t>
            </w:r>
          </w:p>
        </w:tc>
        <w:tc>
          <w:tcPr>
            <w:tcW w:type="dxa" w:w="3960"/>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Practical SimpleBIZ records</w:t>
            </w:r>
          </w:p>
        </w:tc>
        <w:tc>
          <w:tcPr>
            <w:tcW w:type="dxa" w:w="406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Expansion path</w:t>
            </w:r>
          </w:p>
        </w:tc>
      </w:tr>
      <w:tr>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 Partners</w:t>
            </w:r>
          </w:p>
        </w:tc>
        <w:tc>
          <w:tcPr>
            <w:tcW w:type="dxa" w:w="396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Customers; Suppliers; Contacts; Customer/Supplier Groups; Payment Terms; Salespersons.</w:t>
            </w:r>
          </w:p>
        </w:tc>
        <w:tc>
          <w:tcPr>
            <w:tcW w:type="dxa" w:w="40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Enterprise party, legal/person identity, qualification, relationship graph, risk, compliance.</w:t>
            </w:r>
          </w:p>
        </w:tc>
      </w:tr>
      <w:tr>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Products &amp; Services</w:t>
            </w:r>
          </w:p>
        </w:tc>
        <w:tc>
          <w:tcPr>
            <w:tcW w:type="dxa" w:w="396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Products &amp; Services; Product Categories; Units of Measure; Price Lists.</w:t>
            </w:r>
          </w:p>
        </w:tc>
        <w:tc>
          <w:tcPr>
            <w:tcW w:type="dxa" w:w="40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Variants, attributes, catalogs, packaging, media, lifecycle, manufacturing/product information.</w:t>
            </w:r>
          </w:p>
        </w:tc>
      </w:tr>
      <w:tr>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Finance</w:t>
            </w:r>
          </w:p>
        </w:tc>
        <w:tc>
          <w:tcPr>
            <w:tcW w:type="dxa" w:w="396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Expense Categories; Payment Methods; standard Account Titles; Tax Codes; Currencies.</w:t>
            </w:r>
          </w:p>
        </w:tc>
        <w:tc>
          <w:tcPr>
            <w:tcW w:type="dxa" w:w="40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Full Chart of Accounts, financial dimensions, localization, regulatory reference management.</w:t>
            </w:r>
          </w:p>
        </w:tc>
      </w:tr>
      <w:tr>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Inventory &amp; Locations</w:t>
            </w:r>
          </w:p>
        </w:tc>
        <w:tc>
          <w:tcPr>
            <w:tcW w:type="dxa" w:w="396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Warehouses; Stock Locations; location types.</w:t>
            </w:r>
          </w:p>
        </w:tc>
        <w:tc>
          <w:tcPr>
            <w:tcW w:type="dxa" w:w="40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Zones, bins, storage rules, WMS, quality and manufacturing locations.</w:t>
            </w:r>
          </w:p>
        </w:tc>
      </w:tr>
      <w:tr>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Organization</w:t>
            </w:r>
          </w:p>
        </w:tc>
        <w:tc>
          <w:tcPr>
            <w:tcW w:type="dxa" w:w="396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Branches; Departments; Cost Centers; Profit Centers; Sales Territories.</w:t>
            </w:r>
          </w:p>
        </w:tc>
        <w:tc>
          <w:tcPr>
            <w:tcW w:type="dxa" w:w="40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Legal Entities; Business Units; Divisions; Operating Units; intercompany hierarchy.</w:t>
            </w:r>
          </w:p>
        </w:tc>
      </w:tr>
      <w:tr>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People</w:t>
            </w:r>
          </w:p>
        </w:tc>
        <w:tc>
          <w:tcPr>
            <w:tcW w:type="dxa" w:w="396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Salespersons; Collectors; Custodians; Employees/Contractors where enabled.</w:t>
            </w:r>
          </w:p>
        </w:tc>
        <w:tc>
          <w:tcPr>
            <w:tcW w:type="dxa" w:w="40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HR, positions, jobs, skills, payroll and workforce masters.</w:t>
            </w:r>
          </w:p>
        </w:tc>
      </w:tr>
      <w:tr>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Assets &amp; Projects</w:t>
            </w:r>
          </w:p>
        </w:tc>
        <w:tc>
          <w:tcPr>
            <w:tcW w:type="dxa" w:w="396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Projects; Project Types; Fixed Assets and Asset Categories where enabled.</w:t>
            </w:r>
          </w:p>
        </w:tc>
        <w:tc>
          <w:tcPr>
            <w:tcW w:type="dxa" w:w="40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Enterprise projects, WBS, grants, asset components, maintenance and lifecycle.</w:t>
            </w:r>
          </w:p>
        </w:tc>
      </w:tr>
      <w:tr>
        <w:tc>
          <w:tcPr>
            <w:tcW w:type="dxa" w:w="223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Reference Lists</w:t>
            </w:r>
          </w:p>
        </w:tc>
        <w:tc>
          <w:tcPr>
            <w:tcW w:type="dxa" w:w="3960"/>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Reason codes, industry, geography, classifications, controlled values.</w:t>
            </w:r>
          </w:p>
        </w:tc>
        <w:tc>
          <w:tcPr>
            <w:tcW w:type="dxa" w:w="40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Global/local reference data management, translation, effective publication, lineage.</w:t>
            </w:r>
          </w:p>
        </w:tc>
      </w:tr>
      <w:tr>
        <w:tc>
          <w:tcPr>
            <w:tcW w:type="dxa" w:w="223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Domain-delegated links</w:t>
            </w:r>
          </w:p>
        </w:tc>
        <w:tc>
          <w:tcPr>
            <w:tcW w:type="dxa" w:w="3960"/>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Cash Accounts; Users; Roles; operational ledgers/statuses.</w:t>
            </w:r>
          </w:p>
        </w:tc>
        <w:tc>
          <w:tcPr>
            <w:tcW w:type="dxa" w:w="40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Routed to MDS-700, MDS-1100, and other authoritative modules.</w:t>
            </w:r>
          </w:p>
        </w:tc>
      </w:tr>
    </w:tbl>
    <w:p>
      <w:pPr>
        <w:spacing w:after="0"/>
      </w:pPr>
    </w:p>
    <w:p>
      <w:pPr>
        <w:pStyle w:val="Heading1"/>
      </w:pPr>
      <w:r>
        <w:t>Appendix C - Initial Business Event Catalog</w:t>
      </w:r>
    </w:p>
    <w:tbl>
      <w:tblPr>
        <w:tblW w:type="dxa" w:w="10261"/>
        <w:jc w:val="center"/>
        <w:tblLayout w:type="fixed"/>
        <w:tblLook w:firstColumn="1" w:firstRow="1" w:lastColumn="0" w:lastRow="0" w:noHBand="0" w:noVBand="1" w:val="04A0"/>
      </w:tblPr>
      <w:tblGrid>
        <w:gridCol w:w="2376"/>
        <w:gridCol w:w="3816"/>
        <w:gridCol w:w="4069"/>
      </w:tblGrid>
      <w:tr>
        <w:trPr>
          <w:cantSplit/>
          <w:tblHeader w:val="true"/>
        </w:trPr>
        <w:tc>
          <w:tcPr>
            <w:tcW w:type="dxa" w:w="237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Event range</w:t>
            </w:r>
          </w:p>
        </w:tc>
        <w:tc>
          <w:tcPr>
            <w:tcW w:type="dxa" w:w="3816"/>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Primary purpose</w:t>
            </w:r>
          </w:p>
        </w:tc>
        <w:tc>
          <w:tcPr>
            <w:tcW w:type="dxa" w:w="406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Downstream evidence</w:t>
            </w:r>
          </w:p>
        </w:tc>
      </w:tr>
      <w:tr>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EVT-MAS-001 to 007</w:t>
            </w:r>
          </w:p>
        </w:tc>
        <w:tc>
          <w:tcPr>
            <w:tcW w:type="dxa" w:w="381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Create, submit, duplicate-check, approve, activate, update, and publish effective change.</w:t>
            </w:r>
          </w:p>
        </w:tc>
        <w:tc>
          <w:tcPr>
            <w:tcW w:type="dxa" w:w="40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Record/version, approval, duplicate result, lookup/search publication, audit.</w:t>
            </w:r>
          </w:p>
        </w:tc>
      </w:tr>
      <w:tr>
        <w:tc>
          <w:tcPr>
            <w:tcW w:type="dxa" w:w="237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EVT-MAS-008 to 010</w:t>
            </w:r>
          </w:p>
        </w:tc>
        <w:tc>
          <w:tcPr>
            <w:tcW w:type="dxa" w:w="381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Assign/deactivate Business Partner roles and link contacts.</w:t>
            </w:r>
          </w:p>
        </w:tc>
        <w:tc>
          <w:tcPr>
            <w:tcW w:type="dxa" w:w="40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Role/relationship history, source-module eligibility, audit.</w:t>
            </w:r>
          </w:p>
        </w:tc>
      </w:tr>
      <w:tr>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EVT-MAS-011 to 012</w:t>
            </w:r>
          </w:p>
        </w:tc>
        <w:tc>
          <w:tcPr>
            <w:tcW w:type="dxa" w:w="381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Activate product/service and change governed classifications/mappings.</w:t>
            </w:r>
          </w:p>
        </w:tc>
        <w:tc>
          <w:tcPr>
            <w:tcW w:type="dxa" w:w="40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Item eligibility, category/unit/account/tax mapping, source event, version.</w:t>
            </w:r>
          </w:p>
        </w:tc>
      </w:tr>
      <w:tr>
        <w:tc>
          <w:tcPr>
            <w:tcW w:type="dxa" w:w="237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EVT-MAS-013 to 014</w:t>
            </w:r>
          </w:p>
        </w:tc>
        <w:tc>
          <w:tcPr>
            <w:tcW w:type="dxa" w:w="381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Deactivate and reactivate records.</w:t>
            </w:r>
          </w:p>
        </w:tc>
        <w:tc>
          <w:tcPr>
            <w:tcW w:type="dxa" w:w="40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Usage/dependency check, reason, future selection state, retained history.</w:t>
            </w:r>
          </w:p>
        </w:tc>
      </w:tr>
      <w:tr>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EVT-MAS-015 to 016</w:t>
            </w:r>
          </w:p>
        </w:tc>
        <w:tc>
          <w:tcPr>
            <w:tcW w:type="dxa" w:w="381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Propose and apply duplicate merge.</w:t>
            </w:r>
          </w:p>
        </w:tc>
        <w:tc>
          <w:tcPr>
            <w:tcW w:type="dxa" w:w="40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Survivor, aliases, redirected references, approvals, verification, exceptions.</w:t>
            </w:r>
          </w:p>
        </w:tc>
      </w:tr>
      <w:tr>
        <w:tc>
          <w:tcPr>
            <w:tcW w:type="dxa" w:w="237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EVT-MAS-017 to 018</w:t>
            </w:r>
          </w:p>
        </w:tc>
        <w:tc>
          <w:tcPr>
            <w:tcW w:type="dxa" w:w="3816"/>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Dry run and apply import.</w:t>
            </w:r>
          </w:p>
        </w:tc>
        <w:tc>
          <w:tcPr>
            <w:tcW w:type="dxa" w:w="40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Batch/row results, idempotency, creates/updates/skips/rejects, errors, reconciliation.</w:t>
            </w:r>
          </w:p>
        </w:tc>
      </w:tr>
      <w:tr>
        <w:tc>
          <w:tcPr>
            <w:tcW w:type="dxa" w:w="237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EVT-MAS-019 to 022</w:t>
            </w:r>
          </w:p>
        </w:tc>
        <w:tc>
          <w:tcPr>
            <w:tcW w:type="dxa" w:w="3816"/>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Export, contextual quick-create, publish reference list, and archive.</w:t>
            </w:r>
          </w:p>
        </w:tc>
        <w:tc>
          <w:tcPr>
            <w:tcW w:type="dxa" w:w="40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Output/security audit, returned record context, effective list version, retained archive.</w:t>
            </w:r>
          </w:p>
        </w:tc>
      </w:tr>
    </w:tbl>
    <w:p>
      <w:pPr>
        <w:spacing w:after="0"/>
      </w:pPr>
    </w:p>
    <w:p>
      <w:pPr>
        <w:pStyle w:val="Heading1"/>
      </w:pPr>
      <w:r>
        <w:t>Appendix D - Requirement-to-Evidence Matrix</w:t>
      </w:r>
    </w:p>
    <w:tbl>
      <w:tblPr>
        <w:tblW w:type="dxa" w:w="10261"/>
        <w:jc w:val="center"/>
        <w:tblLayout w:type="fixed"/>
        <w:tblLook w:firstColumn="1" w:firstRow="1" w:lastColumn="0" w:lastRow="0" w:noHBand="0" w:noVBand="1" w:val="04A0"/>
      </w:tblPr>
      <w:tblGrid>
        <w:gridCol w:w="3168"/>
        <w:gridCol w:w="7093"/>
      </w:tblGrid>
      <w:tr>
        <w:trPr>
          <w:cantSplit/>
          <w:tblHeader w:val="true"/>
        </w:trPr>
        <w:tc>
          <w:tcPr>
            <w:tcW w:type="dxa" w:w="316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MDS area</w:t>
            </w:r>
          </w:p>
        </w:tc>
        <w:tc>
          <w:tcPr>
            <w:tcW w:type="dxa" w:w="7093"/>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Downstream evidence</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Registry ownership and boundary</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API ownership map, service/module contracts, no-duplicate-master tests, architecture review.</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Common master identity and lifecycle</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DBS keys/constraints, API schemas, status/effective-date tests, migration and restore evidence.</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Business Partner role model</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Party/role entities, customer/supplier quick-create, dual-role tests, balance/source ownership tests.</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Products, units, categories, locations</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UI forms, APIs, hierarchy/UOM constraints, Inventory integration, transaction eligibility tests.</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Classification and mapping</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Expense Category/Account Title/tax/payment method entities, Settings contracts, posting/source tests.</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Duplicate and merge</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Matching rules, comparison UI, merge workflow, reference redirection, aliases, rollback/exception, audit tests.</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Import/export/API</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Templates, dry-run service, row results, injection/masking/security, idempotency, performance, and reconciliation tests.</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Contextual quick-create / MEP</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Source screens, focused forms, returned stable ID, cancellation/failure preservation, same-rule tests.</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Security/privacy/audit</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Role matrix, field masking, attachment controls, tenant isolation, sensitive access and export evidence.</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Edition and AI readiness</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Entitlement keys, upgrade/downgrade tests, suggestion provenance, human-control and no-mutation tests.</w:t>
            </w:r>
          </w:p>
        </w:tc>
      </w:tr>
    </w:tbl>
    <w:p>
      <w:pPr>
        <w:spacing w:after="0"/>
      </w:pPr>
    </w:p>
    <w:p>
      <w:pPr>
        <w:pStyle w:val="Heading1"/>
      </w:pPr>
      <w:r>
        <w:t>Appendix E - Current UI Baseline and Sitemap</w:t>
      </w:r>
    </w:p>
    <w:p>
      <w:pPr>
        <w:pStyle w:val="ListBullet"/>
      </w:pPr>
      <w:r>
        <w:rPr>
          <w:rFonts w:ascii="Inter" w:hAnsi="Inter" w:eastAsia="Inter"/>
          <w:color w:val="172033"/>
          <w:sz w:val="18"/>
        </w:rPr>
        <w:t>Official workspace: Master Registries.</w:t>
      </w:r>
    </w:p>
    <w:p>
      <w:pPr>
        <w:pStyle w:val="ListBullet"/>
      </w:pPr>
      <w:r>
        <w:rPr>
          <w:rFonts w:ascii="Inter" w:hAnsi="Inter" w:eastAsia="Inter"/>
          <w:color w:val="172033"/>
          <w:sz w:val="18"/>
        </w:rPr>
        <w:t>Recommended subtitle: Maintain the people, products, places, categories, and reference records used across SimpleBIZ.</w:t>
      </w:r>
    </w:p>
    <w:p>
      <w:pPr>
        <w:pStyle w:val="ListBullet"/>
      </w:pPr>
      <w:r>
        <w:rPr>
          <w:rFonts w:ascii="Inter" w:hAnsi="Inter" w:eastAsia="Inter"/>
          <w:color w:val="172033"/>
          <w:sz w:val="18"/>
        </w:rPr>
        <w:t>Recommended dominant actions: Add Customer; Add Product/Service; Add Supplier.</w:t>
      </w:r>
    </w:p>
    <w:p>
      <w:pPr>
        <w:pStyle w:val="ListBullet"/>
      </w:pPr>
      <w:r>
        <w:rPr>
          <w:rFonts w:ascii="Inter" w:hAnsi="Inter" w:eastAsia="Inter"/>
          <w:color w:val="172033"/>
          <w:sz w:val="18"/>
        </w:rPr>
        <w:t>SimpleBIZ Free registry cards: Customers; Suppliers; Products &amp; Services; Product Categories; Units of Measure; Expense Categories; Payment Methods; Cash Accounts routed to MDS-700.</w:t>
      </w:r>
    </w:p>
    <w:p>
      <w:pPr>
        <w:pStyle w:val="ListBullet"/>
      </w:pPr>
      <w:r>
        <w:rPr>
          <w:rFonts w:ascii="Inter" w:hAnsi="Inter" w:eastAsia="Inter"/>
          <w:color w:val="172033"/>
          <w:sz w:val="18"/>
        </w:rPr>
        <w:t>Top-level groups: Business Partners; Products &amp; Services; Finance; Inventory &amp; Locations; Organization; People; Assets &amp; Projects; Reference Lists.</w:t>
      </w:r>
    </w:p>
    <w:p>
      <w:pPr>
        <w:pStyle w:val="ListBullet"/>
      </w:pPr>
      <w:r>
        <w:rPr>
          <w:rFonts w:ascii="Inter" w:hAnsi="Inter" w:eastAsia="Inter"/>
          <w:color w:val="172033"/>
          <w:sz w:val="18"/>
        </w:rPr>
        <w:t>Supporting patterns: search, recently used, data quality/Needs Attention, import, record history, usage, aliases, relationships, and authorized Settings route.</w:t>
      </w:r>
    </w:p>
    <w:p>
      <w:pPr>
        <w:pStyle w:val="ListBullet"/>
      </w:pPr>
      <w:r>
        <w:rPr>
          <w:rFonts w:ascii="Inter" w:hAnsi="Inter" w:eastAsia="Inter"/>
          <w:color w:val="172033"/>
          <w:sz w:val="18"/>
        </w:rPr>
        <w:t>Contextual creation may appear from Sales, Collections, Purchases, Payments, Inventory, Cash Accounts, Expenses, Dashboard, and global search but uses one registry process.</w:t>
      </w:r>
    </w:p>
    <w:p>
      <w:pPr>
        <w:pStyle w:val="ListBullet"/>
      </w:pPr>
      <w:r>
        <w:rPr>
          <w:rFonts w:ascii="Inter" w:hAnsi="Inter" w:eastAsia="Inter"/>
          <w:color w:val="172033"/>
          <w:sz w:val="18"/>
        </w:rPr>
        <w:t>Exact card placement, icons, typography, spacing, breakpoints, empty states, modal/drawer behavior, and screen interactions remain governed by UID/WF/UI/SCR artifacts.</w:t>
      </w:r>
    </w:p>
    <w:p>
      <w:pPr>
        <w:pStyle w:val="Heading1"/>
      </w:pPr>
      <w:r>
        <w:t>Appendix F - Legacy Functional Continuity</w:t>
      </w:r>
    </w:p>
    <w:p>
      <w:pPr/>
      <w:r>
        <w:rPr>
          <w:rFonts w:ascii="Inter" w:hAnsi="Inter" w:eastAsia="Inter"/>
          <w:color w:val="172033"/>
          <w:sz w:val="18"/>
        </w:rPr>
        <w:t>The legacy SimpleBIZ SME Tools Setup &amp; Utility screens and current design discussions are historical functional evidence. They validate enduring SME master-data needs but do not govern modern architecture or UI.</w:t>
      </w:r>
    </w:p>
    <w:tbl>
      <w:tblPr>
        <w:tblW w:type="dxa" w:w="10261"/>
        <w:jc w:val="center"/>
        <w:tblLayout w:type="fixed"/>
        <w:tblLook w:firstColumn="1" w:firstRow="1" w:lastColumn="0" w:lastRow="0" w:noHBand="0" w:noVBand="1" w:val="04A0"/>
      </w:tblPr>
      <w:tblGrid>
        <w:gridCol w:w="3168"/>
        <w:gridCol w:w="7093"/>
      </w:tblGrid>
      <w:tr>
        <w:trPr>
          <w:cantSplit/>
          <w:tblHeader w:val="true"/>
        </w:trPr>
        <w:tc>
          <w:tcPr>
            <w:tcW w:type="dxa" w:w="3168"/>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Legacy / practical concept</w:t>
            </w:r>
          </w:p>
        </w:tc>
        <w:tc>
          <w:tcPr>
            <w:tcW w:type="dxa" w:w="7093"/>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Continuity and modernization</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Customer and supplier masters</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Retain familiar records; modernize into one Business Partner identity with controlled roles, contacts, addresses, duplicates, history, and source-module balances.</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Product and service setup</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Retain item identity, category, unit, selling/purchase use; add stable IDs, lifecycle, identifiers, mappings, quick-create, and Inventory separation.</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Expense category setup</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Retain entrepreneur-friendly categories; govern mapping to locked/approved Expense Accounts and preserve reporting consistency.</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Bank/fund account setup</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Retain navigation concept but move authoritative Cash Account profile, movement, balance, and reconciliation to MDS-700.</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Users and access</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Retain administrative intent but keep users, roles, permissions, and system behavior in MDS-1100.</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Single setup menu</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Replace with grouped Master Registries and separate Settings &amp; Administration while preserving logical cross-links.</w:t>
            </w:r>
          </w:p>
        </w:tc>
      </w:tr>
      <w:tr>
        <w:tc>
          <w:tcPr>
            <w:tcW w:type="dxa" w:w="3168"/>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Manual code lists</w:t>
            </w:r>
          </w:p>
        </w:tc>
        <w:tc>
          <w:tcPr>
            <w:tcW w:type="dxa" w:w="7093"/>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Retain valid reference values; add effective dates, ownership, localization, import, API, change history, and standard locks.</w:t>
            </w:r>
          </w:p>
        </w:tc>
      </w:tr>
      <w:tr>
        <w:tc>
          <w:tcPr>
            <w:tcW w:type="dxa" w:w="3168"/>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Direct record deletion</w:t>
            </w:r>
          </w:p>
        </w:tc>
        <w:tc>
          <w:tcPr>
            <w:tcW w:type="dxa" w:w="7093"/>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Replace with deactivation, supersession, merge, archive, and governed correction so history remains explainable.</w:t>
            </w:r>
          </w:p>
        </w:tc>
      </w:tr>
    </w:tbl>
    <w:p>
      <w:pPr>
        <w:spacing w:after="0"/>
      </w:pPr>
    </w:p>
    <w:p>
      <w:pPr>
        <w:pStyle w:val="Heading1"/>
      </w:pPr>
      <w:r>
        <w:t>Appendix G - Review Checklist</w:t>
      </w:r>
    </w:p>
    <w:tbl>
      <w:tblPr>
        <w:tblW w:type="dxa" w:w="10261"/>
        <w:jc w:val="center"/>
        <w:tblLayout w:type="fixed"/>
        <w:tblLook w:firstColumn="1" w:firstRow="1" w:lastColumn="0" w:lastRow="0" w:noHBand="0" w:noVBand="1" w:val="04A0"/>
      </w:tblPr>
      <w:tblGrid>
        <w:gridCol w:w="792"/>
        <w:gridCol w:w="9469"/>
      </w:tblGrid>
      <w:tr>
        <w:trPr>
          <w:cantSplit/>
          <w:tblHeader w:val="true"/>
        </w:trPr>
        <w:tc>
          <w:tcPr>
            <w:tcW w:type="dxa" w:w="792"/>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w:t>
            </w:r>
          </w:p>
        </w:tc>
        <w:tc>
          <w:tcPr>
            <w:tcW w:type="dxa" w:w="9469"/>
            <w:tcMar>
              <w:top w:w="70" w:type="dxa"/>
              <w:start w:w="85" w:type="dxa"/>
              <w:bottom w:w="70" w:type="dxa"/>
              <w:end w:w="85" w:type="dxa"/>
            </w:tcMar>
            <w:vAlign w:val="center"/>
            <w:shd w:fill="DDE9F4"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Review item</w:t>
            </w:r>
          </w:p>
        </w:tc>
      </w:tr>
      <w:tr>
        <w:tc>
          <w:tcPr>
            <w:tcW w:type="dxa" w:w="7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1</w:t>
            </w:r>
          </w:p>
        </w:tc>
        <w:tc>
          <w:tcPr>
            <w:tcW w:type="dxa" w:w="94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The ID, title, version, date, status, repository location, and revision history are correct.</w:t>
            </w:r>
          </w:p>
        </w:tc>
      </w:tr>
      <w:tr>
        <w:tc>
          <w:tcPr>
            <w:tcW w:type="dxa" w:w="7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2</w:t>
            </w:r>
          </w:p>
        </w:tc>
        <w:tc>
          <w:tcPr>
            <w:tcW w:type="dxa" w:w="94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The document follows the 21-section structure and six-part format used by MDS-400.</w:t>
            </w:r>
          </w:p>
        </w:tc>
      </w:tr>
      <w:tr>
        <w:tc>
          <w:tcPr>
            <w:tcW w:type="dxa" w:w="7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3</w:t>
            </w:r>
          </w:p>
        </w:tc>
        <w:tc>
          <w:tcPr>
            <w:tcW w:type="dxa" w:w="94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MDS-1000 clearly owns authoritative shared operational master and reference records.</w:t>
            </w:r>
          </w:p>
        </w:tc>
      </w:tr>
      <w:tr>
        <w:tc>
          <w:tcPr>
            <w:tcW w:type="dxa" w:w="7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4</w:t>
            </w:r>
          </w:p>
        </w:tc>
        <w:tc>
          <w:tcPr>
            <w:tcW w:type="dxa" w:w="94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MDS-1100 remains the owner of users, roles, permissions, numbering, behavior, localization, entitlements, and administration.</w:t>
            </w:r>
          </w:p>
        </w:tc>
      </w:tr>
      <w:tr>
        <w:tc>
          <w:tcPr>
            <w:tcW w:type="dxa" w:w="7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5</w:t>
            </w:r>
          </w:p>
        </w:tc>
        <w:tc>
          <w:tcPr>
            <w:tcW w:type="dxa" w:w="94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Domain modules remain owners of transactions, balances, corrections, and domain-delegated registries such as Cash Accounts.</w:t>
            </w:r>
          </w:p>
        </w:tc>
      </w:tr>
      <w:tr>
        <w:tc>
          <w:tcPr>
            <w:tcW w:type="dxa" w:w="7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6</w:t>
            </w:r>
          </w:p>
        </w:tc>
        <w:tc>
          <w:tcPr>
            <w:tcW w:type="dxa" w:w="94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Business Partner supports Customer and Supplier roles without duplicate identities.</w:t>
            </w:r>
          </w:p>
        </w:tc>
      </w:tr>
      <w:tr>
        <w:tc>
          <w:tcPr>
            <w:tcW w:type="dxa" w:w="7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7</w:t>
            </w:r>
          </w:p>
        </w:tc>
        <w:tc>
          <w:tcPr>
            <w:tcW w:type="dxa" w:w="94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Product/Service, category, Unit of Measure, location, classification, and mapping rules are testable.</w:t>
            </w:r>
          </w:p>
        </w:tc>
      </w:tr>
      <w:tr>
        <w:tc>
          <w:tcPr>
            <w:tcW w:type="dxa" w:w="7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8</w:t>
            </w:r>
          </w:p>
        </w:tc>
        <w:tc>
          <w:tcPr>
            <w:tcW w:type="dxa" w:w="94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Historical transactions preserve identity and required snapshots after master changes.</w:t>
            </w:r>
          </w:p>
        </w:tc>
      </w:tr>
      <w:tr>
        <w:tc>
          <w:tcPr>
            <w:tcW w:type="dxa" w:w="7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9</w:t>
            </w:r>
          </w:p>
        </w:tc>
        <w:tc>
          <w:tcPr>
            <w:tcW w:type="dxa" w:w="94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Deactivation, effective dating, duplicate review, merge, import, export, and quick-create are fully governed.</w:t>
            </w:r>
          </w:p>
        </w:tc>
      </w:tr>
      <w:tr>
        <w:tc>
          <w:tcPr>
            <w:tcW w:type="dxa" w:w="7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10</w:t>
            </w:r>
          </w:p>
        </w:tc>
        <w:tc>
          <w:tcPr>
            <w:tcW w:type="dxa" w:w="94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Tenant/company, record, field, role, action, import, export, API, privacy, and audit controls are represented.</w:t>
            </w:r>
          </w:p>
        </w:tc>
      </w:tr>
      <w:tr>
        <w:tc>
          <w:tcPr>
            <w:tcW w:type="dxa" w:w="7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11</w:t>
            </w:r>
          </w:p>
        </w:tc>
        <w:tc>
          <w:tcPr>
            <w:tcW w:type="dxa" w:w="94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The current SimpleBIZ Free registry set and grouped Master Registries sitemap are represented.</w:t>
            </w:r>
          </w:p>
        </w:tc>
      </w:tr>
      <w:tr>
        <w:tc>
          <w:tcPr>
            <w:tcW w:type="dxa" w:w="7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12</w:t>
            </w:r>
          </w:p>
        </w:tc>
        <w:tc>
          <w:tcPr>
            <w:tcW w:type="dxa" w:w="94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Edition growth unlocks capability without creating parallel master records or incompatible history.</w:t>
            </w:r>
          </w:p>
        </w:tc>
      </w:tr>
      <w:tr>
        <w:tc>
          <w:tcPr>
            <w:tcW w:type="dxa" w:w="7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13</w:t>
            </w:r>
          </w:p>
        </w:tc>
        <w:tc>
          <w:tcPr>
            <w:tcW w:type="dxa" w:w="94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Reports and metrics reconcile to authoritative registry state and MDS-900 ownership.</w:t>
            </w:r>
          </w:p>
        </w:tc>
      </w:tr>
      <w:tr>
        <w:tc>
          <w:tcPr>
            <w:tcW w:type="dxa" w:w="792"/>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14</w:t>
            </w:r>
          </w:p>
        </w:tc>
        <w:tc>
          <w:tcPr>
            <w:tcW w:type="dxa" w:w="9469"/>
            <w:shd w:fill="F2F6FA" w:val="clear"/>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AI suggestions remain explainable, permission-aware, optional, human-controlled, and unable to mutate source records autonomously.</w:t>
            </w:r>
          </w:p>
        </w:tc>
      </w:tr>
      <w:tr>
        <w:tc>
          <w:tcPr>
            <w:tcW w:type="dxa" w:w="792"/>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color w:val="1A2D44"/>
                <w:sz w:val="17"/>
              </w:rPr>
              <w:t>15</w:t>
            </w:r>
          </w:p>
        </w:tc>
        <w:tc>
          <w:tcPr>
            <w:tcW w:type="dxa" w:w="9469"/>
            <w:tcBorders>
              <w:top w:val="single" w:sz="6" w:space="0" w:color="4A4A4A"/>
              <w:start w:val="single" w:sz="6" w:space="0" w:color="4A4A4A"/>
              <w:bottom w:val="single" w:sz="6" w:space="0" w:color="4A4A4A"/>
              <w:end w:val="single" w:sz="6" w:space="0" w:color="4A4A4A"/>
            </w:tcBorders>
          </w:tcPr>
          <w:p>
            <w:pPr>
              <w:spacing w:after="0" w:before="0" w:line="240" w:lineRule="auto"/>
              <w:jc w:val="left"/>
            </w:pPr>
            <w:r>
              <w:rPr>
                <w:rFonts w:ascii="Inter" w:hAnsi="Inter" w:eastAsia="Inter"/>
                <w:b w:val="0"/>
                <w:color w:val="1A2D44"/>
                <w:sz w:val="17"/>
              </w:rPr>
              <w:t>Downstream UID, WF, UI, SCR, API, DBS, migration, TST, and operational artifacts can trace to this specification.</w:t>
            </w:r>
          </w:p>
        </w:tc>
      </w:tr>
    </w:tbl>
    <w:p>
      <w:pPr>
        <w:spacing w:after="0"/>
      </w:pPr>
    </w:p>
    <w:p>
      <w:pPr>
        <w:spacing w:before="440"/>
        <w:jc w:val="center"/>
      </w:pPr>
      <w:r>
        <w:rPr>
          <w:rFonts w:ascii="Inter Display" w:hAnsi="Inter Display" w:eastAsia="Inter Display"/>
          <w:b/>
          <w:color w:val="1A2D44"/>
          <w:sz w:val="24"/>
        </w:rPr>
        <w:t>END OF MDS-1000</w:t>
      </w:r>
    </w:p>
    <w:p>
      <w:pPr>
        <w:jc w:val="center"/>
      </w:pPr>
      <w:r>
        <w:rPr>
          <w:rFonts w:ascii="Inter" w:hAnsi="Inter" w:eastAsia="Inter"/>
          <w:color w:val="667485"/>
          <w:sz w:val="19"/>
        </w:rPr>
        <w:t>Next planned specification: MDS-1100 Settings &amp; Administration.</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3402"/>
          <w:tcMar>
            <w:top w:w="0" w:type="dxa"/>
            <w:start w:w="0" w:type="dxa"/>
            <w:bottom w:w="0" w:type="dxa"/>
            <w:end w:w="0" w:type="dxa"/>
          </w:tcMar>
          <w:tcBorders>
            <w:top w:val="single" w:sz="4" w:color="B9C8D5"/>
          </w:tcBorders>
        </w:tcPr>
        <w:p>
          <w:r>
            <w:rPr>
              <w:rFonts w:ascii="Inter" w:hAnsi="Inter" w:eastAsia="Inter"/>
              <w:color w:val="667485"/>
              <w:sz w:val="16"/>
            </w:rPr>
            <w:t>SimpleBIZ Systems</w:t>
          </w:r>
        </w:p>
      </w:tc>
      <w:tc>
        <w:tcPr>
          <w:tcW w:type="dxa" w:w="3458"/>
          <w:tcMar>
            <w:top w:w="0" w:type="dxa"/>
            <w:start w:w="0" w:type="dxa"/>
            <w:bottom w:w="0" w:type="dxa"/>
            <w:end w:w="0" w:type="dxa"/>
          </w:tcMar>
          <w:tcBorders>
            <w:top w:val="single" w:sz="4" w:color="B9C8D5"/>
          </w:tcBorders>
        </w:tcPr>
        <w:p>
          <w:pPr>
            <w:jc w:val="center"/>
          </w:pPr>
          <w:r>
            <w:rPr>
              <w:rFonts w:ascii="Inter" w:hAnsi="Inter" w:eastAsia="Inter"/>
              <w:color w:val="667485"/>
              <w:sz w:val="17"/>
            </w:rPr>
            <w:t xml:space="preserve">Page </w:t>
            <w:fldChar w:fldCharType="begin"/>
            <w:instrText xml:space="preserve">PAGE</w:instrText>
            <w:fldChar w:fldCharType="end"/>
          </w:r>
        </w:p>
      </w:tc>
      <w:tc>
        <w:tcPr>
          <w:tcW w:type="dxa" w:w="3402"/>
          <w:tcMar>
            <w:top w:w="0" w:type="dxa"/>
            <w:start w:w="0" w:type="dxa"/>
            <w:bottom w:w="0" w:type="dxa"/>
            <w:end w:w="0" w:type="dxa"/>
          </w:tcMar>
          <w:tcBorders>
            <w:top w:val="single" w:sz="4" w:color="B9C8D5"/>
          </w:tcBorders>
        </w:tcPr>
        <w:p>
          <w:pPr>
            <w:jc w:val="right"/>
          </w:pPr>
          <w:r>
            <w:rPr>
              <w:rFonts w:ascii="Inter" w:hAnsi="Inter" w:eastAsia="Inter"/>
              <w:color w:val="667485"/>
              <w:sz w:val="16"/>
            </w:rPr>
            <w:t>MDS-1000</w:t>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6633"/>
          <w:tcMar>
            <w:top w:w="0" w:type="dxa"/>
            <w:start w:w="0" w:type="dxa"/>
            <w:bottom w:w="0" w:type="dxa"/>
            <w:end w:w="0" w:type="dxa"/>
          </w:tcMar>
          <w:tcBorders>
            <w:bottom w:val="single" w:sz="4" w:color="B9C8D5"/>
          </w:tcBorders>
          <w:vAlign w:val="center"/>
        </w:tcPr>
        <w:p>
          <w:pPr>
            <w:spacing w:after="40"/>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3628"/>
          <w:tcMar>
            <w:top w:w="0" w:type="dxa"/>
            <w:start w:w="0" w:type="dxa"/>
            <w:bottom w:w="0" w:type="dxa"/>
            <w:end w:w="0" w:type="dxa"/>
          </w:tcMar>
          <w:tcBorders>
            <w:bottom w:val="single" w:sz="4" w:color="B9C8D5"/>
          </w:tcBorders>
          <w:vAlign w:val="center"/>
        </w:tcPr>
        <w:p>
          <w:pPr>
            <w:jc w:val="right"/>
          </w:pPr>
          <w:r>
            <w:rPr>
              <w:rFonts w:ascii="Inter" w:hAnsi="Inter" w:eastAsia="Inter"/>
              <w:color w:val="667485"/>
              <w:sz w:val="17"/>
            </w:rPr>
            <w:t>MDS-1000  |  v1.0  |  For Review</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keepNext/>
      <w:spacing w:before="0" w:after="100"/>
    </w:pPr>
    <w:rPr>
      <w:rFonts w:ascii="Inter" w:hAnsi="Inter" w:eastAsia="Inter"/>
      <w:b/>
      <w:color w:val="667485"/>
      <w:sz w:val="20"/>
    </w:rPr>
  </w:style>
  <w:style w:type="paragraph" w:customStyle="1" w:styleId="PartName">
    <w:name w:val="Part Name"/>
    <w:pPr>
      <w:keepNext/>
      <w:spacing w:before="0" w:after="100"/>
    </w:pPr>
    <w:rPr>
      <w:rFonts w:ascii="Inter Display" w:hAnsi="Inter Display" w:eastAsia="Inter Display"/>
      <w:b/>
      <w:color w:val="2F78B7"/>
      <w:sz w:val="50"/>
    </w:rPr>
  </w:style>
  <w:style w:type="paragraph" w:customStyle="1" w:styleId="PartSubtitle">
    <w:name w:val="Part Subtitle"/>
    <w:pPr>
      <w:keepNext/>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MDS-1000 Master Registries Module Design Specification v1.0</dc:title>
  <dc:subject>SimpleBIZ One Master Registries Module Design Specification</dc:subject>
  <dc:creator>SimpleBIZ Systems</dc:creator>
  <cp:keywords>SimpleBIZ, MDS-1000, Master Registries, master data, business partners, products, reference data</cp:keywords>
  <dc:description>For Review</dc:description>
  <cp:lastModifiedBy>SimpleBIZ Systems</cp:lastModifiedBy>
  <cp:revision>1</cp:revision>
  <dcterms:created xsi:type="dcterms:W3CDTF">2013-12-23T23:15:00Z</dcterms:created>
  <dcterms:modified xsi:type="dcterms:W3CDTF">2013-12-23T23:15:00Z</dcterms:modified>
  <cp:category/>
</cp:coreProperties>
</file>