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60"/>
      </w:pPr>
      <w:r>
        <w:rPr>
          <w:rFonts w:ascii="Calibri" w:hAnsi="Calibri" w:eastAsia="Calibri"/>
          <w:b/>
          <w:color w:val="1D4ED8"/>
          <w:sz w:val="24"/>
        </w:rPr>
        <w:t>SimpleBIZ</w:t>
      </w:r>
      <w:r>
        <w:rPr>
          <w:rFonts w:ascii="Calibri" w:hAnsi="Calibri" w:eastAsia="Calibri"/>
          <w:b/>
          <w:color w:val="5B6573"/>
          <w:sz w:val="19"/>
        </w:rPr>
        <w:t xml:space="preserve">  |  SIMPLEBIZ ONE</w:t>
      </w:r>
    </w:p>
    <w:p>
      <w:pPr>
        <w:spacing w:after="400"/>
        <w:pBdr>
          <w:bottom w:val="single" w:sz="14" w:space="5" w:color="F59E0B"/>
        </w:pBdr>
      </w:pPr>
    </w:p>
    <w:p>
      <w:pPr>
        <w:pStyle w:val="Title"/>
      </w:pPr>
      <w:r>
        <w:t>MDS-200</w:t>
      </w:r>
    </w:p>
    <w:p>
      <w:pPr>
        <w:pStyle w:val="Title"/>
        <w:spacing w:before="0"/>
      </w:pPr>
      <w:r>
        <w:rPr>
          <w:rFonts w:ascii="Calibri" w:hAnsi="Calibri" w:eastAsia="Calibri"/>
          <w:b/>
          <w:color w:val="0B2545"/>
          <w:sz w:val="58"/>
        </w:rPr>
        <w:t>Sales &amp; Receivables</w:t>
      </w:r>
    </w:p>
    <w:p>
      <w:pPr>
        <w:pStyle w:val="Subtitle"/>
      </w:pPr>
      <w:r>
        <w:t>Module Design Specification</w:t>
      </w:r>
    </w:p>
    <w:p>
      <w:pPr>
        <w:spacing w:after="480"/>
      </w:pPr>
      <w:r>
        <w:rPr>
          <w:rFonts w:ascii="Calibri" w:hAnsi="Calibri" w:eastAsia="Calibri"/>
          <w:color w:val="5B6573"/>
          <w:sz w:val="23"/>
        </w:rPr>
        <w:t>The governed design for selling products and services, creating customer charges, managing receivables, issuing billing statements, and preserving complete sales-side traceability.</w:t>
      </w:r>
    </w:p>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Version</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1.1</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Status</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For Review</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Date</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30 July 2026</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Product</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SimpleBIZ One</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Classification</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Module Design Specification</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Prepared for</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SimpleBIZ Systems</w:t>
            </w:r>
          </w:p>
        </w:tc>
      </w:tr>
    </w:tbl>
    <w:p>
      <w:pPr>
        <w:spacing w:after="0"/>
      </w:pPr>
    </w:p>
    <w:p>
      <w:pPr>
        <w:spacing w:before="360" w:after="0"/>
        <w:shd w:fill="F4F8FC" w:val="clear"/>
      </w:pPr>
      <w:r>
        <w:rPr>
          <w:rFonts w:ascii="Calibri" w:hAnsi="Calibri" w:eastAsia="Calibri"/>
          <w:b/>
          <w:color w:val="1D4ED8"/>
          <w:sz w:val="19"/>
        </w:rPr>
        <w:t xml:space="preserve">SALES DESIGN DIRECTIVE  </w:t>
      </w:r>
      <w:r>
        <w:rPr>
          <w:rFonts w:ascii="Calibri" w:hAnsi="Calibri" w:eastAsia="Calibri"/>
          <w:b/>
          <w:color w:val="0B2545"/>
          <w:sz w:val="21"/>
        </w:rPr>
        <w:t>Record the sale once, recognize what the customer owes correctly, and let governed integrations handle collection, stock, cash, reporting, and audit effects.</w:t>
      </w:r>
    </w:p>
    <w:p>
      <w:r>
        <w:br w:type="page"/>
      </w:r>
    </w:p>
    <w:p>
      <w:pPr>
        <w:pStyle w:val="Heading1"/>
      </w:pPr>
      <w:r>
        <w:t>Document Control</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Document ID</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MDS-200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Document title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Sales &amp; Receivables Module Design Specification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Version</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1.1</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Status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For Review</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Date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30 July 2026</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Product</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SimpleBIZ One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Document family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Module Design Specification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Repository location</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03 - Architecture &amp; Design / 02 - Module Design Specifications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Supersedes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MDS-200 Sales Module Design Specification v1.0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Prepared for</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SimpleBIZ Systems</w:t>
            </w:r>
          </w:p>
        </w:tc>
      </w:tr>
    </w:tbl>
    <w:p>
      <w:pPr>
        <w:spacing w:after="0"/>
      </w:pPr>
    </w:p>
    <w:p>
      <w:pPr>
        <w:pStyle w:val="Heading1"/>
      </w:pPr>
      <w:r>
        <w:t>Revision History</w:t>
      </w:r>
    </w:p>
    <w:tbl>
      <w:tblPr>
        <w:tblW w:type="dxa" w:w="9360"/>
        <w:jc w:val="left"/>
        <w:tblLayout w:type="fixed"/>
        <w:tblLook w:firstColumn="1" w:firstRow="1" w:lastColumn="0" w:lastRow="0" w:noHBand="0" w:noVBand="1" w:val="04A0"/>
        <w:tblInd w:w="120" w:type="dxa"/>
      </w:tblPr>
      <w:tblGrid>
        <w:gridCol w:w="900"/>
        <w:gridCol w:w="1550"/>
        <w:gridCol w:w="5210"/>
        <w:gridCol w:w="1700"/>
      </w:tblGrid>
      <w:tr>
        <w:trPr>
          <w:cantSplit/>
          <w:tblHeader w:val="true"/>
        </w:trPr>
        <w:tc>
          <w:tcPr>
            <w:tcW w:type="dxa" w:w="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Version</w:t>
            </w:r>
          </w:p>
        </w:tc>
        <w:tc>
          <w:tcPr>
            <w:tcW w:type="dxa" w:w="15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Date</w:t>
            </w:r>
          </w:p>
        </w:tc>
        <w:tc>
          <w:tcPr>
            <w:tcW w:type="dxa" w:w="52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Description</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Status</w:t>
            </w:r>
          </w:p>
        </w:tc>
      </w:tr>
      <w:tr>
        <w:trPr>
          <w:cantSplit/>
        </w:trPr>
        <w:tc>
          <w:tcPr>
            <w:tcW w:type="dxa" w:w="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1.0</w:t>
            </w:r>
          </w:p>
        </w:tc>
        <w:tc>
          <w:tcPr>
            <w:tcW w:type="dxa" w:w="15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11 July 2026</w:t>
            </w:r>
          </w:p>
        </w:tc>
        <w:tc>
          <w:tcPr>
            <w:tcW w:type="dxa" w:w="52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Established the initial Sales Module design for cash and credit sales, payments, returns, reports, and edition-based expansion.</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Superseded</w:t>
            </w:r>
          </w:p>
        </w:tc>
      </w:tr>
      <w:tr>
        <w:trPr>
          <w:cantSplit/>
        </w:trPr>
        <w:tc>
          <w:tcPr>
            <w:tcW w:type="dxa" w:w="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1.1</w:t>
            </w:r>
          </w:p>
        </w:tc>
        <w:tc>
          <w:tcPr>
            <w:tcW w:type="dxa" w:w="15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30 July 2026</w:t>
            </w:r>
          </w:p>
        </w:tc>
        <w:tc>
          <w:tcPr>
            <w:tcW w:type="dxa" w:w="52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Recast the module as Sales &amp; Receivables; aligned it with MDS-000 v1.2, the approved 12-document MDS series, the current workspace design, Single Functional Ownership, Multiple UI Entry Points, separate Collections &amp; Receipts, Master Registries, Settings, AI readiness, and future ERP growth.</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For Review</w:t>
            </w:r>
          </w:p>
        </w:tc>
      </w:tr>
    </w:tbl>
    <w:p>
      <w:pPr>
        <w:spacing w:after="0"/>
      </w:pPr>
    </w:p>
    <w:p>
      <w:pPr>
        <w:pStyle w:val="Heading1"/>
      </w:pPr>
      <w:r>
        <w:t>Related and Governing Documents</w:t>
      </w:r>
    </w:p>
    <w:tbl>
      <w:tblPr>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Document</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Relationship to MDS-200</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MDS-000 v1.2</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Governs shared module architecture, transaction lifecycle, ownership, security, audit, status, events, entitlements, and quality.</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MDS-100 v1.1</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Defines Dashboard presentation, attention, activity, metrics, and governed entry points into Sales &amp; Receivables.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UID-000 v1.3</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Governs the application shell, workspace hierarchy, Multiple UI Entry Points, accessibility, responsive behavior, and common components.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UID-200 / WF-SAL-001 / UI-SAL-001</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Define the detailed Sales &amp; Receivables interface, wireframe, and current visual baseline.</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MDS-300</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Owns customer collections, payment receipt issuance, application of money to receivables, remittance, and collection activity.</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MDS-600 / MDS-700</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Own inventory effects and cash-account balances generated by sales-side events.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MDS-900 / MDS-1000 / MDS-1100</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Own cross-module reporting, authoritative master registries, and system configuration.</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DEV-000</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Governs the React.js, Laravel, PostgreSQL, repository, coding, testing, delivery, and AI-development implementation baseline.</w:t>
            </w:r>
          </w:p>
        </w:tc>
      </w:tr>
    </w:tbl>
    <w:p>
      <w:pPr>
        <w:spacing w:after="0"/>
      </w:pPr>
    </w:p>
    <w:p>
      <w:pPr>
        <w:pStyle w:val="Heading1"/>
      </w:pPr>
      <w:r>
        <w:t>Contents at a Glance</w:t>
      </w:r>
    </w:p>
    <w:tbl>
      <w:tblPr>
        <w:tblW w:type="dxa" w:w="9360"/>
        <w:jc w:val="left"/>
        <w:tblLayout w:type="fixed"/>
        <w:tblLook w:firstColumn="1" w:firstRow="1" w:lastColumn="0" w:lastRow="0" w:noHBand="0" w:noVBand="1" w:val="04A0"/>
        <w:tblInd w:w="120" w:type="dxa"/>
      </w:tblPr>
      <w:tblGrid>
        <w:gridCol w:w="2800"/>
        <w:gridCol w:w="6560"/>
      </w:tblGrid>
      <w:tr>
        <w:trPr>
          <w:cantSplit/>
          <w:tblHeader w:val="true"/>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Part</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Coverage</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I — Foundation</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1–4: introduction, purpose, scope and boundary, and module overview.</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II — Functional Design</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5–11: components, master data, documents, events, requirements, module rules, workflows, and statuses.</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III — Integration and Information</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12–16: integrations, reports, tasks, security, entities, and ownership.</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IV — Product, Quality, and Evolution</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17–20: editions, non-functional requirements, ERP expansion, and success indicators.</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V — Formal Design Authority</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 21: formal module design statement.</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VI — Appendices</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Ownership, document/status, event, requirement, UI, legacy-continuity, and review catalogs.</w:t>
            </w:r>
          </w:p>
        </w:tc>
      </w:tr>
    </w:tbl>
    <w:p>
      <w:pPr>
        <w:spacing w:after="0"/>
      </w:pPr>
    </w:p>
    <w:p>
      <w:r>
        <w:br w:type="page"/>
      </w:r>
    </w:p>
    <w:p>
      <w:pPr>
        <w:spacing w:before="920" w:after="100"/>
      </w:pPr>
      <w:r>
        <w:rPr>
          <w:rFonts w:ascii="Calibri" w:hAnsi="Calibri" w:eastAsia="Calibri"/>
          <w:b/>
          <w:color w:val="F59E0B"/>
          <w:sz w:val="20"/>
        </w:rPr>
        <w:t>PART I</w:t>
      </w:r>
    </w:p>
    <w:p>
      <w:pPr>
        <w:spacing w:after="160"/>
      </w:pPr>
      <w:r>
        <w:rPr>
          <w:rFonts w:ascii="Calibri" w:hAnsi="Calibri" w:eastAsia="Calibri"/>
          <w:b/>
          <w:color w:val="0B2545"/>
          <w:sz w:val="50"/>
        </w:rPr>
        <w:t>Foundation</w:t>
      </w:r>
    </w:p>
    <w:p>
      <w:pPr>
        <w:spacing w:after="360"/>
        <w:pBdr>
          <w:bottom w:val="single" w:sz="8" w:space="5" w:color="E8EEF5"/>
        </w:pBdr>
      </w:pPr>
      <w:r>
        <w:rPr>
          <w:rFonts w:ascii="Calibri" w:hAnsi="Calibri" w:eastAsia="Calibri"/>
          <w:color w:val="5B6573"/>
          <w:sz w:val="24"/>
        </w:rPr>
        <w:t>Business purpose, product role, users, scope, ownership, and module boundaries.</w:t>
      </w:r>
    </w:p>
    <w:p>
      <w:pPr>
        <w:pStyle w:val="Heading1"/>
      </w:pPr>
      <w:r>
        <w:t>1. Introduction</w:t>
      </w:r>
    </w:p>
    <w:p>
      <w:r>
        <w:rPr>
          <w:rFonts w:ascii="Calibri" w:hAnsi="Calibri" w:eastAsia="Calibri"/>
          <w:color w:val="111827"/>
        </w:rPr>
        <w:t>MDS-200 defines the functional and technical design of the SimpleBIZ One Sales &amp; Receivables module. It translates the Core architecture and the current user-centered workspace into a governed design for cash sales, credit sales, customer charges, billing, returns, adjustments, and outstanding receivables.</w:t>
      </w:r>
    </w:p>
    <w:p>
      <w:r>
        <w:rPr>
          <w:rFonts w:ascii="Calibri" w:hAnsi="Calibri" w:eastAsia="Calibri"/>
          <w:color w:val="111827"/>
        </w:rPr>
        <w:t>The module is the primary source of truth for what was sold, to whom, at what price, under what terms, and what amount remains due from the customer. It collaborates with other modules for money received, stock movements, cash balances, shared registries, cross-module reports, and configuration.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CORE BOUNDARY  </w:t>
            </w:r>
            <w:r>
              <w:rPr>
                <w:rFonts w:ascii="Calibri" w:hAnsi="Calibri" w:eastAsia="Calibri"/>
                <w:b/>
                <w:color w:val="0B2545"/>
                <w:sz w:val="20"/>
              </w:rPr>
              <w:t>MDS-200 creates and manages the sale and receivable. MDS-300 receives and applies customer money. MDS-700 owns the resulting cash-account balance. MDS-600 owns the resulting inventory movement.</w:t>
            </w:r>
          </w:p>
        </w:tc>
      </w:tr>
    </w:tbl>
    <w:p>
      <w:pPr>
        <w:spacing w:after="0"/>
      </w:pPr>
    </w:p>
    <w:p>
      <w:pPr>
        <w:pStyle w:val="Heading1"/>
      </w:pPr>
      <w:r>
        <w:t>2. Purpose</w:t>
      </w:r>
    </w:p>
    <w:p>
      <w:r>
        <w:rPr>
          <w:rFonts w:ascii="Calibri" w:hAnsi="Calibri" w:eastAsia="Calibri"/>
          <w:color w:val="111827"/>
        </w:rPr>
        <w:t>Sales &amp; Receivables exists to help an SME record revenue-producing transactions quickly and correctly while maintaining a reliable account of customer obligations.</w:t>
      </w:r>
    </w:p>
    <w:p>
      <w:pPr>
        <w:numPr>
          <w:ilvl w:val="0"/>
          <w:numId w:val="10"/>
        </w:numPr>
        <w:spacing w:after="80" w:line="300" w:lineRule="auto"/>
      </w:pPr>
      <w:r>
        <w:rPr>
          <w:rFonts w:ascii="Calibri" w:hAnsi="Calibri" w:eastAsia="Calibri"/>
          <w:color w:val="111827"/>
          <w:sz w:val="21"/>
        </w:rPr>
        <w:t>Enable fast cash and credit sales for products and services.</w:t>
      </w:r>
    </w:p>
    <w:p>
      <w:pPr>
        <w:numPr>
          <w:ilvl w:val="0"/>
          <w:numId w:val="10"/>
        </w:numPr>
        <w:spacing w:after="80" w:line="300" w:lineRule="auto"/>
      </w:pPr>
      <w:r>
        <w:rPr>
          <w:rFonts w:ascii="Calibri" w:hAnsi="Calibri" w:eastAsia="Calibri"/>
          <w:color w:val="111827"/>
          <w:sz w:val="21"/>
        </w:rPr>
        <w:t>Recognize customer receivables with clear due dates, terms, and status.</w:t>
      </w:r>
    </w:p>
    <w:p>
      <w:pPr>
        <w:numPr>
          <w:ilvl w:val="0"/>
          <w:numId w:val="10"/>
        </w:numPr>
        <w:spacing w:after="80" w:line="300" w:lineRule="auto"/>
      </w:pPr>
      <w:r>
        <w:rPr>
          <w:rFonts w:ascii="Calibri" w:hAnsi="Calibri" w:eastAsia="Calibri"/>
          <w:color w:val="111827"/>
          <w:sz w:val="21"/>
        </w:rPr>
        <w:t>Provide controlled sales returns, discounts, debit adjustments, and credit adjustments.</w:t>
      </w:r>
    </w:p>
    <w:p>
      <w:pPr>
        <w:numPr>
          <w:ilvl w:val="0"/>
          <w:numId w:val="10"/>
        </w:numPr>
        <w:spacing w:after="80" w:line="300" w:lineRule="auto"/>
      </w:pPr>
      <w:r>
        <w:rPr>
          <w:rFonts w:ascii="Calibri" w:hAnsi="Calibri" w:eastAsia="Calibri"/>
          <w:color w:val="111827"/>
          <w:sz w:val="21"/>
        </w:rPr>
        <w:t>Generate billing statements without creating duplicate receivable balances.</w:t>
      </w:r>
    </w:p>
    <w:p>
      <w:pPr>
        <w:numPr>
          <w:ilvl w:val="0"/>
          <w:numId w:val="10"/>
        </w:numPr>
        <w:spacing w:after="80" w:line="300" w:lineRule="auto"/>
      </w:pPr>
      <w:r>
        <w:rPr>
          <w:rFonts w:ascii="Calibri" w:hAnsi="Calibri" w:eastAsia="Calibri"/>
          <w:color w:val="111827"/>
          <w:sz w:val="21"/>
        </w:rPr>
        <w:t>Show what customers owe, what is overdue, and what requires follow-up.</w:t>
      </w:r>
    </w:p>
    <w:p>
      <w:pPr>
        <w:numPr>
          <w:ilvl w:val="0"/>
          <w:numId w:val="10"/>
        </w:numPr>
        <w:spacing w:after="80" w:line="300" w:lineRule="auto"/>
      </w:pPr>
      <w:r>
        <w:rPr>
          <w:rFonts w:ascii="Calibri" w:hAnsi="Calibri" w:eastAsia="Calibri"/>
          <w:color w:val="111827"/>
          <w:sz w:val="21"/>
        </w:rPr>
        <w:t>Coordinate downstream inventory, collection, cash, reporting, and audit effects atomically.</w:t>
      </w:r>
    </w:p>
    <w:p>
      <w:pPr>
        <w:numPr>
          <w:ilvl w:val="0"/>
          <w:numId w:val="10"/>
        </w:numPr>
        <w:spacing w:after="80" w:line="300" w:lineRule="auto"/>
      </w:pPr>
      <w:r>
        <w:rPr>
          <w:rFonts w:ascii="Calibri" w:hAnsi="Calibri" w:eastAsia="Calibri"/>
          <w:color w:val="111827"/>
          <w:sz w:val="21"/>
        </w:rPr>
        <w:t>Preserve complete traceability from originating sale through adjustment, settlement, return, and reversal.</w:t>
      </w:r>
    </w:p>
    <w:p>
      <w:r>
        <w:br w:type="page"/>
      </w:r>
    </w:p>
    <w:p>
      <w:pPr>
        <w:pStyle w:val="Heading1"/>
      </w:pPr>
      <w:r>
        <w:t>3. Scope and Boundary</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 scope — owned by MDS-200</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Out of scope — owned elsewhere</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Cash and credit sales; product and service lines; customer charges; prices, discounts, taxes, terms, and due dates.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Receipt of customer money, payment application, payment receipt, collection follow-up execution, and remittance — MDS-300.</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Sales documents, receivable open items, billing statements, sales returns, sales-side debit adjustments, and sales-side credit adjustments.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Cash-account registry, ledger, balance, deposit, transfer, reconciliation, and cash position — MDS-700.</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Sales lifecycle, posting, cancellation, reversal, customer credit controls, sales history, and receivable status.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Stock availability source, stock movement, cost layers, physical count, and inventory valuation — MDS-600.</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Sales-originated events, source data, operational outputs, and authorized entry points into sale and receivable work.</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Authoritative customers, products, services, units, tax codes, price lists, payment terms, branches, and salespersons — MDS-1000.</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Module-specific sales rules, permissions, tasks, reports, and integration contracts.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Users, roles, document numbering configuration, module enablement, localization, and system preferences — MDS-1100.</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FF7E6" w:val="clear"/>
          </w:tcPr>
          <w:p>
            <w:pPr>
              <w:spacing w:after="0"/>
            </w:pPr>
            <w:r>
              <w:rPr>
                <w:rFonts w:ascii="Calibri" w:hAnsi="Calibri" w:eastAsia="Calibri"/>
                <w:b/>
                <w:color w:val="F59E0B"/>
                <w:sz w:val="19"/>
              </w:rPr>
              <w:t xml:space="preserve">BOUNDARY TEST  </w:t>
            </w:r>
            <w:r>
              <w:rPr>
                <w:rFonts w:ascii="Calibri" w:hAnsi="Calibri" w:eastAsia="Calibri"/>
                <w:b/>
                <w:color w:val="0B2545"/>
                <w:sz w:val="20"/>
              </w:rPr>
              <w:t>If the record explains why the customer owes the business, it belongs to MDS-200. If it records money received or its application, it belongs to MDS-300.</w:t>
            </w:r>
          </w:p>
        </w:tc>
      </w:tr>
    </w:tbl>
    <w:p>
      <w:pPr>
        <w:spacing w:after="0"/>
      </w:pPr>
    </w:p>
    <w:p>
      <w:r>
        <w:rPr>
          <w:rFonts w:ascii="Calibri" w:hAnsi="Calibri" w:eastAsia="Calibri"/>
          <w:color w:val="111827"/>
        </w:rPr>
        <w:t>This MDS does not define pixel-level layouts, final database tables, final API payloads, source code, detailed test scripts, jurisdiction-specific statutory document wording, or final subscription pricing. Those belong in the corresponding UID/WF/SCR, MDD/DBS, API, DEV, TST, localization, and product-governance artifacts.</w:t>
      </w:r>
    </w:p>
    <w:p>
      <w:pPr>
        <w:pStyle w:val="Heading1"/>
      </w:pPr>
      <w:r>
        <w:t>4. Module Overview</w:t>
      </w:r>
    </w:p>
    <w:tbl>
      <w:tblPr>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Module ID</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MDS-200</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Official name</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Sales &amp; Receivables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Workspace code</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SAL</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Primary workspace</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Sales &amp; Receivables Management</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Primary business question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What did we sell, and what do customers still owe?</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Primary users</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Business Owner, Sales User, Cashier, Manager, Bookkeeper</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Authoritative records</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Sale, Sale Line, Receivable Open Item, Sales Adjustment, Billing Statement</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Primary entry points</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Sales workspace, Dashboard, customer context, approved external channels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Primary integrations</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MDS-300, MDS-600, MDS-700, MDS-900, MDS-1000, MDS-1100</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Primary UI reference</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UID-200 / WF-SAL-001 / UI-SAL-001</w:t>
            </w:r>
          </w:p>
        </w:tc>
      </w:tr>
    </w:tbl>
    <w:p>
      <w:pPr>
        <w:spacing w:after="0"/>
      </w:pPr>
    </w:p>
    <w:p>
      <w:r>
        <w:rPr>
          <w:rFonts w:ascii="Calibri" w:hAnsi="Calibri" w:eastAsia="Calibri"/>
          <w:color w:val="111827"/>
        </w:rPr>
        <w:t>The module shall remain simple for a microbusiness recording a sale today and structurally sound for a growing business that later enables quotations, sales orders, deliveries, multiple branches, contract pricing, external channels, and enterprise receivables.</w:t>
      </w:r>
    </w:p>
    <w:p>
      <w:r>
        <w:br w:type="page"/>
      </w:r>
    </w:p>
    <w:p>
      <w:pPr>
        <w:spacing w:before="920" w:after="100"/>
      </w:pPr>
      <w:r>
        <w:rPr>
          <w:rFonts w:ascii="Calibri" w:hAnsi="Calibri" w:eastAsia="Calibri"/>
          <w:b/>
          <w:color w:val="F59E0B"/>
          <w:sz w:val="20"/>
        </w:rPr>
        <w:t>PART II</w:t>
      </w:r>
    </w:p>
    <w:p>
      <w:pPr>
        <w:spacing w:after="160"/>
      </w:pPr>
      <w:r>
        <w:rPr>
          <w:rFonts w:ascii="Calibri" w:hAnsi="Calibri" w:eastAsia="Calibri"/>
          <w:b/>
          <w:color w:val="0B2545"/>
          <w:sz w:val="50"/>
        </w:rPr>
        <w:t>Functional Design</w:t>
      </w:r>
    </w:p>
    <w:p>
      <w:pPr>
        <w:spacing w:after="360"/>
        <w:pBdr>
          <w:bottom w:val="single" w:sz="8" w:space="5" w:color="E8EEF5"/>
        </w:pBdr>
      </w:pPr>
      <w:r>
        <w:rPr>
          <w:rFonts w:ascii="Calibri" w:hAnsi="Calibri" w:eastAsia="Calibri"/>
          <w:color w:val="5B6573"/>
          <w:sz w:val="24"/>
        </w:rPr>
        <w:t>Workspace capabilities, master data, documents, events, requirements, rules, workflows, and statuses.</w:t>
      </w:r>
    </w:p>
    <w:p>
      <w:pPr>
        <w:pStyle w:val="Heading1"/>
      </w:pPr>
      <w:r>
        <w:t>5. Functional Components</w:t>
      </w:r>
    </w:p>
    <w:tbl>
      <w:tblPr>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Component</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Purpose and responsibility</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Sales Workspace</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Presents primary sale actions, Needs Attention, histories, records, reports, and recent activity.</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Cash Sale</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Records an immediate sale and orchestrates the linked receipt, cash, and stock effects through owning modules.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Credit Sale</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Records a sale that creates a receivable under approved customer terms and limits.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Sale Entry</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Captures customer, product/service lines, quantities, price, discount, tax, fulfillment context, terms, totals, and notes.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Sales Review and Posting</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Validates, approves where required, posts once, and returns a conclusive success or failure result.</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Receivables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Maintains customer open items, original amount, applications, adjustments, balance, due date, aging, and settlement status.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Billing Statement</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Generates a dated summary of governed customer charges, adjustments, applications, and outstanding amounts.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Sales Return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Creates a controlled linked reversal of eligible quantity or value and requests the appropriate stock/financial effects.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Debit Adjustment</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Increases a customer receivable through a separately numbered, reasoned, and authorized sales-side document.</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Credit Adjustment</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Reduces a customer receivable through a separately numbered, reasoned, and authorized sales-side document.</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Sales History</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Searches, filters, reviews, prints, and traces sales and related document chains.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Reports and Attention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Provides governed operational outputs, overdue conditions, exceptions, and authorized destinations.</w:t>
            </w:r>
          </w:p>
        </w:tc>
      </w:tr>
    </w:tbl>
    <w:p>
      <w:pPr>
        <w:spacing w:after="0"/>
      </w:pPr>
    </w:p>
    <w:p>
      <w:pPr>
        <w:pStyle w:val="Heading2"/>
      </w:pPr>
      <w:r>
        <w:t>5.1 Current Workspace Hierarchy</w:t>
      </w:r>
    </w:p>
    <w:p>
      <w:r>
        <w:rPr>
          <w:rFonts w:ascii="Calibri" w:hAnsi="Calibri" w:eastAsia="Calibri"/>
          <w:color w:val="111827"/>
        </w:rPr>
        <w:t>The current UI direction is an action-oriented workspace. Exact placement belongs in UID/WF/SCR, but the following functional hierarchy is governed here:</w:t>
      </w:r>
    </w:p>
    <w:tbl>
      <w:tblPr>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Workspace region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Initial content</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Primary actions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Cash Sale, Credit Sale, Billing Statement, and authorized sales-side adjustments.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Needs Attention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Overdue receivables, expiring/due items, blocked postings, approvals, credit-limit conditions, and failed processing.</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Records &amp; Ledgers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Sales History, receivable records, customer context, and governed shortcuts to Customer Ledger.</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Reports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Sales and receivables outputs defined in Section 13.</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Recent Activity</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Meaningful sales events, postings, returns, adjustments, billings, and status changes.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Related entry points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Customer, product/service, collection, and report destinations without transferring functional ownership.</w:t>
            </w:r>
          </w:p>
        </w:tc>
      </w:tr>
    </w:tbl>
    <w:p>
      <w:pPr>
        <w:spacing w:after="0"/>
      </w:pPr>
    </w:p>
    <w:p>
      <w:pPr>
        <w:pStyle w:val="Heading2"/>
      </w:pPr>
      <w:r>
        <w:t>5.2 Simple Experience, Correct Processing</w:t>
      </w:r>
    </w:p>
    <w:p>
      <w:r>
        <w:rPr>
          <w:rFonts w:ascii="Calibri" w:hAnsi="Calibri" w:eastAsia="Calibri"/>
          <w:color w:val="111827"/>
        </w:rPr>
        <w:t>A user shall not be forced to visit several workspaces to complete a basic cash sale. When the user chooses Cash Sale and confirms payment details, SimpleBIZ may complete one cohesive user journey while creating linked records through MDS-200, MDS-300, MDS-600, and MDS-700 under one governed business transaction.</w:t>
      </w:r>
    </w:p>
    <w:p>
      <w:pPr>
        <w:numPr>
          <w:ilvl w:val="0"/>
          <w:numId w:val="12"/>
        </w:numPr>
        <w:spacing w:after="80" w:line="300" w:lineRule="auto"/>
      </w:pPr>
      <w:r>
        <w:rPr>
          <w:rFonts w:ascii="Calibri" w:hAnsi="Calibri" w:eastAsia="Calibri"/>
          <w:color w:val="111827"/>
          <w:sz w:val="21"/>
        </w:rPr>
        <w:t>The user enters the sale once.</w:t>
      </w:r>
    </w:p>
    <w:p>
      <w:pPr>
        <w:numPr>
          <w:ilvl w:val="0"/>
          <w:numId w:val="12"/>
        </w:numPr>
        <w:spacing w:after="80" w:line="300" w:lineRule="auto"/>
      </w:pPr>
      <w:r>
        <w:rPr>
          <w:rFonts w:ascii="Calibri" w:hAnsi="Calibri" w:eastAsia="Calibri"/>
          <w:color w:val="111827"/>
          <w:sz w:val="21"/>
        </w:rPr>
        <w:t>MDS-200 validates and posts the commercial sale.</w:t>
      </w:r>
    </w:p>
    <w:p>
      <w:pPr>
        <w:numPr>
          <w:ilvl w:val="0"/>
          <w:numId w:val="12"/>
        </w:numPr>
        <w:spacing w:after="80" w:line="300" w:lineRule="auto"/>
      </w:pPr>
      <w:r>
        <w:rPr>
          <w:rFonts w:ascii="Calibri" w:hAnsi="Calibri" w:eastAsia="Calibri"/>
          <w:color w:val="111827"/>
          <w:sz w:val="21"/>
        </w:rPr>
        <w:t>MDS-300 records the receipt and application when money is received.</w:t>
      </w:r>
    </w:p>
    <w:p>
      <w:pPr>
        <w:numPr>
          <w:ilvl w:val="0"/>
          <w:numId w:val="12"/>
        </w:numPr>
        <w:spacing w:after="80" w:line="300" w:lineRule="auto"/>
      </w:pPr>
      <w:r>
        <w:rPr>
          <w:rFonts w:ascii="Calibri" w:hAnsi="Calibri" w:eastAsia="Calibri"/>
          <w:color w:val="111827"/>
          <w:sz w:val="21"/>
        </w:rPr>
        <w:t>MDS-600 records the stock effect for inventory items.</w:t>
      </w:r>
    </w:p>
    <w:p>
      <w:pPr>
        <w:numPr>
          <w:ilvl w:val="0"/>
          <w:numId w:val="12"/>
        </w:numPr>
        <w:spacing w:after="80" w:line="300" w:lineRule="auto"/>
      </w:pPr>
      <w:r>
        <w:rPr>
          <w:rFonts w:ascii="Calibri" w:hAnsi="Calibri" w:eastAsia="Calibri"/>
          <w:color w:val="111827"/>
          <w:sz w:val="21"/>
        </w:rPr>
        <w:t>MDS-700 records the cash-account movement.</w:t>
      </w:r>
    </w:p>
    <w:p>
      <w:pPr>
        <w:numPr>
          <w:ilvl w:val="0"/>
          <w:numId w:val="12"/>
        </w:numPr>
        <w:spacing w:after="80" w:line="300" w:lineRule="auto"/>
      </w:pPr>
      <w:r>
        <w:rPr>
          <w:rFonts w:ascii="Calibri" w:hAnsi="Calibri" w:eastAsia="Calibri"/>
          <w:color w:val="111827"/>
          <w:sz w:val="21"/>
        </w:rPr>
        <w:t>Core commits all required effects or returns a safe, conclusive failure.</w:t>
      </w:r>
    </w:p>
    <w:p>
      <w:pPr>
        <w:pStyle w:val="Heading1"/>
      </w:pPr>
      <w:r>
        <w:t>6. Master Data</w:t>
      </w:r>
    </w:p>
    <w:p>
      <w:r>
        <w:rPr>
          <w:rFonts w:ascii="Calibri" w:hAnsi="Calibri" w:eastAsia="Calibri"/>
          <w:color w:val="111827"/>
        </w:rPr>
        <w:t>MDS-200 consumes authoritative master records owned by MDS-1000. Sales may provide contextual shortcuts to create or select those records, but shall not create a competing master list.</w:t>
      </w:r>
    </w:p>
    <w:tbl>
      <w:tblPr>
        <w:tblW w:type="dxa" w:w="9360"/>
        <w:jc w:val="left"/>
        <w:tblLayout w:type="fixed"/>
        <w:tblLook w:firstColumn="1" w:firstRow="1" w:lastColumn="0" w:lastRow="0" w:noHBand="0" w:noVBand="1" w:val="04A0"/>
        <w:tblInd w:w="120" w:type="dxa"/>
      </w:tblPr>
      <w:tblGrid>
        <w:gridCol w:w="2100"/>
        <w:gridCol w:w="3900"/>
        <w:gridCol w:w="3360"/>
      </w:tblGrid>
      <w:tr>
        <w:trPr>
          <w:cantSplit/>
          <w:tblHeader w:val="true"/>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Master record</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Sales use</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Key controls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Customer</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Buyer, billing party, credit account, terms, contact, delivery/billing addresses.</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Active status, company scope, credit eligibility, privacy, duplicate control.</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Product &amp; Service</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Sale line item, description, price basis, tax, stock behavior.</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Active/effective status, sale eligibility, unit compatibility.</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Product Category</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Search, pricing, reporting, and policy grouping.</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No retroactive reclassification of posted history.</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Unit of Measure</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Quantity and price unit.</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Valid conversion and precision.</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Price List / Currency</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Default or negotiated selling price and transaction currency.</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Effective date, permitted currency, customer/channel applicability, and governed rate source.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Payment Terms</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Due date, installment/discount rules where enabled.</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Active, versioned, nonnegative due calculation.</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Tax Code</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Tax calculation and reporting classification.</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Effective date, jurisdiction, inclusive/exclusive basis.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Salesperson</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Responsibility, attribution, and performance reporting.</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Active assignment and authorized branch scope.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Branch / Business Unit</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Organizational ownership and numbering/report scope.</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User access and valid effective dates.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Warehouse / Stock Location</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Source location for inventory items.</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Availability and MDS-600 authority.</w:t>
            </w:r>
          </w:p>
        </w:tc>
      </w:tr>
    </w:tbl>
    <w:p>
      <w:pPr>
        <w:spacing w:after="0"/>
      </w:pPr>
    </w:p>
    <w:p>
      <w:pPr>
        <w:numPr>
          <w:ilvl w:val="0"/>
          <w:numId w:val="10"/>
        </w:numPr>
        <w:spacing w:after="80" w:line="300" w:lineRule="auto"/>
      </w:pPr>
      <w:r>
        <w:rPr>
          <w:rFonts w:ascii="Calibri" w:hAnsi="Calibri" w:eastAsia="Calibri"/>
          <w:color w:val="111827"/>
          <w:sz w:val="21"/>
        </w:rPr>
        <w:t>Posted documents shall preserve snapshots of legally or operationally material names, addresses, descriptions, prices, rates, and terms.</w:t>
      </w:r>
    </w:p>
    <w:p>
      <w:pPr>
        <w:numPr>
          <w:ilvl w:val="0"/>
          <w:numId w:val="10"/>
        </w:numPr>
        <w:spacing w:after="80" w:line="300" w:lineRule="auto"/>
      </w:pPr>
      <w:r>
        <w:rPr>
          <w:rFonts w:ascii="Calibri" w:hAnsi="Calibri" w:eastAsia="Calibri"/>
          <w:color w:val="111827"/>
          <w:sz w:val="21"/>
        </w:rPr>
        <w:t>Deactivating a master record shall prevent new use when applicable but shall not damage historical documents.</w:t>
      </w:r>
    </w:p>
    <w:p>
      <w:pPr>
        <w:numPr>
          <w:ilvl w:val="0"/>
          <w:numId w:val="10"/>
        </w:numPr>
        <w:spacing w:after="80" w:line="300" w:lineRule="auto"/>
      </w:pPr>
      <w:r>
        <w:rPr>
          <w:rFonts w:ascii="Calibri" w:hAnsi="Calibri" w:eastAsia="Calibri"/>
          <w:color w:val="111827"/>
          <w:sz w:val="21"/>
        </w:rPr>
        <w:t>Walk-in sales may use an approved system walk-in profile; credit sales require an identified customer.</w:t>
      </w:r>
    </w:p>
    <w:p>
      <w:pPr>
        <w:numPr>
          <w:ilvl w:val="0"/>
          <w:numId w:val="10"/>
        </w:numPr>
        <w:spacing w:after="80" w:line="300" w:lineRule="auto"/>
      </w:pPr>
      <w:r>
        <w:rPr>
          <w:rFonts w:ascii="Calibri" w:hAnsi="Calibri" w:eastAsia="Calibri"/>
          <w:color w:val="111827"/>
          <w:sz w:val="21"/>
        </w:rPr>
        <w:t>A sale may retain an authorized channel such as counter, agent, website, marketplace, mobile, or API, including the external identity required for duplicate prevention and integration traceability.</w:t>
      </w:r>
    </w:p>
    <w:p>
      <w:pPr>
        <w:numPr>
          <w:ilvl w:val="0"/>
          <w:numId w:val="10"/>
        </w:numPr>
        <w:spacing w:after="80" w:line="300" w:lineRule="auto"/>
      </w:pPr>
      <w:r>
        <w:rPr>
          <w:rFonts w:ascii="Calibri" w:hAnsi="Calibri" w:eastAsia="Calibri"/>
          <w:color w:val="111827"/>
          <w:sz w:val="21"/>
        </w:rPr>
        <w:t>Contextual quick-create shall invoke MDS-1000 permissions, validation, duplicate detection, and audit.</w:t>
      </w:r>
    </w:p>
    <w:p>
      <w:pPr>
        <w:pStyle w:val="Heading1"/>
      </w:pPr>
      <w:r>
        <w:t>7. Business Documents</w:t>
      </w:r>
    </w:p>
    <w:tbl>
      <w:tblPr>
        <w:tblW w:type="dxa" w:w="9360"/>
        <w:jc w:val="left"/>
        <w:tblLayout w:type="fixed"/>
        <w:tblLook w:firstColumn="1" w:firstRow="1" w:lastColumn="0" w:lastRow="0" w:noHBand="0" w:noVBand="1" w:val="04A0"/>
        <w:tblInd w:w="120" w:type="dxa"/>
      </w:tblPr>
      <w:tblGrid>
        <w:gridCol w:w="2100"/>
        <w:gridCol w:w="4450"/>
        <w:gridCol w:w="2810"/>
      </w:tblGrid>
      <w:tr>
        <w:trPr>
          <w:cantSplit/>
          <w:tblHeader w:val="true"/>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Document</w:t>
            </w:r>
          </w:p>
        </w:tc>
        <w:tc>
          <w:tcPr>
            <w:tcW w:type="dxa" w:w="44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Purpose</w:t>
            </w:r>
          </w:p>
        </w:tc>
        <w:tc>
          <w:tcPr>
            <w:tcW w:type="dxa" w:w="28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Balance effect</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Sale / Sales Invoice</w:t>
            </w:r>
          </w:p>
        </w:tc>
        <w:tc>
          <w:tcPr>
            <w:tcW w:type="dxa" w:w="44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Primary evidence of products or services sold and customer charge.</w:t>
            </w:r>
          </w:p>
        </w:tc>
        <w:tc>
          <w:tcPr>
            <w:tcW w:type="dxa" w:w="28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Creates revenue basis and, when unpaid, a receivable.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Sales Receipt</w:t>
            </w:r>
          </w:p>
        </w:tc>
        <w:tc>
          <w:tcPr>
            <w:tcW w:type="dxa" w:w="44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Customer-facing evidence of a completed immediate sale where configured.</w:t>
            </w:r>
          </w:p>
        </w:tc>
        <w:tc>
          <w:tcPr>
            <w:tcW w:type="dxa" w:w="28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Commercial document; payment receipt remains MDS-300 evidence.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Billing Statement</w:t>
            </w:r>
          </w:p>
        </w:tc>
        <w:tc>
          <w:tcPr>
            <w:tcW w:type="dxa" w:w="44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Summary of selected customer activity and outstanding amounts as of a statement date.</w:t>
            </w:r>
          </w:p>
        </w:tc>
        <w:tc>
          <w:tcPr>
            <w:tcW w:type="dxa" w:w="28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No new balance; presentation only.</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Sales Return</w:t>
            </w:r>
          </w:p>
        </w:tc>
        <w:tc>
          <w:tcPr>
            <w:tcW w:type="dxa" w:w="44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Linked evidence of eligible goods/service value returned or reversed.</w:t>
            </w:r>
          </w:p>
        </w:tc>
        <w:tc>
          <w:tcPr>
            <w:tcW w:type="dxa" w:w="28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Reduces sale/receivable and may request stock restoration.</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Sales Debit Adjustment</w:t>
            </w:r>
          </w:p>
        </w:tc>
        <w:tc>
          <w:tcPr>
            <w:tcW w:type="dxa" w:w="44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Authorized increase to an existing customer balance for a valid sales-side reason.</w:t>
            </w:r>
          </w:p>
        </w:tc>
        <w:tc>
          <w:tcPr>
            <w:tcW w:type="dxa" w:w="28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Increases receivable.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Sales Credit Adjustment</w:t>
            </w:r>
          </w:p>
        </w:tc>
        <w:tc>
          <w:tcPr>
            <w:tcW w:type="dxa" w:w="44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Authorized reduction of an existing customer balance for a valid sales-side reason.</w:t>
            </w:r>
          </w:p>
        </w:tc>
        <w:tc>
          <w:tcPr>
            <w:tcW w:type="dxa" w:w="28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Reduces receivable; excess may create customer credit.</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Cancellation / Reversal Record</w:t>
            </w:r>
          </w:p>
        </w:tc>
        <w:tc>
          <w:tcPr>
            <w:tcW w:type="dxa" w:w="44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Evidence of an authorized correction path for a posted or unposted document.</w:t>
            </w:r>
          </w:p>
        </w:tc>
        <w:tc>
          <w:tcPr>
            <w:tcW w:type="dxa" w:w="28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Reverses only the original governed effects.</w:t>
            </w:r>
          </w:p>
        </w:tc>
      </w:tr>
    </w:tbl>
    <w:p>
      <w:pPr>
        <w:spacing w:after="0"/>
      </w:pPr>
    </w:p>
    <w:p>
      <w:pPr>
        <w:pStyle w:val="Heading2"/>
      </w:pPr>
      <w:r>
        <w:t>7.1 Document Terminology</w:t>
      </w:r>
    </w:p>
    <w:p>
      <w:r>
        <w:rPr>
          <w:rFonts w:ascii="Calibri" w:hAnsi="Calibri" w:eastAsia="Calibri"/>
          <w:color w:val="111827"/>
        </w:rPr>
        <w:t>The internal functional names are Sales Debit Adjustment and Sales Credit Adjustment. A jurisdiction, business convention, or output template may display Debit Note, Credit Note, Debit Memo, or Credit Memo when configured. The configured label shall not change the document's governed meaning, direction, ownership, or accounting effect.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FF7E6" w:val="clear"/>
          </w:tcPr>
          <w:p>
            <w:pPr>
              <w:spacing w:after="0"/>
            </w:pPr>
            <w:r>
              <w:rPr>
                <w:rFonts w:ascii="Calibri" w:hAnsi="Calibri" w:eastAsia="Calibri"/>
                <w:b/>
                <w:color w:val="F59E0B"/>
                <w:sz w:val="19"/>
              </w:rPr>
              <w:t xml:space="preserve">DIRECTION RULE  </w:t>
            </w:r>
            <w:r>
              <w:rPr>
                <w:rFonts w:ascii="Calibri" w:hAnsi="Calibri" w:eastAsia="Calibri"/>
                <w:b/>
                <w:color w:val="0B2545"/>
                <w:sz w:val="20"/>
              </w:rPr>
              <w:t>Debit Adjustment increases what the customer owes. Credit Adjustment decreases what the customer owes. Neither document records receipt of money.</w:t>
            </w:r>
          </w:p>
        </w:tc>
      </w:tr>
    </w:tbl>
    <w:p>
      <w:pPr>
        <w:spacing w:after="0"/>
      </w:pPr>
    </w:p>
    <w:p>
      <w:pPr>
        <w:pStyle w:val="Heading2"/>
      </w:pPr>
      <w:r>
        <w:t>7.2 Common Document Requirements</w:t>
      </w:r>
    </w:p>
    <w:p>
      <w:pPr>
        <w:numPr>
          <w:ilvl w:val="0"/>
          <w:numId w:val="10"/>
        </w:numPr>
        <w:spacing w:after="80" w:line="300" w:lineRule="auto"/>
      </w:pPr>
      <w:r>
        <w:rPr>
          <w:rFonts w:ascii="Calibri" w:hAnsi="Calibri" w:eastAsia="Calibri"/>
          <w:color w:val="111827"/>
          <w:sz w:val="21"/>
        </w:rPr>
        <w:t>Unique document identity, type, number, company, branch, business date, timestamp, source, and status.</w:t>
      </w:r>
    </w:p>
    <w:p>
      <w:pPr>
        <w:numPr>
          <w:ilvl w:val="0"/>
          <w:numId w:val="10"/>
        </w:numPr>
        <w:spacing w:after="80" w:line="300" w:lineRule="auto"/>
      </w:pPr>
      <w:r>
        <w:rPr>
          <w:rFonts w:ascii="Calibri" w:hAnsi="Calibri" w:eastAsia="Calibri"/>
          <w:color w:val="111827"/>
          <w:sz w:val="21"/>
        </w:rPr>
        <w:t>Customer identity and required snapshot details.</w:t>
      </w:r>
    </w:p>
    <w:p>
      <w:pPr>
        <w:numPr>
          <w:ilvl w:val="0"/>
          <w:numId w:val="10"/>
        </w:numPr>
        <w:spacing w:after="80" w:line="300" w:lineRule="auto"/>
      </w:pPr>
      <w:r>
        <w:rPr>
          <w:rFonts w:ascii="Calibri" w:hAnsi="Calibri" w:eastAsia="Calibri"/>
          <w:color w:val="111827"/>
          <w:sz w:val="21"/>
        </w:rPr>
        <w:t>Currency, subtotal, discount, tax, total, applications, adjustments, and outstanding balance as applicable.</w:t>
      </w:r>
    </w:p>
    <w:p>
      <w:pPr>
        <w:numPr>
          <w:ilvl w:val="0"/>
          <w:numId w:val="10"/>
        </w:numPr>
        <w:spacing w:after="80" w:line="300" w:lineRule="auto"/>
      </w:pPr>
      <w:r>
        <w:rPr>
          <w:rFonts w:ascii="Calibri" w:hAnsi="Calibri" w:eastAsia="Calibri"/>
          <w:color w:val="111827"/>
          <w:sz w:val="21"/>
        </w:rPr>
        <w:t>Originating and related document references, reason codes, notes, attachments, approvals, and audit fields.</w:t>
      </w:r>
    </w:p>
    <w:p>
      <w:pPr>
        <w:numPr>
          <w:ilvl w:val="0"/>
          <w:numId w:val="10"/>
        </w:numPr>
        <w:spacing w:after="80" w:line="300" w:lineRule="auto"/>
      </w:pPr>
      <w:r>
        <w:rPr>
          <w:rFonts w:ascii="Calibri" w:hAnsi="Calibri" w:eastAsia="Calibri"/>
          <w:color w:val="111827"/>
          <w:sz w:val="21"/>
        </w:rPr>
        <w:t>Separate transaction date, due date, statement date, posting time, and effective period where applicable.</w:t>
      </w:r>
    </w:p>
    <w:p>
      <w:pPr>
        <w:numPr>
          <w:ilvl w:val="0"/>
          <w:numId w:val="10"/>
        </w:numPr>
        <w:spacing w:after="80" w:line="300" w:lineRule="auto"/>
      </w:pPr>
      <w:r>
        <w:rPr>
          <w:rFonts w:ascii="Calibri" w:hAnsi="Calibri" w:eastAsia="Calibri"/>
          <w:color w:val="111827"/>
          <w:sz w:val="21"/>
        </w:rPr>
        <w:t>Stable printable and exportable representation subject to permissions, privacy, locale, and statutory configuration.</w:t>
      </w:r>
    </w:p>
    <w:p>
      <w:pPr>
        <w:numPr>
          <w:ilvl w:val="0"/>
          <w:numId w:val="10"/>
        </w:numPr>
        <w:spacing w:after="80" w:line="300" w:lineRule="auto"/>
      </w:pPr>
      <w:r>
        <w:rPr>
          <w:rFonts w:ascii="Calibri" w:hAnsi="Calibri" w:eastAsia="Calibri"/>
          <w:color w:val="111827"/>
          <w:sz w:val="21"/>
        </w:rPr>
        <w:t>No physical deletion after posting; correction occurs through the approved document lifecycle.</w:t>
      </w:r>
    </w:p>
    <w:p>
      <w:pPr>
        <w:pStyle w:val="Heading2"/>
      </w:pPr>
      <w:r>
        <w:t>7.3 Numbering and Output</w:t>
      </w:r>
    </w:p>
    <w:p>
      <w:r>
        <w:rPr>
          <w:rFonts w:ascii="Calibri" w:hAnsi="Calibri" w:eastAsia="Calibri"/>
          <w:color w:val="111827"/>
        </w:rPr>
        <w:t>Numbering policies are configured through MDS-1100 and enforced by Core. Sale, return, debit adjustment, credit adjustment, and billing statement sequences may be distinct. Numbers shall be unique within the configured scope and assigned at the configured lifecycle point without unsafe reuse.</w:t>
      </w:r>
    </w:p>
    <w:p>
      <w:pPr>
        <w:numPr>
          <w:ilvl w:val="0"/>
          <w:numId w:val="10"/>
        </w:numPr>
        <w:spacing w:after="80" w:line="300" w:lineRule="auto"/>
      </w:pPr>
      <w:r>
        <w:rPr>
          <w:rFonts w:ascii="Calibri" w:hAnsi="Calibri" w:eastAsia="Calibri"/>
          <w:color w:val="111827"/>
          <w:sz w:val="21"/>
        </w:rPr>
        <w:t>A reprint shall retain the original document identity and be logged as a reprint.</w:t>
      </w:r>
    </w:p>
    <w:p>
      <w:pPr>
        <w:numPr>
          <w:ilvl w:val="0"/>
          <w:numId w:val="10"/>
        </w:numPr>
        <w:spacing w:after="80" w:line="300" w:lineRule="auto"/>
      </w:pPr>
      <w:r>
        <w:rPr>
          <w:rFonts w:ascii="Calibri" w:hAnsi="Calibri" w:eastAsia="Calibri"/>
          <w:color w:val="111827"/>
          <w:sz w:val="21"/>
        </w:rPr>
        <w:t>A regenerated billing statement shall identify its statement date, generation time, scope, and version.</w:t>
      </w:r>
    </w:p>
    <w:p>
      <w:pPr>
        <w:numPr>
          <w:ilvl w:val="0"/>
          <w:numId w:val="10"/>
        </w:numPr>
        <w:spacing w:after="80" w:line="300" w:lineRule="auto"/>
      </w:pPr>
      <w:r>
        <w:rPr>
          <w:rFonts w:ascii="Calibri" w:hAnsi="Calibri" w:eastAsia="Calibri"/>
          <w:color w:val="111827"/>
          <w:sz w:val="21"/>
        </w:rPr>
        <w:t>Voided, cancelled, or reversed numbers remain preserved in sequence history.</w:t>
      </w:r>
    </w:p>
    <w:p>
      <w:pPr>
        <w:numPr>
          <w:ilvl w:val="0"/>
          <w:numId w:val="10"/>
        </w:numPr>
        <w:spacing w:after="80" w:line="300" w:lineRule="auto"/>
      </w:pPr>
      <w:r>
        <w:rPr>
          <w:rFonts w:ascii="Calibri" w:hAnsi="Calibri" w:eastAsia="Calibri"/>
          <w:color w:val="111827"/>
          <w:sz w:val="21"/>
        </w:rPr>
        <w:t>External reference numbers supplement but do not replace the SimpleBIZ identity.</w:t>
      </w:r>
    </w:p>
    <w:p>
      <w:pPr>
        <w:pStyle w:val="Heading1"/>
      </w:pPr>
      <w:r>
        <w:t>8. Business Events</w:t>
      </w:r>
    </w:p>
    <w:p>
      <w:r>
        <w:rPr>
          <w:rFonts w:ascii="Calibri" w:hAnsi="Calibri" w:eastAsia="Calibri"/>
          <w:color w:val="111827"/>
        </w:rPr>
        <w:t>Material changes shall publish governed business events only after the required transaction state is known. Consumers shall treat event delivery idempotently and shall not infer success from an uncommitted request.</w:t>
      </w:r>
    </w:p>
    <w:tbl>
      <w:tblPr>
        <w:tblW w:type="dxa" w:w="9360"/>
        <w:jc w:val="left"/>
        <w:tblLayout w:type="fixed"/>
        <w:tblLook w:firstColumn="1" w:firstRow="1" w:lastColumn="0" w:lastRow="0" w:noHBand="0" w:noVBand="1" w:val="04A0"/>
        <w:tblInd w:w="120" w:type="dxa"/>
      </w:tblPr>
      <w:tblGrid>
        <w:gridCol w:w="1700"/>
        <w:gridCol w:w="2800"/>
        <w:gridCol w:w="4860"/>
      </w:tblGrid>
      <w:tr>
        <w:trPr>
          <w:cantSplit/>
          <w:tblHeader w:val="true"/>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Event code</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Business event</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Primary trigger and result</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EVT-SAL-001</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Sale Draft Created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 permitted user saves a new sale draft.</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EVT-SAL-002</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Sale Submitted for Approval</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 configured approval threshold or policy is triggered.</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EVT-SAL-003</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Sale Posted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The sale passes validation and required cross-module effects commit.</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EVT-SAL-004</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Receivable Created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 posted credit/unpaid amount creates a customer open item.</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EVT-SAL-005</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Sale Cancelled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An unposted or cancellable sale is closed with reason and authority.</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EVT-SAL-006</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Sale Reversed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 posted sale is corrected by a linked reversing transaction.</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EVT-SAL-007</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Sales Return Posted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An eligible linked return commits.</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EVT-SAL-008</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Debit Adjustment Posted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 valid sales debit adjustment increases the receivable.</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EVT-SAL-009</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Credit Adjustment Posted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 valid sales credit adjustment reduces the receivable.</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EVT-SAL-010</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Billing Statement Generated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 governed customer statement is produced for a stated scope/date.</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EVT-SAL-011</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Receivable Became Due</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The due condition is reached under the approved business calendar.</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EVT-SAL-012</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Receivable Became Overdue</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An outstanding amount passes its due condition.</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EVT-SAL-013</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Receivable Partially Settled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 valid MDS-300 application reduces but does not clear the open item.</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EVT-SAL-014</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Receivable Settled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Valid applications/adjustments reduce the open balance to zero.</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EVT-SAL-015</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External Sale Accepted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 valid, nonduplicate external-channel sale is accepted for governed processing.</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EVT-SAL-016</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Sales Document Reprinted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An authorized output is reissued and audit evidence is recorded.</w:t>
            </w:r>
          </w:p>
        </w:tc>
      </w:tr>
    </w:tbl>
    <w:p>
      <w:pPr>
        <w:spacing w:after="0"/>
      </w:pPr>
    </w:p>
    <w:p>
      <w:pPr>
        <w:pStyle w:val="Heading1"/>
      </w:pPr>
      <w:r>
        <w:t>9. Functional Requirements</w:t>
      </w:r>
    </w:p>
    <w:tbl>
      <w:tblPr>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Requirement ID</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Requirement</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MDS-200-FR-001</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Permit an authorized user to start, save, resume, edit, and discard an unposted sale draft.</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MDS-200-FR-002</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Support product, service, and mixed sales with line-level quantity, unit, price, discount, tax, and description.</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MDS-200-FR-003</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Support an approved walk-in profile for immediate sales and require an identified customer for credit sales.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MDS-200-FR-004</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Calculate and display subtotal, discount, tax, total, amount to collect, and receivable amount consistently.</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MDS-200-FR-005</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Support cash sale and credit sale as clear user choices without creating separate sources of truth.</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MDS-200-FR-006</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For a paid-now sale, orchestrate the linked receipt, application, cash movement, and stock movement through owning modules.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MDS-200-FR-007</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For a credit sale, create a receivable with customer, original amount, terms, due date, and open balance.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MDS-200-FR-008</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Support partial amount received at sale completion while preserving the remaining receivable.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MDS-200-FR-009</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Apply customer, price-list, tax, branch, warehouse, salesperson, and channel defaults subject to authorization.</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MDS-200-FR-010</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Validate customer credit eligibility, limit, overdue policy, and approval requirements when configured.</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MDS-200-FR-011</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Support price and discount overrides only within assigned permission and threshold.</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MDS-200-FR-012</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Show stock availability from MDS-600 without treating the displayed quantity as MDS-200-owned data.</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MDS-200-FR-013</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Prevent duplicate completion caused by retry, repeated click, external resubmission, or uncertain client state.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MDS-200-FR-014</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Return one conclusive completion result and a durable reference for transaction-status verification.</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MDS-200-FR-015</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Create sales returns only from eligible original sale lines and remaining returnable quantity/value.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MDS-200-FR-016</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Create sales debit and credit adjustments as linked, separately numbered, reasoned documents.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MDS-200-FR-017</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Generate billing statements by customer, statement date, selected activity scope, and authorized business context.</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MDS-200-FR-018</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Keep a billing statement reconciled to its source documents and prevent it from creating a second balance.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MDS-200-FR-019</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Maintain original amount, valid applications, adjustments, returns, write-off/reversal effects, and current open balance.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MDS-200-FR-020</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Determine due and overdue conditions using the governed date, terms, business calendar, and remaining balance.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MDS-200-FR-021</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Consume MDS-300 receipt/application events idempotently and update settlement status without duplicating money.</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MDS-200-FR-022</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Support sales and receivable search by number, customer, date, amount, status, reference, user, branch, and channel.</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MDS-200-FR-023</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Provide complete document-chain navigation among sale, return, adjustment, receipt/application, and statement records.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MDS-200-FR-024</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Permit authorized print, reprint, export, and share preparation subject to privacy and audit policy.</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MDS-200-FR-025</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Create Needs Attention conditions for overdue, blocked, failed, approval, disputed, and configured credit-risk scenarios.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MDS-200-FR-026</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Expose governed metrics and drill-downs to MDS-100 and MDS-900 without independent dashboard calculations.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MDS-200-FR-027</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Support contextual quick-create/select of shared master records through MDS-1000 controls.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MDS-200-FR-028</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Support active entitlement and configuration checks without discarding historical data when a capability is disabled.</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MDS-200-FR-029</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Record actor, source, time, device/channel where available, approval, reason, prior/new state, and processing result.</w:t>
            </w:r>
          </w:p>
        </w:tc>
      </w:tr>
    </w:tbl>
    <w:p>
      <w:pPr>
        <w:spacing w:after="0"/>
      </w:pPr>
    </w:p>
    <w:p>
      <w:pPr>
        <w:pStyle w:val="Heading1"/>
      </w:pPr>
      <w:r>
        <w:t>10. Module Rules</w:t>
      </w:r>
    </w:p>
    <w:tbl>
      <w:tblPr>
        <w:tblW w:type="dxa" w:w="9360"/>
        <w:jc w:val="left"/>
        <w:tblLayout w:type="fixed"/>
        <w:tblLook w:firstColumn="1" w:firstRow="1" w:lastColumn="0" w:lastRow="0" w:noHBand="0" w:noVBand="1" w:val="04A0"/>
        <w:tblInd w:w="120" w:type="dxa"/>
      </w:tblPr>
      <w:tblGrid>
        <w:gridCol w:w="2000"/>
        <w:gridCol w:w="7360"/>
      </w:tblGrid>
      <w:tr>
        <w:trPr>
          <w:cantSplit/>
          <w:tblHeader w:val="true"/>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Rule ID</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Module Rule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MDS-200-MR-001</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posted sale shall contain at least one valid product or service line.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MDS-200-MR-002</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Ordinary sale quantities shall be greater than zero; corrections use controlled return or adjustment documents.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MDS-200-MR-003</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credit sale requires an identified, active, credit-eligible customer unless an authorized exception applies.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MDS-200-MR-004</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receivable shall never be created from a billing statement alone.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MDS-200-MR-005</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posted sale shall not be physically deleted or silently edited.</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MDS-200-MR-006</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Posted-document correction shall use cancellation, return, debit adjustment, credit adjustment, or reversal as applicable.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MDS-200-MR-007</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return shall reference the original sale and shall not exceed remaining eligible quantity or value.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MDS-200-MR-008</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Debit adjustment increases receivable; credit adjustment decreases receivable.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MDS-200-MR-009</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Every adjustment shall identify reason, related document/account, authority, and audit evidence.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MDS-200-MR-010</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payment/collection shall not be fabricated or manually declared in MDS-200; settlement requires valid MDS-300 evidence.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MDS-200-MR-011</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The open balance equals governed charge effects less valid applications and credit/reversal effects, plus valid debit effects.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MDS-200-MR-012</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Payment status, due status, sale status, return status, and approval status are distinct dimensions.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MDS-200-MR-013</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zero open balance shall not by itself erase dispute, reversal, return, or audit history.</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MDS-200-MR-014</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Tax, price, discount, currency, rounding, and terms use the effective governed configuration at transaction time.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MDS-200-MR-015</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Unauthorized negative price, excessive discount, backdate, closed-period posting, or credit override shall be blocked.</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MDS-200-MR-016</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Inventory-affecting lines shall use MDS-600 availability and movement authority.</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MDS-200-MR-017</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Cash sale completion shall not succeed if a required linked receipt, cash, or stock effect fails.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MDS-200-MR-018</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External-channel identity shall be sufficient to prevent duplicate imports and preserve origin traceability.</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MDS-200-MR-019</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Deactivated master records remain visible on history but are unavailable for new use unless policy permits.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MDS-200-MR-020</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Document numbers remain unique and preserved after cancellation, void, or reversal.</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MDS-200-MR-021</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All cross-module retries shall be idempotent and shall preserve one business result.</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MDS-200-MR-022</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An unauthorized user shall not gain access through Dashboard, deep link, export, API, or contextual shortcut.</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MDS-200-MR-023</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receivable becomes overdue only when a positive balance remains beyond the governed due condition.</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MDS-200-MR-024</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Historical financial meaning shall not change merely because a registry name, price, term, or tax configuration changes later.</w:t>
            </w:r>
          </w:p>
        </w:tc>
      </w:tr>
    </w:tbl>
    <w:p>
      <w:pPr>
        <w:spacing w:after="0"/>
      </w:pPr>
    </w:p>
    <w:p>
      <w:pPr>
        <w:pStyle w:val="Heading1"/>
      </w:pPr>
      <w:r>
        <w:t>11. Workflow and Status</w:t>
      </w:r>
    </w:p>
    <w:p>
      <w:pPr>
        <w:pStyle w:val="Heading2"/>
      </w:pPr>
      <w:r>
        <w:t>11.1 Standard Cash Sale</w:t>
      </w:r>
    </w:p>
    <w:p>
      <w:pPr>
        <w:numPr>
          <w:ilvl w:val="0"/>
          <w:numId w:val="13"/>
        </w:numPr>
        <w:spacing w:after="80" w:line="300" w:lineRule="auto"/>
      </w:pPr>
      <w:r>
        <w:rPr>
          <w:rFonts w:ascii="Calibri" w:hAnsi="Calibri" w:eastAsia="Calibri"/>
          <w:color w:val="111827"/>
          <w:sz w:val="21"/>
        </w:rPr>
        <w:t>Select Walk-in or an identified customer.</w:t>
      </w:r>
    </w:p>
    <w:p>
      <w:pPr>
        <w:numPr>
          <w:ilvl w:val="0"/>
          <w:numId w:val="13"/>
        </w:numPr>
        <w:spacing w:after="80" w:line="300" w:lineRule="auto"/>
      </w:pPr>
      <w:r>
        <w:rPr>
          <w:rFonts w:ascii="Calibri" w:hAnsi="Calibri" w:eastAsia="Calibri"/>
          <w:color w:val="111827"/>
          <w:sz w:val="21"/>
        </w:rPr>
        <w:t>Add products and/or services and confirm quantity, unit, price, discount, and tax.</w:t>
      </w:r>
    </w:p>
    <w:p>
      <w:pPr>
        <w:numPr>
          <w:ilvl w:val="0"/>
          <w:numId w:val="13"/>
        </w:numPr>
        <w:spacing w:after="80" w:line="300" w:lineRule="auto"/>
      </w:pPr>
      <w:r>
        <w:rPr>
          <w:rFonts w:ascii="Calibri" w:hAnsi="Calibri" w:eastAsia="Calibri"/>
          <w:color w:val="111827"/>
          <w:sz w:val="21"/>
        </w:rPr>
        <w:t>Select paid-now payment method and cash account when required.</w:t>
      </w:r>
    </w:p>
    <w:p>
      <w:pPr>
        <w:numPr>
          <w:ilvl w:val="0"/>
          <w:numId w:val="13"/>
        </w:numPr>
        <w:spacing w:after="80" w:line="300" w:lineRule="auto"/>
      </w:pPr>
      <w:r>
        <w:rPr>
          <w:rFonts w:ascii="Calibri" w:hAnsi="Calibri" w:eastAsia="Calibri"/>
          <w:color w:val="111827"/>
          <w:sz w:val="21"/>
        </w:rPr>
        <w:t>Validate authorization, configuration, stock, totals, and duplicate protection.</w:t>
      </w:r>
    </w:p>
    <w:p>
      <w:pPr>
        <w:numPr>
          <w:ilvl w:val="0"/>
          <w:numId w:val="13"/>
        </w:numPr>
        <w:spacing w:after="80" w:line="300" w:lineRule="auto"/>
      </w:pPr>
      <w:r>
        <w:rPr>
          <w:rFonts w:ascii="Calibri" w:hAnsi="Calibri" w:eastAsia="Calibri"/>
          <w:color w:val="111827"/>
          <w:sz w:val="21"/>
        </w:rPr>
        <w:t>Post the sale and linked receipt/application, stock movement, and cash movement atomically.</w:t>
      </w:r>
    </w:p>
    <w:p>
      <w:pPr>
        <w:numPr>
          <w:ilvl w:val="0"/>
          <w:numId w:val="13"/>
        </w:numPr>
        <w:spacing w:after="80" w:line="300" w:lineRule="auto"/>
      </w:pPr>
      <w:r>
        <w:rPr>
          <w:rFonts w:ascii="Calibri" w:hAnsi="Calibri" w:eastAsia="Calibri"/>
          <w:color w:val="111827"/>
          <w:sz w:val="21"/>
        </w:rPr>
        <w:t>Issue configured customer-facing documents and refresh histories, reports, activity, and attention.</w:t>
      </w:r>
    </w:p>
    <w:p>
      <w:pPr>
        <w:pStyle w:val="Heading2"/>
      </w:pPr>
      <w:r>
        <w:t>11.2 Standard Credit Sale</w:t>
      </w:r>
    </w:p>
    <w:p>
      <w:pPr>
        <w:numPr>
          <w:ilvl w:val="0"/>
          <w:numId w:val="14"/>
        </w:numPr>
        <w:spacing w:after="80" w:line="300" w:lineRule="auto"/>
      </w:pPr>
      <w:r>
        <w:rPr>
          <w:rFonts w:ascii="Calibri" w:hAnsi="Calibri" w:eastAsia="Calibri"/>
          <w:color w:val="111827"/>
          <w:sz w:val="21"/>
        </w:rPr>
        <w:t>Select an identified customer and confirm credit eligibility.</w:t>
      </w:r>
    </w:p>
    <w:p>
      <w:pPr>
        <w:numPr>
          <w:ilvl w:val="0"/>
          <w:numId w:val="14"/>
        </w:numPr>
        <w:spacing w:after="80" w:line="300" w:lineRule="auto"/>
      </w:pPr>
      <w:r>
        <w:rPr>
          <w:rFonts w:ascii="Calibri" w:hAnsi="Calibri" w:eastAsia="Calibri"/>
          <w:color w:val="111827"/>
          <w:sz w:val="21"/>
        </w:rPr>
        <w:t>Add products and/or services and determine totals.</w:t>
      </w:r>
    </w:p>
    <w:p>
      <w:pPr>
        <w:numPr>
          <w:ilvl w:val="0"/>
          <w:numId w:val="14"/>
        </w:numPr>
        <w:spacing w:after="80" w:line="300" w:lineRule="auto"/>
      </w:pPr>
      <w:r>
        <w:rPr>
          <w:rFonts w:ascii="Calibri" w:hAnsi="Calibri" w:eastAsia="Calibri"/>
          <w:color w:val="111827"/>
          <w:sz w:val="21"/>
        </w:rPr>
        <w:t>Apply payment terms, due date, credit limit, and approval policy.</w:t>
      </w:r>
    </w:p>
    <w:p>
      <w:pPr>
        <w:numPr>
          <w:ilvl w:val="0"/>
          <w:numId w:val="14"/>
        </w:numPr>
        <w:spacing w:after="80" w:line="300" w:lineRule="auto"/>
      </w:pPr>
      <w:r>
        <w:rPr>
          <w:rFonts w:ascii="Calibri" w:hAnsi="Calibri" w:eastAsia="Calibri"/>
          <w:color w:val="111827"/>
          <w:sz w:val="21"/>
        </w:rPr>
        <w:t>Post the sale and required inventory effect.</w:t>
      </w:r>
    </w:p>
    <w:p>
      <w:pPr>
        <w:numPr>
          <w:ilvl w:val="0"/>
          <w:numId w:val="14"/>
        </w:numPr>
        <w:spacing w:after="80" w:line="300" w:lineRule="auto"/>
      </w:pPr>
      <w:r>
        <w:rPr>
          <w:rFonts w:ascii="Calibri" w:hAnsi="Calibri" w:eastAsia="Calibri"/>
          <w:color w:val="111827"/>
          <w:sz w:val="21"/>
        </w:rPr>
        <w:t>Create the customer receivable open item.</w:t>
      </w:r>
    </w:p>
    <w:p>
      <w:pPr>
        <w:numPr>
          <w:ilvl w:val="0"/>
          <w:numId w:val="14"/>
        </w:numPr>
        <w:spacing w:after="80" w:line="300" w:lineRule="auto"/>
      </w:pPr>
      <w:r>
        <w:rPr>
          <w:rFonts w:ascii="Calibri" w:hAnsi="Calibri" w:eastAsia="Calibri"/>
          <w:color w:val="111827"/>
          <w:sz w:val="21"/>
        </w:rPr>
        <w:t>Issue the sale document and surface the item for later collection through MDS-300.</w:t>
      </w:r>
    </w:p>
    <w:p>
      <w:pPr>
        <w:pStyle w:val="Heading2"/>
      </w:pPr>
      <w:r>
        <w:t>11.3 Partial Payment at Sale</w:t>
      </w:r>
    </w:p>
    <w:p>
      <w:pPr>
        <w:numPr>
          <w:ilvl w:val="0"/>
          <w:numId w:val="15"/>
        </w:numPr>
        <w:spacing w:after="80" w:line="300" w:lineRule="auto"/>
      </w:pPr>
      <w:r>
        <w:rPr>
          <w:rFonts w:ascii="Calibri" w:hAnsi="Calibri" w:eastAsia="Calibri"/>
          <w:color w:val="111827"/>
          <w:sz w:val="21"/>
        </w:rPr>
        <w:t>Determine the posted sale total.</w:t>
      </w:r>
    </w:p>
    <w:p>
      <w:pPr>
        <w:numPr>
          <w:ilvl w:val="0"/>
          <w:numId w:val="15"/>
        </w:numPr>
        <w:spacing w:after="80" w:line="300" w:lineRule="auto"/>
      </w:pPr>
      <w:r>
        <w:rPr>
          <w:rFonts w:ascii="Calibri" w:hAnsi="Calibri" w:eastAsia="Calibri"/>
          <w:color w:val="111827"/>
          <w:sz w:val="21"/>
        </w:rPr>
        <w:t>Record the amount received through the governed MDS-300 receipt/application capability.</w:t>
      </w:r>
    </w:p>
    <w:p>
      <w:pPr>
        <w:numPr>
          <w:ilvl w:val="0"/>
          <w:numId w:val="15"/>
        </w:numPr>
        <w:spacing w:after="80" w:line="300" w:lineRule="auto"/>
      </w:pPr>
      <w:r>
        <w:rPr>
          <w:rFonts w:ascii="Calibri" w:hAnsi="Calibri" w:eastAsia="Calibri"/>
          <w:color w:val="111827"/>
          <w:sz w:val="21"/>
        </w:rPr>
        <w:t>Post the matching cash effect through MDS-700.</w:t>
      </w:r>
    </w:p>
    <w:p>
      <w:pPr>
        <w:numPr>
          <w:ilvl w:val="0"/>
          <w:numId w:val="15"/>
        </w:numPr>
        <w:spacing w:after="80" w:line="300" w:lineRule="auto"/>
      </w:pPr>
      <w:r>
        <w:rPr>
          <w:rFonts w:ascii="Calibri" w:hAnsi="Calibri" w:eastAsia="Calibri"/>
          <w:color w:val="111827"/>
          <w:sz w:val="21"/>
        </w:rPr>
        <w:t>Create or retain the remaining receivable in MDS-200.</w:t>
      </w:r>
    </w:p>
    <w:p>
      <w:pPr>
        <w:numPr>
          <w:ilvl w:val="0"/>
          <w:numId w:val="15"/>
        </w:numPr>
        <w:spacing w:after="80" w:line="300" w:lineRule="auto"/>
      </w:pPr>
      <w:r>
        <w:rPr>
          <w:rFonts w:ascii="Calibri" w:hAnsi="Calibri" w:eastAsia="Calibri"/>
          <w:color w:val="111827"/>
          <w:sz w:val="21"/>
        </w:rPr>
        <w:t>Show separate sale total, amount received, and outstanding amount.</w:t>
      </w:r>
    </w:p>
    <w:p>
      <w:pPr>
        <w:pStyle w:val="Heading2"/>
      </w:pPr>
      <w:r>
        <w:t>11.4 Sales Return and Customer Refund</w:t>
      </w:r>
    </w:p>
    <w:p>
      <w:pPr>
        <w:numPr>
          <w:ilvl w:val="0"/>
          <w:numId w:val="16"/>
        </w:numPr>
        <w:spacing w:after="80" w:line="300" w:lineRule="auto"/>
      </w:pPr>
      <w:r>
        <w:rPr>
          <w:rFonts w:ascii="Calibri" w:hAnsi="Calibri" w:eastAsia="Calibri"/>
          <w:color w:val="111827"/>
          <w:sz w:val="21"/>
        </w:rPr>
        <w:t>Locate the original posted sale and select eligible lines or value.</w:t>
      </w:r>
    </w:p>
    <w:p>
      <w:pPr>
        <w:numPr>
          <w:ilvl w:val="0"/>
          <w:numId w:val="16"/>
        </w:numPr>
        <w:spacing w:after="80" w:line="300" w:lineRule="auto"/>
      </w:pPr>
      <w:r>
        <w:rPr>
          <w:rFonts w:ascii="Calibri" w:hAnsi="Calibri" w:eastAsia="Calibri"/>
          <w:color w:val="111827"/>
          <w:sz w:val="21"/>
        </w:rPr>
        <w:t>Validate remaining returnable quantity/value, date/policy, stock disposition, and authority.</w:t>
      </w:r>
    </w:p>
    <w:p>
      <w:pPr>
        <w:numPr>
          <w:ilvl w:val="0"/>
          <w:numId w:val="16"/>
        </w:numPr>
        <w:spacing w:after="80" w:line="300" w:lineRule="auto"/>
      </w:pPr>
      <w:r>
        <w:rPr>
          <w:rFonts w:ascii="Calibri" w:hAnsi="Calibri" w:eastAsia="Calibri"/>
          <w:color w:val="111827"/>
          <w:sz w:val="21"/>
        </w:rPr>
        <w:t>Post the linked Sales Return and required MDS-600 stock effect.</w:t>
      </w:r>
    </w:p>
    <w:p>
      <w:pPr>
        <w:numPr>
          <w:ilvl w:val="0"/>
          <w:numId w:val="16"/>
        </w:numPr>
        <w:spacing w:after="80" w:line="300" w:lineRule="auto"/>
      </w:pPr>
      <w:r>
        <w:rPr>
          <w:rFonts w:ascii="Calibri" w:hAnsi="Calibri" w:eastAsia="Calibri"/>
          <w:color w:val="111827"/>
          <w:sz w:val="21"/>
        </w:rPr>
        <w:t>Reduce the receivable or create customer credit as applicable.</w:t>
      </w:r>
    </w:p>
    <w:p>
      <w:pPr>
        <w:numPr>
          <w:ilvl w:val="0"/>
          <w:numId w:val="16"/>
        </w:numPr>
        <w:spacing w:after="80" w:line="300" w:lineRule="auto"/>
      </w:pPr>
      <w:r>
        <w:rPr>
          <w:rFonts w:ascii="Calibri" w:hAnsi="Calibri" w:eastAsia="Calibri"/>
          <w:color w:val="111827"/>
          <w:sz w:val="21"/>
        </w:rPr>
        <w:t>If money must be paid back, authorize a customer refund for execution through MDS-500.</w:t>
      </w:r>
    </w:p>
    <w:p>
      <w:pPr>
        <w:numPr>
          <w:ilvl w:val="0"/>
          <w:numId w:val="16"/>
        </w:numPr>
        <w:spacing w:after="80" w:line="300" w:lineRule="auto"/>
      </w:pPr>
      <w:r>
        <w:rPr>
          <w:rFonts w:ascii="Calibri" w:hAnsi="Calibri" w:eastAsia="Calibri"/>
          <w:color w:val="111827"/>
          <w:sz w:val="21"/>
        </w:rPr>
        <w:t>Preserve the full original-to-return-to-refund chain.</w:t>
      </w:r>
    </w:p>
    <w:p>
      <w:pPr>
        <w:pStyle w:val="Heading2"/>
      </w:pPr>
      <w:r>
        <w:t>11.5 Billing Statement</w:t>
      </w:r>
    </w:p>
    <w:p>
      <w:pPr>
        <w:numPr>
          <w:ilvl w:val="0"/>
          <w:numId w:val="17"/>
        </w:numPr>
        <w:spacing w:after="80" w:line="300" w:lineRule="auto"/>
      </w:pPr>
      <w:r>
        <w:rPr>
          <w:rFonts w:ascii="Calibri" w:hAnsi="Calibri" w:eastAsia="Calibri"/>
          <w:color w:val="111827"/>
          <w:sz w:val="21"/>
        </w:rPr>
        <w:t>Select customer, statement date, company/branch scope, currency, and activity window.</w:t>
      </w:r>
    </w:p>
    <w:p>
      <w:pPr>
        <w:numPr>
          <w:ilvl w:val="0"/>
          <w:numId w:val="17"/>
        </w:numPr>
        <w:spacing w:after="80" w:line="300" w:lineRule="auto"/>
      </w:pPr>
      <w:r>
        <w:rPr>
          <w:rFonts w:ascii="Calibri" w:hAnsi="Calibri" w:eastAsia="Calibri"/>
          <w:color w:val="111827"/>
          <w:sz w:val="21"/>
        </w:rPr>
        <w:t>Retrieve governed sales charges, returns, adjustments, applications, and balances.</w:t>
      </w:r>
    </w:p>
    <w:p>
      <w:pPr>
        <w:numPr>
          <w:ilvl w:val="0"/>
          <w:numId w:val="17"/>
        </w:numPr>
        <w:spacing w:after="80" w:line="300" w:lineRule="auto"/>
      </w:pPr>
      <w:r>
        <w:rPr>
          <w:rFonts w:ascii="Calibri" w:hAnsi="Calibri" w:eastAsia="Calibri"/>
          <w:color w:val="111827"/>
          <w:sz w:val="21"/>
        </w:rPr>
        <w:t>Reconcile beginning balance, period movement, and ending balance.</w:t>
      </w:r>
    </w:p>
    <w:p>
      <w:pPr>
        <w:numPr>
          <w:ilvl w:val="0"/>
          <w:numId w:val="17"/>
        </w:numPr>
        <w:spacing w:after="80" w:line="300" w:lineRule="auto"/>
      </w:pPr>
      <w:r>
        <w:rPr>
          <w:rFonts w:ascii="Calibri" w:hAnsi="Calibri" w:eastAsia="Calibri"/>
          <w:color w:val="111827"/>
          <w:sz w:val="21"/>
        </w:rPr>
        <w:t>Generate and retain statement identity, filters, generation time, and source references.</w:t>
      </w:r>
    </w:p>
    <w:p>
      <w:pPr>
        <w:numPr>
          <w:ilvl w:val="0"/>
          <w:numId w:val="17"/>
        </w:numPr>
        <w:spacing w:after="80" w:line="300" w:lineRule="auto"/>
      </w:pPr>
      <w:r>
        <w:rPr>
          <w:rFonts w:ascii="Calibri" w:hAnsi="Calibri" w:eastAsia="Calibri"/>
          <w:color w:val="111827"/>
          <w:sz w:val="21"/>
        </w:rPr>
        <w:t>Issue, reissue, or supersede according to permission without changing the underlying receivable.</w:t>
      </w:r>
    </w:p>
    <w:p>
      <w:pPr>
        <w:pStyle w:val="Heading2"/>
      </w:pPr>
      <w:r>
        <w:t>11.6 Status Models</w:t>
      </w:r>
    </w:p>
    <w:tbl>
      <w:tblPr>
        <w:tblW w:type="dxa" w:w="9360"/>
        <w:jc w:val="left"/>
        <w:tblLayout w:type="fixed"/>
        <w:tblLook w:firstColumn="1" w:firstRow="1" w:lastColumn="0" w:lastRow="0" w:noHBand="0" w:noVBand="1" w:val="04A0"/>
        <w:tblInd w:w="120" w:type="dxa"/>
      </w:tblPr>
      <w:tblGrid>
        <w:gridCol w:w="2200"/>
        <w:gridCol w:w="3900"/>
        <w:gridCol w:w="3260"/>
      </w:tblGrid>
      <w:tr>
        <w:trPr>
          <w:cantSplit/>
          <w:tblHeader w:val="true"/>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Status dimension</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Initial statuses</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Control</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Sale lifecycle</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Draft; For Approval; Approved; Posted; Cancelled; Reversed; Failed</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Posted is immutable to ordinary edit.</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Return position</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Not Returned; Partially Returned; Fully Returned</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Derived from valid posted returns.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Receivable settlement</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Not Applicable; Unpaid; Partially Paid; Paid; Written Off; Reversed</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Derived from governed open-item effects.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Due condition</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Not Yet Due; Due Today; Overdue; No Due Date</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Derived from due date/calendar and positive balance.</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Dispute condition</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Not Disputed; Disputed; Resolved</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Separate from payment and due state.</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Adjustment lifecycle</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Draft; For Approval; Approved; Posted; Cancelled; Reversed; Failed</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Separately numbered linked document.</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Billing statement</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Draft; Generated; Issued; Superseded; Cancelled</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Presentation record; no independent balance effect.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STATUS INTEGRITY  </w:t>
            </w:r>
            <w:r>
              <w:rPr>
                <w:rFonts w:ascii="Calibri" w:hAnsi="Calibri" w:eastAsia="Calibri"/>
                <w:b/>
                <w:color w:val="0B2545"/>
                <w:sz w:val="20"/>
              </w:rPr>
              <w:t>Paid, Posted, Returned, Overdue, Approved, and Disputed answer different questions. The system shall not compress them into one ambiguous status field.</w:t>
            </w:r>
          </w:p>
        </w:tc>
      </w:tr>
    </w:tbl>
    <w:p>
      <w:pPr>
        <w:spacing w:after="0"/>
      </w:pPr>
    </w:p>
    <w:p>
      <w:pPr>
        <w:pStyle w:val="Heading2"/>
      </w:pPr>
      <w:r>
        <w:t>11.7 Exception and Recovery Paths</w:t>
      </w:r>
    </w:p>
    <w:tbl>
      <w:tblPr>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Condition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handling</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Validation or authorization failure</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Do not post; retain safe draft and show a specific corrective message.</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Stock failure</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Block or route an authorized policy path; do not silently create negative stock.</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Receipt/cash failure during cash sale</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Do not report the sale as completed; return conclusive status and safe retry guidance.</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Cross-module failure</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Roll back the governed transaction or enter a controlled recoverable state; never leave hidden partial success.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Duplicate/uncertain submission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Verify by idempotency key/status reference before retrying.</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Approval rejection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Retain record and reason; do not post business effects.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Completed-sale correction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return, adjustment, cancellation, or reversal according to state and policy.</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External import conflict</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Quarantine for review with source identity and reason; do not duplicate.</w:t>
            </w:r>
          </w:p>
        </w:tc>
      </w:tr>
    </w:tbl>
    <w:p>
      <w:pPr>
        <w:spacing w:after="0"/>
      </w:pPr>
    </w:p>
    <w:p>
      <w:r>
        <w:br w:type="page"/>
      </w:r>
    </w:p>
    <w:p>
      <w:pPr>
        <w:spacing w:before="920" w:after="100"/>
      </w:pPr>
      <w:r>
        <w:rPr>
          <w:rFonts w:ascii="Calibri" w:hAnsi="Calibri" w:eastAsia="Calibri"/>
          <w:b/>
          <w:color w:val="F59E0B"/>
          <w:sz w:val="20"/>
        </w:rPr>
        <w:t>PART III</w:t>
      </w:r>
    </w:p>
    <w:p>
      <w:pPr>
        <w:spacing w:after="160"/>
      </w:pPr>
      <w:r>
        <w:rPr>
          <w:rFonts w:ascii="Calibri" w:hAnsi="Calibri" w:eastAsia="Calibri"/>
          <w:b/>
          <w:color w:val="0B2545"/>
          <w:sz w:val="50"/>
        </w:rPr>
        <w:t>Integration and Information</w:t>
      </w:r>
    </w:p>
    <w:p>
      <w:pPr>
        <w:spacing w:after="360"/>
        <w:pBdr>
          <w:bottom w:val="single" w:sz="8" w:space="5" w:color="E8EEF5"/>
        </w:pBdr>
      </w:pPr>
      <w:r>
        <w:rPr>
          <w:rFonts w:ascii="Calibri" w:hAnsi="Calibri" w:eastAsia="Calibri"/>
          <w:color w:val="5B6573"/>
          <w:sz w:val="24"/>
        </w:rPr>
        <w:t>Cross-module contracts, reporting, tasks, security, data entities, and authoritative ownership.</w:t>
      </w:r>
    </w:p>
    <w:p>
      <w:pPr>
        <w:pStyle w:val="Heading1"/>
      </w:pPr>
      <w:r>
        <w:t>12. Integration</w:t>
      </w:r>
    </w:p>
    <w:tbl>
      <w:tblPr>
        <w:tblW w:type="dxa" w:w="9360"/>
        <w:jc w:val="left"/>
        <w:tblLayout w:type="fixed"/>
        <w:tblLook w:firstColumn="1" w:firstRow="1" w:lastColumn="0" w:lastRow="0" w:noHBand="0" w:noVBand="1" w:val="04A0"/>
        <w:tblInd w:w="120" w:type="dxa"/>
      </w:tblPr>
      <w:tblGrid>
        <w:gridCol w:w="2600"/>
        <w:gridCol w:w="6760"/>
      </w:tblGrid>
      <w:tr>
        <w:trPr>
          <w:cantSplit/>
          <w:tblHeader w:val="true"/>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Module / service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MDS-200 integration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MDS-000 Core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Uses identity, company context, permissions, entitlements, numbering, transaction, event, audit, attachment, error, and notification services.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MDS-100 Dashboard</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Supplies governed sales/receivable metrics, attention, activity, drill-downs, and sale-entry destinations.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MDS-300 Collections &amp; Receipts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Receives customer money, issues payment receipts, applies amounts to open items, and returns settlement/application events.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MDS-500 Payments &amp; Disbursements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Executes approved customer refunds or other outgoing settlements resulting from a sales-side decision.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MDS-600 Inventory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Provides availability and owns stock issue, restoration, allocation, cost, and warehouse/location effects.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MDS-700 Cash Accounts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Owns cash movements and balances created by receipts/refunds; supplies account availability and status.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MDS-800 Expenses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No ordinary sales ownership; only authorized cross-reference where a special transaction creates an expense-side consequence.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MDS-900 Reports &amp; Analytics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Consumes governed source data and owns consolidated report presentation and cross-module analytics.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MDS-1000 Master Registries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Owns customers, products/services, price lists, terms, taxes, branches, warehouses, salespersons, channels, and references.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MDS-1100 Settings &amp; Administration</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Supplies users/roles, numbering, tax/accounting preferences, localization, module, approval, and integration configuration.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External integrations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Submit or synchronize through approved APIs/events; never write directly to sales, stock, cash, or receivable tables.</w:t>
            </w:r>
          </w:p>
        </w:tc>
      </w:tr>
    </w:tbl>
    <w:p>
      <w:pPr>
        <w:spacing w:after="0"/>
      </w:pPr>
    </w:p>
    <w:p>
      <w:pPr>
        <w:pStyle w:val="Heading2"/>
      </w:pPr>
      <w:r>
        <w:t>12.1 Cross-Module Transaction Effects</w:t>
      </w:r>
    </w:p>
    <w:tbl>
      <w:tblPr>
        <w:tblW w:type="dxa" w:w="9360"/>
        <w:jc w:val="left"/>
        <w:tblLayout w:type="fixed"/>
        <w:tblLook w:firstColumn="1" w:firstRow="1" w:lastColumn="0" w:lastRow="0" w:noHBand="0" w:noVBand="1" w:val="04A0"/>
        <w:tblInd w:w="120" w:type="dxa"/>
      </w:tblPr>
      <w:tblGrid>
        <w:gridCol w:w="2200"/>
        <w:gridCol w:w="3400"/>
        <w:gridCol w:w="3760"/>
      </w:tblGrid>
      <w:tr>
        <w:trPr>
          <w:cantSplit/>
          <w:tblHeader w:val="true"/>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Business action</w:t>
            </w:r>
          </w:p>
        </w:tc>
        <w:tc>
          <w:tcPr>
            <w:tcW w:type="dxa" w:w="3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MDS-200 effect</w:t>
            </w:r>
          </w:p>
        </w:tc>
        <w:tc>
          <w:tcPr>
            <w:tcW w:type="dxa" w:w="3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collaborating effects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Cash sale</w:t>
            </w:r>
          </w:p>
        </w:tc>
        <w:tc>
          <w:tcPr>
            <w:tcW w:type="dxa" w:w="3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Post sale; no remaining receivable unless partially paid.</w:t>
            </w:r>
          </w:p>
        </w:tc>
        <w:tc>
          <w:tcPr>
            <w:tcW w:type="dxa" w:w="3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MDS-300 receipt/application; MDS-700 cash in; MDS-600 stock out.</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Credit sale</w:t>
            </w:r>
          </w:p>
        </w:tc>
        <w:tc>
          <w:tcPr>
            <w:tcW w:type="dxa" w:w="3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Post sale and create receivable.</w:t>
            </w:r>
          </w:p>
        </w:tc>
        <w:tc>
          <w:tcPr>
            <w:tcW w:type="dxa" w:w="3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MDS-600 stock out; later MDS-300 collection and MDS-700 cash in.</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Sales return</w:t>
            </w:r>
          </w:p>
        </w:tc>
        <w:tc>
          <w:tcPr>
            <w:tcW w:type="dxa" w:w="3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Post return and reduce charge/receivable or create credit.</w:t>
            </w:r>
          </w:p>
        </w:tc>
        <w:tc>
          <w:tcPr>
            <w:tcW w:type="dxa" w:w="3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MDS-600 stock restoration/disposition; possible MDS-500 refund.</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Credit adjustment</w:t>
            </w:r>
          </w:p>
        </w:tc>
        <w:tc>
          <w:tcPr>
            <w:tcW w:type="dxa" w:w="3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Reduce receivable/customer balance.</w:t>
            </w:r>
          </w:p>
        </w:tc>
        <w:tc>
          <w:tcPr>
            <w:tcW w:type="dxa" w:w="3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Possible MDS-500 refund only if approved excess is paid back.</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Debit adjustment</w:t>
            </w:r>
          </w:p>
        </w:tc>
        <w:tc>
          <w:tcPr>
            <w:tcW w:type="dxa" w:w="3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Increase receivable.</w:t>
            </w:r>
          </w:p>
        </w:tc>
        <w:tc>
          <w:tcPr>
            <w:tcW w:type="dxa" w:w="3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Later settlement through MDS-300.</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Receipt applied</w:t>
            </w:r>
          </w:p>
        </w:tc>
        <w:tc>
          <w:tcPr>
            <w:tcW w:type="dxa" w:w="3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Reduce open balance and update settlement status.</w:t>
            </w:r>
          </w:p>
        </w:tc>
        <w:tc>
          <w:tcPr>
            <w:tcW w:type="dxa" w:w="3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Owned and evidenced by MDS-300; cash balance owned by MDS-700.</w:t>
            </w:r>
          </w:p>
        </w:tc>
      </w:tr>
    </w:tbl>
    <w:p>
      <w:pPr>
        <w:spacing w:after="0"/>
      </w:pPr>
    </w:p>
    <w:p>
      <w:pPr>
        <w:pStyle w:val="Heading2"/>
        <w:pageBreakBefore/>
      </w:pPr>
      <w:r>
        <w:t>12.2 API and Event Contract Principles</w:t>
      </w:r>
    </w:p>
    <w:p>
      <w:pPr>
        <w:numPr>
          <w:ilvl w:val="0"/>
          <w:numId w:val="10"/>
        </w:numPr>
        <w:spacing w:after="80" w:line="300" w:lineRule="auto"/>
      </w:pPr>
      <w:r>
        <w:rPr>
          <w:rFonts w:ascii="Calibri" w:hAnsi="Calibri" w:eastAsia="Calibri"/>
          <w:color w:val="111827"/>
          <w:sz w:val="21"/>
        </w:rPr>
        <w:t>Every write operation requires authenticated tenant/company context, permission, validation, idempotency, and audit correlation.</w:t>
      </w:r>
    </w:p>
    <w:p>
      <w:pPr>
        <w:numPr>
          <w:ilvl w:val="0"/>
          <w:numId w:val="10"/>
        </w:numPr>
        <w:spacing w:after="80" w:line="300" w:lineRule="auto"/>
      </w:pPr>
      <w:r>
        <w:rPr>
          <w:rFonts w:ascii="Calibri" w:hAnsi="Calibri" w:eastAsia="Calibri"/>
          <w:color w:val="111827"/>
          <w:sz w:val="21"/>
        </w:rPr>
        <w:t>Posting operations return durable transaction and document identities plus conclusive or verifiable status.</w:t>
      </w:r>
    </w:p>
    <w:p>
      <w:pPr>
        <w:numPr>
          <w:ilvl w:val="0"/>
          <w:numId w:val="10"/>
        </w:numPr>
        <w:spacing w:after="80" w:line="300" w:lineRule="auto"/>
      </w:pPr>
      <w:r>
        <w:rPr>
          <w:rFonts w:ascii="Calibri" w:hAnsi="Calibri" w:eastAsia="Calibri"/>
          <w:color w:val="111827"/>
          <w:sz w:val="21"/>
        </w:rPr>
        <w:t>Read/query contracts disclose scope, filters, paging, sort, status basis, currency, and freshness where material.</w:t>
      </w:r>
    </w:p>
    <w:p>
      <w:pPr>
        <w:numPr>
          <w:ilvl w:val="0"/>
          <w:numId w:val="10"/>
        </w:numPr>
        <w:spacing w:after="80" w:line="300" w:lineRule="auto"/>
      </w:pPr>
      <w:r>
        <w:rPr>
          <w:rFonts w:ascii="Calibri" w:hAnsi="Calibri" w:eastAsia="Calibri"/>
          <w:color w:val="111827"/>
          <w:sz w:val="21"/>
        </w:rPr>
        <w:t>Events carry stable business identity, event identity, version, occurrence/commit time, company scope, source, and relevant relationship references.</w:t>
      </w:r>
    </w:p>
    <w:p>
      <w:pPr>
        <w:numPr>
          <w:ilvl w:val="0"/>
          <w:numId w:val="10"/>
        </w:numPr>
        <w:spacing w:after="80" w:line="300" w:lineRule="auto"/>
      </w:pPr>
      <w:r>
        <w:rPr>
          <w:rFonts w:ascii="Calibri" w:hAnsi="Calibri" w:eastAsia="Calibri"/>
          <w:color w:val="111827"/>
          <w:sz w:val="21"/>
        </w:rPr>
        <w:t>Consumers shall tolerate duplicate and out-of-order delivery according to the approved event/version contract.</w:t>
      </w:r>
    </w:p>
    <w:p>
      <w:pPr>
        <w:numPr>
          <w:ilvl w:val="0"/>
          <w:numId w:val="10"/>
        </w:numPr>
        <w:spacing w:after="80" w:line="300" w:lineRule="auto"/>
      </w:pPr>
      <w:r>
        <w:rPr>
          <w:rFonts w:ascii="Calibri" w:hAnsi="Calibri" w:eastAsia="Calibri"/>
          <w:color w:val="111827"/>
          <w:sz w:val="21"/>
        </w:rPr>
        <w:t>External consumers receive only authorized fields and shall not infer access from possession of an identifier.</w:t>
      </w:r>
    </w:p>
    <w:p>
      <w:pPr>
        <w:pStyle w:val="Heading1"/>
      </w:pPr>
      <w:r>
        <w:t>13. Reports and Analytics</w:t>
      </w:r>
    </w:p>
    <w:p>
      <w:r>
        <w:rPr>
          <w:rFonts w:ascii="Calibri" w:hAnsi="Calibri" w:eastAsia="Calibri"/>
          <w:color w:val="111827"/>
        </w:rPr>
        <w:t>MDS-200 owns the business meaning and source data of sales and receivable outputs. MDS-900 owns the shared report catalog, viewer, formatting, export, scheduling, favorites, and cross-module analytics.</w:t>
      </w:r>
    </w:p>
    <w:tbl>
      <w:tblPr>
        <w:tblW w:type="dxa" w:w="9360"/>
        <w:jc w:val="left"/>
        <w:tblLayout w:type="fixed"/>
        <w:tblLook w:firstColumn="1" w:firstRow="1" w:lastColumn="0" w:lastRow="0" w:noHBand="0" w:noVBand="1" w:val="04A0"/>
        <w:tblInd w:w="120" w:type="dxa"/>
      </w:tblPr>
      <w:tblGrid>
        <w:gridCol w:w="2600"/>
        <w:gridCol w:w="4900"/>
        <w:gridCol w:w="1860"/>
      </w:tblGrid>
      <w:tr>
        <w:trPr>
          <w:cantSplit/>
          <w:tblHeader w:val="true"/>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Output</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Purpose / minimum basis</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Primary owner</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Sales Summary</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Posted sales, returns, permitted deductions, net sales, count, and average by selected period/scope.</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Sales Register</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Document-level sale listing with status, customer, totals, reference, user, branch, and channel.</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Sales Detail</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Line-level product/service, quantity, price, discount, tax, and value.</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Sales by Product / Service</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Quantity and value by item/category with governed returns treatment.</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Sales by Customer</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Customer purchasing history, value, frequency, returns, and outstanding amount where authorized.</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Sales by Salesperson / User</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Attribution, value, discounts, returns, and transaction count.</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Sales by Branch / Channel</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Comparable sales activity by organizational or origin dimension.</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Discount and Price Override</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Override amount, reason, authority, customer/item, and user.</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Sales Returns and Adjustments</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Return, debit, credit, cancellation, and reversal activity with source links.</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Outstanding Receivables</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Open items, original amount, applications, adjustments, balance, due date, and due condition.</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Aging of Receivables</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Outstanding balance grouped by approved aging buckets and as-of date.</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Billing Statement History</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Generated/issued statements, statement date, scope, version, recipient, and status.</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Customer Ledger</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Integrated customer charge, adjustment, receipt/application, and balance chronology.</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 using MDS-200 source records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Sales &amp; Profit / P&amp;L</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Combines sales with governed cost and expense definitions.</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MDS-900</w:t>
            </w:r>
          </w:p>
        </w:tc>
      </w:tr>
    </w:tbl>
    <w:p>
      <w:pPr>
        <w:spacing w:after="0"/>
      </w:pPr>
    </w:p>
    <w:p>
      <w:pPr>
        <w:pStyle w:val="Heading2"/>
      </w:pPr>
      <w:r>
        <w:t>13.1 Metric Rules</w:t>
      </w:r>
    </w:p>
    <w:p>
      <w:pPr>
        <w:numPr>
          <w:ilvl w:val="0"/>
          <w:numId w:val="10"/>
        </w:numPr>
        <w:spacing w:after="80" w:line="300" w:lineRule="auto"/>
      </w:pPr>
      <w:r>
        <w:rPr>
          <w:rFonts w:ascii="Calibri" w:hAnsi="Calibri" w:eastAsia="Calibri"/>
          <w:color w:val="111827"/>
          <w:sz w:val="21"/>
        </w:rPr>
        <w:t>Net Sales, Gross Sales, Returns, Discounts, Tax, Receivables, Overdue Amount, and Average Sale require versioned definitions.</w:t>
      </w:r>
    </w:p>
    <w:p>
      <w:pPr>
        <w:numPr>
          <w:ilvl w:val="0"/>
          <w:numId w:val="10"/>
        </w:numPr>
        <w:spacing w:after="80" w:line="300" w:lineRule="auto"/>
      </w:pPr>
      <w:r>
        <w:rPr>
          <w:rFonts w:ascii="Calibri" w:hAnsi="Calibri" w:eastAsia="Calibri"/>
          <w:color w:val="111827"/>
          <w:sz w:val="21"/>
        </w:rPr>
        <w:t>Every output identifies period/as-of basis, company/branch scope, included statuses, currency, sign convention, and rounding.</w:t>
      </w:r>
    </w:p>
    <w:p>
      <w:pPr>
        <w:numPr>
          <w:ilvl w:val="0"/>
          <w:numId w:val="10"/>
        </w:numPr>
        <w:spacing w:after="80" w:line="300" w:lineRule="auto"/>
      </w:pPr>
      <w:r>
        <w:rPr>
          <w:rFonts w:ascii="Calibri" w:hAnsi="Calibri" w:eastAsia="Calibri"/>
          <w:color w:val="111827"/>
          <w:sz w:val="21"/>
        </w:rPr>
        <w:t>Posted, cancelled, reversed, returned, draft, failed, and pending documents shall not be combined without explicit definition.</w:t>
      </w:r>
    </w:p>
    <w:p>
      <w:pPr>
        <w:numPr>
          <w:ilvl w:val="0"/>
          <w:numId w:val="10"/>
        </w:numPr>
        <w:spacing w:after="80" w:line="300" w:lineRule="auto"/>
      </w:pPr>
      <w:r>
        <w:rPr>
          <w:rFonts w:ascii="Calibri" w:hAnsi="Calibri" w:eastAsia="Calibri"/>
          <w:color w:val="111827"/>
          <w:sz w:val="21"/>
        </w:rPr>
        <w:t>Receivable reports reconcile to open items and valid MDS-300 applications for the same as-of point.</w:t>
      </w:r>
    </w:p>
    <w:p>
      <w:pPr>
        <w:numPr>
          <w:ilvl w:val="0"/>
          <w:numId w:val="10"/>
        </w:numPr>
        <w:spacing w:after="80" w:line="300" w:lineRule="auto"/>
      </w:pPr>
      <w:r>
        <w:rPr>
          <w:rFonts w:ascii="Calibri" w:hAnsi="Calibri" w:eastAsia="Calibri"/>
          <w:color w:val="111827"/>
          <w:sz w:val="21"/>
        </w:rPr>
        <w:t>Dashboard cards and report totals shall drill down to records using matching scope or disclose the reason for a difference.</w:t>
      </w:r>
    </w:p>
    <w:p>
      <w:pPr>
        <w:pStyle w:val="Heading1"/>
      </w:pPr>
      <w:r>
        <w:t>14. Notifications and Tasks</w:t>
      </w:r>
    </w:p>
    <w:tbl>
      <w:tblPr>
        <w:tblW w:type="dxa" w:w="9360"/>
        <w:jc w:val="left"/>
        <w:tblLayout w:type="fixed"/>
        <w:tblLook w:firstColumn="1" w:firstRow="1" w:lastColumn="0" w:lastRow="0" w:noHBand="0" w:noVBand="1" w:val="04A0"/>
        <w:tblInd w:w="120" w:type="dxa"/>
      </w:tblPr>
      <w:tblGrid>
        <w:gridCol w:w="2600"/>
        <w:gridCol w:w="4300"/>
        <w:gridCol w:w="2460"/>
      </w:tblGrid>
      <w:tr>
        <w:trPr>
          <w:cantSplit/>
          <w:tblHeader w:val="true"/>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Condition</w:t>
            </w:r>
          </w:p>
        </w:tc>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Initial treatment</w:t>
            </w:r>
          </w:p>
        </w:tc>
        <w:tc>
          <w:tcPr>
            <w:tcW w:type="dxa" w:w="2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Destination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Receivable due soon / today</w:t>
            </w:r>
          </w:p>
        </w:tc>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Needs Attention or reminder based on configured threshold.</w:t>
            </w:r>
          </w:p>
        </w:tc>
        <w:tc>
          <w:tcPr>
            <w:tcW w:type="dxa" w:w="2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Receivable/customer context or MDS-300 follow-up.</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Receivable overdue</w:t>
            </w:r>
          </w:p>
        </w:tc>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Priority based on days, amount, customer, dispute, and risk policy.</w:t>
            </w:r>
          </w:p>
        </w:tc>
        <w:tc>
          <w:tcPr>
            <w:tcW w:type="dxa" w:w="2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A/R aging/open item and collection action.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Credit limit exceeded / policy blocked</w:t>
            </w:r>
          </w:p>
        </w:tc>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Block or create approval task with reason and requested override.</w:t>
            </w:r>
          </w:p>
        </w:tc>
        <w:tc>
          <w:tcPr>
            <w:tcW w:type="dxa" w:w="2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Sale approval.</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Discount or price override</w:t>
            </w:r>
          </w:p>
        </w:tc>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Approval task when threshold or role requires.</w:t>
            </w:r>
          </w:p>
        </w:tc>
        <w:tc>
          <w:tcPr>
            <w:tcW w:type="dxa" w:w="2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Sale review.</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Sales return / adjustment approval</w:t>
            </w:r>
          </w:p>
        </w:tc>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Task with original document, amount, reason, and evidence.</w:t>
            </w:r>
          </w:p>
        </w:tc>
        <w:tc>
          <w:tcPr>
            <w:tcW w:type="dxa" w:w="2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Return/adjustment review.</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Posting failed / uncertain</w:t>
            </w:r>
          </w:p>
        </w:tc>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Immediate actionable error or operational task; never show false completion.</w:t>
            </w:r>
          </w:p>
        </w:tc>
        <w:tc>
          <w:tcPr>
            <w:tcW w:type="dxa" w:w="2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Transaction status/recovery.</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Billing statement ready / failed</w:t>
            </w:r>
          </w:p>
        </w:tc>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Inform authorized issuer and record generation result.</w:t>
            </w:r>
          </w:p>
        </w:tc>
        <w:tc>
          <w:tcPr>
            <w:tcW w:type="dxa" w:w="2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Statement history/detail.</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Customer dispute</w:t>
            </w:r>
          </w:p>
        </w:tc>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Task/attention with owner, due date, notes, and protected detail controls.</w:t>
            </w:r>
          </w:p>
        </w:tc>
        <w:tc>
          <w:tcPr>
            <w:tcW w:type="dxa" w:w="2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Receivable/dispute context.</w:t>
            </w:r>
          </w:p>
        </w:tc>
      </w:tr>
    </w:tbl>
    <w:p>
      <w:pPr>
        <w:spacing w:after="0"/>
      </w:pPr>
    </w:p>
    <w:p>
      <w:pPr>
        <w:numPr>
          <w:ilvl w:val="0"/>
          <w:numId w:val="10"/>
        </w:numPr>
        <w:spacing w:after="80" w:line="300" w:lineRule="auto"/>
      </w:pPr>
      <w:r>
        <w:rPr>
          <w:rFonts w:ascii="Calibri" w:hAnsi="Calibri" w:eastAsia="Calibri"/>
          <w:color w:val="111827"/>
          <w:sz w:val="21"/>
        </w:rPr>
        <w:t>Notification informs; Needs Attention surfaces a condition; Action Center carries an assigned or authorized task.</w:t>
      </w:r>
    </w:p>
    <w:p>
      <w:pPr>
        <w:numPr>
          <w:ilvl w:val="0"/>
          <w:numId w:val="10"/>
        </w:numPr>
        <w:spacing w:after="80" w:line="300" w:lineRule="auto"/>
      </w:pPr>
      <w:r>
        <w:rPr>
          <w:rFonts w:ascii="Calibri" w:hAnsi="Calibri" w:eastAsia="Calibri"/>
          <w:color w:val="111827"/>
          <w:sz w:val="21"/>
        </w:rPr>
        <w:t>Counts shall reconcile and resolve after the authoritative condition changes.</w:t>
      </w:r>
    </w:p>
    <w:p>
      <w:pPr>
        <w:numPr>
          <w:ilvl w:val="0"/>
          <w:numId w:val="10"/>
        </w:numPr>
        <w:spacing w:after="80" w:line="300" w:lineRule="auto"/>
      </w:pPr>
      <w:r>
        <w:rPr>
          <w:rFonts w:ascii="Calibri" w:hAnsi="Calibri" w:eastAsia="Calibri"/>
          <w:color w:val="111827"/>
          <w:sz w:val="21"/>
        </w:rPr>
        <w:t>Recipient rules shall respect company, branch, role, customer privacy, and amount visibility.</w:t>
      </w:r>
    </w:p>
    <w:p>
      <w:pPr>
        <w:numPr>
          <w:ilvl w:val="0"/>
          <w:numId w:val="10"/>
        </w:numPr>
        <w:spacing w:after="80" w:line="300" w:lineRule="auto"/>
      </w:pPr>
      <w:r>
        <w:rPr>
          <w:rFonts w:ascii="Calibri" w:hAnsi="Calibri" w:eastAsia="Calibri"/>
          <w:color w:val="111827"/>
          <w:sz w:val="21"/>
        </w:rPr>
        <w:t>External email/SMS/push delivery requires separate configuration, consent, content, and failure controls.</w:t>
      </w:r>
    </w:p>
    <w:p>
      <w:r>
        <w:br w:type="page"/>
      </w:r>
    </w:p>
    <w:p>
      <w:pPr>
        <w:pStyle w:val="Heading1"/>
      </w:pPr>
      <w:r>
        <w:t>15. Security and Access</w:t>
      </w:r>
    </w:p>
    <w:tbl>
      <w:tblPr>
        <w:tblW w:type="dxa" w:w="9360"/>
        <w:jc w:val="left"/>
        <w:tblLayout w:type="fixed"/>
        <w:tblLook w:firstColumn="1" w:firstRow="1" w:lastColumn="0" w:lastRow="0" w:noHBand="0" w:noVBand="1" w:val="04A0"/>
        <w:tblInd w:w="120" w:type="dxa"/>
      </w:tblPr>
      <w:tblGrid>
        <w:gridCol w:w="2800"/>
        <w:gridCol w:w="6560"/>
      </w:tblGrid>
      <w:tr>
        <w:trPr>
          <w:cantSplit/>
          <w:tblHeader w:val="true"/>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Role</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Typical permitted scope</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Owner</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Broad authorized sales, receivable, approval, report, and correction visibility within company scope.</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Sales User</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Create and manage drafts; post within limits; view assigned/allowed customers and history.</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Cashier</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Fast cash sales and authorized receipt handoff; limited credit, price, return, and adjustment authority.</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Sales Supervisor / Manager</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Approve thresholds, returns, adjustments, cancellations, and credit exceptions within assigned scope.</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Bookkeeper / Finance User</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Review receivables, billings, adjustments, reports, reconciliation, and authorized corrections.</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Inventory User</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View sales-related stock context where granted; no sales-price or customer-balance authority by default.</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System Administrator</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Configure technical access and settings without automatically receiving business approval authority.</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Auditor / Read-Only</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View authorized records, document chains, outputs, and audit evidence without modification.</w:t>
            </w:r>
          </w:p>
        </w:tc>
      </w:tr>
    </w:tbl>
    <w:p>
      <w:pPr>
        <w:spacing w:after="0"/>
      </w:pPr>
    </w:p>
    <w:p>
      <w:pPr>
        <w:pStyle w:val="Heading2"/>
      </w:pPr>
      <w:r>
        <w:t>15.1 Permission Catalog</w:t>
      </w:r>
    </w:p>
    <w:tbl>
      <w:tblPr>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Permission group</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Initial permissions</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Sales records</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View Sales; Create Sale; Edit Draft; Submit; Approve; Post; Cancel Draft.</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Commercial overrides</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Override Price; Apply Discount; Override Credit Policy; Backdate; Select Closed/Restricted Context.</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Corrections</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Create Return; Approve Return; Create Debit Adjustment; Create Credit Adjustment; Reverse Posted Document.</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Receivables</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View Receivables; View Aging; View Customer Balance; Manage Dispute; Authorize Write-Off (future/controlled).</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Documents</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Generate Billing Statement; Issue/Reissue; Print/Reprint; Export; Prepare External Share.</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Reporting</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View Sales Reports; View Cost/Margin; View Cross-Branch; Export Protected Data.</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Administration</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Configure Sales Policy; Map External Channel; View Audit; Recover Failed Transaction.</w:t>
            </w:r>
          </w:p>
        </w:tc>
      </w:tr>
    </w:tbl>
    <w:p>
      <w:pPr>
        <w:spacing w:after="0"/>
      </w:pPr>
    </w:p>
    <w:p>
      <w:pPr>
        <w:numPr>
          <w:ilvl w:val="0"/>
          <w:numId w:val="10"/>
        </w:numPr>
        <w:spacing w:after="80" w:line="300" w:lineRule="auto"/>
      </w:pPr>
      <w:r>
        <w:rPr>
          <w:rFonts w:ascii="Calibri" w:hAnsi="Calibri" w:eastAsia="Calibri"/>
          <w:color w:val="111827"/>
          <w:sz w:val="21"/>
        </w:rPr>
        <w:t>Server-side enforcement is authoritative; UI hiding is supplementary.</w:t>
      </w:r>
    </w:p>
    <w:p>
      <w:pPr>
        <w:numPr>
          <w:ilvl w:val="0"/>
          <w:numId w:val="10"/>
        </w:numPr>
        <w:spacing w:after="80" w:line="300" w:lineRule="auto"/>
      </w:pPr>
      <w:r>
        <w:rPr>
          <w:rFonts w:ascii="Calibri" w:hAnsi="Calibri" w:eastAsia="Calibri"/>
          <w:color w:val="111827"/>
          <w:sz w:val="21"/>
        </w:rPr>
        <w:t>Tenant/company, branch, salesperson, customer assignment, amount, cost/margin, and field-level restrictions apply consistently to view, export, print, API, and deep link.</w:t>
      </w:r>
    </w:p>
    <w:p>
      <w:pPr>
        <w:numPr>
          <w:ilvl w:val="0"/>
          <w:numId w:val="10"/>
        </w:numPr>
        <w:spacing w:after="80" w:line="300" w:lineRule="auto"/>
      </w:pPr>
      <w:r>
        <w:rPr>
          <w:rFonts w:ascii="Calibri" w:hAnsi="Calibri" w:eastAsia="Calibri"/>
          <w:color w:val="111827"/>
          <w:sz w:val="21"/>
        </w:rPr>
        <w:t>Approval authority shall remain separate from ordinary system administration.</w:t>
      </w:r>
    </w:p>
    <w:p>
      <w:pPr>
        <w:numPr>
          <w:ilvl w:val="0"/>
          <w:numId w:val="10"/>
        </w:numPr>
        <w:spacing w:after="80" w:line="300" w:lineRule="auto"/>
      </w:pPr>
      <w:r>
        <w:rPr>
          <w:rFonts w:ascii="Calibri" w:hAnsi="Calibri" w:eastAsia="Calibri"/>
          <w:color w:val="111827"/>
          <w:sz w:val="21"/>
        </w:rPr>
        <w:t>Sensitive customer contact, tax, address, credit, note, attachment, and dispute information shall be minimized and logged according to policy.</w:t>
      </w:r>
    </w:p>
    <w:p>
      <w:pPr>
        <w:numPr>
          <w:ilvl w:val="0"/>
          <w:numId w:val="10"/>
        </w:numPr>
        <w:spacing w:after="80" w:line="300" w:lineRule="auto"/>
      </w:pPr>
      <w:r>
        <w:rPr>
          <w:rFonts w:ascii="Calibri" w:hAnsi="Calibri" w:eastAsia="Calibri"/>
          <w:color w:val="111827"/>
          <w:sz w:val="21"/>
        </w:rPr>
        <w:t>Permission or company-context changes invalidate incompatible cached or open-screen data.</w:t>
      </w:r>
    </w:p>
    <w:p>
      <w:r>
        <w:br w:type="page"/>
      </w:r>
    </w:p>
    <w:p>
      <w:pPr>
        <w:pStyle w:val="Heading1"/>
      </w:pPr>
      <w:r>
        <w:t>16. Data Entities and Ownership</w:t>
      </w:r>
    </w:p>
    <w:tbl>
      <w:tblPr>
        <w:tblW w:type="dxa" w:w="9360"/>
        <w:jc w:val="left"/>
        <w:tblLayout w:type="fixed"/>
        <w:tblLook w:firstColumn="1" w:firstRow="1" w:lastColumn="0" w:lastRow="0" w:noHBand="0" w:noVBand="1" w:val="04A0"/>
        <w:tblInd w:w="120" w:type="dxa"/>
      </w:tblPr>
      <w:tblGrid>
        <w:gridCol w:w="2350"/>
        <w:gridCol w:w="4740"/>
        <w:gridCol w:w="2270"/>
      </w:tblGrid>
      <w:tr>
        <w:trPr>
          <w:cantSplit/>
          <w:tblHeader w:val="true"/>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Entity</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Purpose</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Ownership</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Sale</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Header identity, customer, dates, type, status, totals, terms, source, and audit.</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Sale Line</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Product/service, description, quantity, unit, price, discount, tax, total, stock context.</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Receivable Open Item</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Customer charge, original amount, balance, due date, settlement/due/dispute state.</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Sales Return</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Linked eligible reversal of quantity/value and resulting customer effect.</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Sales Adjustment</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Linked debit or credit change with reason, approval, and lifecycle.</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Billing Statement</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Statement identity, customer, date, scope, totals, version, and output evidence.</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Document Relationship</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Origin, predecessor/successor, return, adjustment, receipt/application, and reversal chain.</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Core relationship service / MDS-200 participation</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Receipt / Application</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Money received and allocation to one or more receivable open items.</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Customer Ledger Projection</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Integrated chronological customer charges, receipts, adjustments, and running balance.</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 governed projection</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Inventory Movement</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Stock issue/restoration caused by sale/return.</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MDS-600</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Cash Movement</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Cash in/out caused by receipt/refund.</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MDS-700</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Customer / Product / Reference</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Authoritative operational master records.</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MDS-1000</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Sales Configuration</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Numbering, policy, approval, tax/accounting, localization, and integration settings.</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MDS-1100</w:t>
            </w:r>
          </w:p>
        </w:tc>
      </w:tr>
    </w:tbl>
    <w:p>
      <w:pPr>
        <w:spacing w:after="0"/>
      </w:pPr>
    </w:p>
    <w:p>
      <w:pPr>
        <w:pStyle w:val="Heading2"/>
      </w:pPr>
      <w:r>
        <w:t>16.1 Receivable Balance Contract</w:t>
      </w:r>
    </w:p>
    <w:p>
      <w:r>
        <w:rPr>
          <w:rFonts w:ascii="Calibri" w:hAnsi="Calibri" w:eastAsia="Calibri"/>
          <w:color w:val="111827"/>
        </w:rPr>
        <w:t>The receivable open item retains the original charge and the complete set of valid effects. Its current balance may be projected for performance, but the result must reconcile to the authoritative event/document chain.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CONCEPTUAL BALANCE  </w:t>
            </w:r>
            <w:r>
              <w:rPr>
                <w:rFonts w:ascii="Calibri" w:hAnsi="Calibri" w:eastAsia="Calibri"/>
                <w:b/>
                <w:color w:val="0B2545"/>
                <w:sz w:val="20"/>
              </w:rPr>
              <w:t>Open Balance = Original Charge + Posted Debit Adjustments − Posted Credit Adjustments − Valid Receipt Applications − Valid Return/Reversal/Write-Off Effects.</w:t>
            </w:r>
          </w:p>
        </w:tc>
      </w:tr>
    </w:tbl>
    <w:p>
      <w:pPr>
        <w:spacing w:after="0"/>
      </w:pPr>
    </w:p>
    <w:p>
      <w:pPr>
        <w:numPr>
          <w:ilvl w:val="0"/>
          <w:numId w:val="10"/>
        </w:numPr>
        <w:spacing w:after="80" w:line="300" w:lineRule="auto"/>
      </w:pPr>
      <w:r>
        <w:rPr>
          <w:rFonts w:ascii="Calibri" w:hAnsi="Calibri" w:eastAsia="Calibri"/>
          <w:color w:val="111827"/>
          <w:sz w:val="21"/>
        </w:rPr>
        <w:t>Amounts shall use governed decimal precision, currency, rounding, and sign conventions.</w:t>
      </w:r>
    </w:p>
    <w:p>
      <w:pPr>
        <w:numPr>
          <w:ilvl w:val="0"/>
          <w:numId w:val="10"/>
        </w:numPr>
        <w:spacing w:after="80" w:line="300" w:lineRule="auto"/>
      </w:pPr>
      <w:r>
        <w:rPr>
          <w:rFonts w:ascii="Calibri" w:hAnsi="Calibri" w:eastAsia="Calibri"/>
          <w:color w:val="111827"/>
          <w:sz w:val="21"/>
        </w:rPr>
        <w:t>A receipt may be applied across several open items; an open item may have several applications.</w:t>
      </w:r>
    </w:p>
    <w:p>
      <w:pPr>
        <w:numPr>
          <w:ilvl w:val="0"/>
          <w:numId w:val="10"/>
        </w:numPr>
        <w:spacing w:after="80" w:line="300" w:lineRule="auto"/>
      </w:pPr>
      <w:r>
        <w:rPr>
          <w:rFonts w:ascii="Calibri" w:hAnsi="Calibri" w:eastAsia="Calibri"/>
          <w:color w:val="111827"/>
          <w:sz w:val="21"/>
        </w:rPr>
        <w:t>Reversing an application restores the appropriate open balance through a traceable effect.</w:t>
      </w:r>
    </w:p>
    <w:p>
      <w:pPr>
        <w:numPr>
          <w:ilvl w:val="0"/>
          <w:numId w:val="10"/>
        </w:numPr>
        <w:spacing w:after="80" w:line="300" w:lineRule="auto"/>
      </w:pPr>
      <w:r>
        <w:rPr>
          <w:rFonts w:ascii="Calibri" w:hAnsi="Calibri" w:eastAsia="Calibri"/>
          <w:color w:val="111827"/>
          <w:sz w:val="21"/>
        </w:rPr>
        <w:t>Historical as-of reporting requires effective dates and preserved sequence/version evidence.</w:t>
      </w:r>
    </w:p>
    <w:p>
      <w:pPr>
        <w:numPr>
          <w:ilvl w:val="0"/>
          <w:numId w:val="10"/>
        </w:numPr>
        <w:spacing w:after="80" w:line="300" w:lineRule="auto"/>
      </w:pPr>
      <w:r>
        <w:rPr>
          <w:rFonts w:ascii="Calibri" w:hAnsi="Calibri" w:eastAsia="Calibri"/>
          <w:color w:val="111827"/>
          <w:sz w:val="21"/>
        </w:rPr>
        <w:t>Projection repair shall be possible from authoritative documents/events without changing business meaning.</w:t>
      </w:r>
    </w:p>
    <w:p>
      <w:r>
        <w:br w:type="page"/>
      </w:r>
    </w:p>
    <w:p>
      <w:pPr>
        <w:pStyle w:val="Heading2"/>
      </w:pPr>
      <w:r>
        <w:t>16.2 Retention, Privacy, and Integrity</w:t>
      </w:r>
    </w:p>
    <w:tbl>
      <w:tblPr>
        <w:tblW w:type="dxa" w:w="9360"/>
        <w:jc w:val="left"/>
        <w:tblLayout w:type="fixed"/>
        <w:tblLook w:firstColumn="1" w:firstRow="1" w:lastColumn="0" w:lastRow="0" w:noHBand="0" w:noVBand="1" w:val="04A0"/>
        <w:tblInd w:w="120" w:type="dxa"/>
      </w:tblPr>
      <w:tblGrid>
        <w:gridCol w:w="2400"/>
        <w:gridCol w:w="6960"/>
      </w:tblGrid>
      <w:tr>
        <w:trPr>
          <w:cantSplit/>
          <w:tblHeader w:val="true"/>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Control area</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Requirement</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Posted evidence</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Sales and receivable records shall follow approved legal, tax, accounting, contractual, and operational retention policy.</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Data-subject request</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Distinguish removable personal data from business evidence that must be retained, restricted, or pseudonymized.</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Attachments</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Inherit tenant, record, permission, malware, export, and retention controls.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Derived data</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Search indexes, analytics projections, caches, and AI features shall not widen access beyond the source record.</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Integrity constraints</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Prevent orphan lines, duplicate numbers, cross-tenant relationships, invalid currency combinations, and over-application.</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Recovery evidence</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Repair or recovery shall preserve source identity, prior state, reason, authority, time, and reconciled business meaning.</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INTEGRITY RULE  </w:t>
            </w:r>
            <w:r>
              <w:rPr>
                <w:rFonts w:ascii="Calibri" w:hAnsi="Calibri" w:eastAsia="Calibri"/>
                <w:b/>
                <w:color w:val="0B2545"/>
                <w:sz w:val="20"/>
              </w:rPr>
              <w:t>Retention, privacy action, projection repair, or technical recovery shall not silently rewrite the commercial meaning of a posted sale or receivable.</w:t>
            </w:r>
          </w:p>
        </w:tc>
      </w:tr>
    </w:tbl>
    <w:p>
      <w:pPr>
        <w:spacing w:after="0"/>
      </w:pPr>
    </w:p>
    <w:p>
      <w:r>
        <w:br w:type="page"/>
      </w:r>
    </w:p>
    <w:p>
      <w:pPr>
        <w:spacing w:before="920" w:after="100"/>
      </w:pPr>
      <w:r>
        <w:rPr>
          <w:rFonts w:ascii="Calibri" w:hAnsi="Calibri" w:eastAsia="Calibri"/>
          <w:b/>
          <w:color w:val="F59E0B"/>
          <w:sz w:val="20"/>
        </w:rPr>
        <w:t>PART IV</w:t>
      </w:r>
    </w:p>
    <w:p>
      <w:pPr>
        <w:spacing w:after="160"/>
      </w:pPr>
      <w:r>
        <w:rPr>
          <w:rFonts w:ascii="Calibri" w:hAnsi="Calibri" w:eastAsia="Calibri"/>
          <w:b/>
          <w:color w:val="0B2545"/>
          <w:sz w:val="50"/>
        </w:rPr>
        <w:t>Product, Quality, and Evolution</w:t>
      </w:r>
    </w:p>
    <w:p>
      <w:pPr>
        <w:spacing w:after="360"/>
        <w:pBdr>
          <w:bottom w:val="single" w:sz="8" w:space="5" w:color="E8EEF5"/>
        </w:pBdr>
      </w:pPr>
      <w:r>
        <w:rPr>
          <w:rFonts w:ascii="Calibri" w:hAnsi="Calibri" w:eastAsia="Calibri"/>
          <w:color w:val="5B6573"/>
          <w:sz w:val="24"/>
        </w:rPr>
        <w:t>Edition behavior, user experience, non-functional requirements, AI controls, future expansion, and success.</w:t>
      </w:r>
    </w:p>
    <w:p>
      <w:pPr>
        <w:pStyle w:val="Heading1"/>
      </w:pPr>
      <w:r>
        <w:t>17. Edition Availability</w:t>
      </w:r>
    </w:p>
    <w:p>
      <w:r>
        <w:rPr>
          <w:rFonts w:ascii="Calibri" w:hAnsi="Calibri" w:eastAsia="Calibri"/>
          <w:color w:val="111827"/>
        </w:rPr>
        <w:t>The same governed module architecture and data model shall support SimpleBIZ Free, paid SimpleBIZ One editions, and future ERP editions. The matrix is a design baseline; final commercial packaging is controlled by the approved Product Editions Strategy.</w:t>
      </w:r>
    </w:p>
    <w:tbl>
      <w:tblPr>
        <w:tblW w:type="dxa" w:w="9360"/>
        <w:jc w:val="left"/>
        <w:tblLayout w:type="fixed"/>
        <w:tblLook w:firstColumn="1" w:firstRow="1" w:lastColumn="0" w:lastRow="0" w:noHBand="0" w:noVBand="1" w:val="04A0"/>
        <w:tblInd w:w="120" w:type="dxa"/>
      </w:tblPr>
      <w:tblGrid>
        <w:gridCol w:w="3200"/>
        <w:gridCol w:w="1400"/>
        <w:gridCol w:w="1500"/>
        <w:gridCol w:w="1400"/>
        <w:gridCol w:w="1860"/>
      </w:tblGrid>
      <w:tr>
        <w:trPr>
          <w:cantSplit/>
          <w:tblHeader w:val="true"/>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Capability</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Free</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Startup</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Pro</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Advanced / ERP</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Basic cash sales and walk-in customer</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Included</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Included</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Included</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Included</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Basic customer and sales history</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Included</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Included</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Included</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Included</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Credit sales and receivables</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Limited / product decision</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Included</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Included</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Included</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Billing statements</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Limited / product decision</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Included</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Included</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Included</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Returns and basic corrections</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Basic</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Included</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Included</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Advanced</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Debit / credit adjustments</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Limited</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Included</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Included</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Advanced approval</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Price / discount approval</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Not included</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Basic</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Included</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Advanced</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Advanced sales and receivable reports</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Basic</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Basic</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Included</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Advanced</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Multi-user / branch / channel controls</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Not included</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Basic user</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Multi-user</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Multi-branch/channel</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Contract pricing, order fulfillment, enterprise A/R</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Not included</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Not included</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Optional</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ERP</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AI-assisted insights</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Optional safe assistance</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Optional</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Optional</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Advanced governed assistance</w:t>
            </w:r>
          </w:p>
        </w:tc>
      </w:tr>
    </w:tbl>
    <w:p>
      <w:pPr>
        <w:spacing w:after="0"/>
      </w:pPr>
    </w:p>
    <w:p>
      <w:pPr>
        <w:numPr>
          <w:ilvl w:val="0"/>
          <w:numId w:val="10"/>
        </w:numPr>
        <w:spacing w:after="80" w:line="300" w:lineRule="auto"/>
      </w:pPr>
      <w:r>
        <w:rPr>
          <w:rFonts w:ascii="Calibri" w:hAnsi="Calibri" w:eastAsia="Calibri"/>
          <w:color w:val="111827"/>
          <w:sz w:val="21"/>
        </w:rPr>
        <w:t>A locked capability shall be explained clearly and shall not erase or corrupt existing records.</w:t>
      </w:r>
    </w:p>
    <w:p>
      <w:pPr>
        <w:numPr>
          <w:ilvl w:val="0"/>
          <w:numId w:val="10"/>
        </w:numPr>
        <w:spacing w:after="80" w:line="300" w:lineRule="auto"/>
      </w:pPr>
      <w:r>
        <w:rPr>
          <w:rFonts w:ascii="Calibri" w:hAnsi="Calibri" w:eastAsia="Calibri"/>
          <w:color w:val="111827"/>
          <w:sz w:val="21"/>
        </w:rPr>
        <w:t>Upgrade activates capability through entitlement; it shall not require a second module implementation.</w:t>
      </w:r>
    </w:p>
    <w:p>
      <w:pPr>
        <w:numPr>
          <w:ilvl w:val="0"/>
          <w:numId w:val="10"/>
        </w:numPr>
        <w:spacing w:after="80" w:line="300" w:lineRule="auto"/>
      </w:pPr>
      <w:r>
        <w:rPr>
          <w:rFonts w:ascii="Calibri" w:hAnsi="Calibri" w:eastAsia="Calibri"/>
          <w:color w:val="111827"/>
          <w:sz w:val="21"/>
        </w:rPr>
        <w:t>Downgrade preserves historical view/export according to policy while restricting new advanced actions.</w:t>
      </w:r>
    </w:p>
    <w:p>
      <w:pPr>
        <w:numPr>
          <w:ilvl w:val="0"/>
          <w:numId w:val="10"/>
        </w:numPr>
        <w:spacing w:after="80" w:line="300" w:lineRule="auto"/>
      </w:pPr>
      <w:r>
        <w:rPr>
          <w:rFonts w:ascii="Calibri" w:hAnsi="Calibri" w:eastAsia="Calibri"/>
          <w:color w:val="111827"/>
          <w:sz w:val="21"/>
        </w:rPr>
        <w:t>API enforcement is authoritative and shall match UI entitlement behavior.</w:t>
      </w:r>
    </w:p>
    <w:p>
      <w:pPr>
        <w:pStyle w:val="Heading2"/>
      </w:pPr>
      <w:r>
        <w:t>17.1 Product Experience Requirements</w:t>
      </w:r>
    </w:p>
    <w:p>
      <w:pPr>
        <w:numPr>
          <w:ilvl w:val="0"/>
          <w:numId w:val="10"/>
        </w:numPr>
        <w:spacing w:after="80" w:line="300" w:lineRule="auto"/>
      </w:pPr>
      <w:r>
        <w:rPr>
          <w:rFonts w:ascii="Calibri" w:hAnsi="Calibri" w:eastAsia="Calibri"/>
          <w:color w:val="111827"/>
          <w:sz w:val="21"/>
        </w:rPr>
        <w:t>Use plain SME language and distinguish Cash Sale, Credit Sale, Billing Statement, Debit Adjustment, and Credit Adjustment clearly.</w:t>
      </w:r>
    </w:p>
    <w:p>
      <w:pPr>
        <w:numPr>
          <w:ilvl w:val="0"/>
          <w:numId w:val="10"/>
        </w:numPr>
        <w:spacing w:after="80" w:line="300" w:lineRule="auto"/>
      </w:pPr>
      <w:r>
        <w:rPr>
          <w:rFonts w:ascii="Calibri" w:hAnsi="Calibri" w:eastAsia="Calibri"/>
          <w:color w:val="111827"/>
          <w:sz w:val="21"/>
        </w:rPr>
        <w:t>Keep customer, totals, amount received, amount due, and posting state visible at decision points.</w:t>
      </w:r>
    </w:p>
    <w:p>
      <w:pPr>
        <w:numPr>
          <w:ilvl w:val="0"/>
          <w:numId w:val="10"/>
        </w:numPr>
        <w:spacing w:after="80" w:line="300" w:lineRule="auto"/>
      </w:pPr>
      <w:r>
        <w:rPr>
          <w:rFonts w:ascii="Calibri" w:hAnsi="Calibri" w:eastAsia="Calibri"/>
          <w:color w:val="111827"/>
          <w:sz w:val="21"/>
        </w:rPr>
        <w:t>Use progressive disclosure for tax, warehouse, branch, channel, currency, approval, and advanced references.</w:t>
      </w:r>
    </w:p>
    <w:p>
      <w:pPr>
        <w:numPr>
          <w:ilvl w:val="0"/>
          <w:numId w:val="10"/>
        </w:numPr>
        <w:spacing w:after="80" w:line="300" w:lineRule="auto"/>
      </w:pPr>
      <w:r>
        <w:rPr>
          <w:rFonts w:ascii="Calibri" w:hAnsi="Calibri" w:eastAsia="Calibri"/>
          <w:color w:val="111827"/>
          <w:sz w:val="21"/>
        </w:rPr>
        <w:t>Provide immediate field validation, safe draft recovery, duplicate protection, and conclusive posting feedback.</w:t>
      </w:r>
    </w:p>
    <w:p>
      <w:pPr>
        <w:numPr>
          <w:ilvl w:val="0"/>
          <w:numId w:val="10"/>
        </w:numPr>
        <w:spacing w:after="80" w:line="300" w:lineRule="auto"/>
      </w:pPr>
      <w:r>
        <w:rPr>
          <w:rFonts w:ascii="Calibri" w:hAnsi="Calibri" w:eastAsia="Calibri"/>
          <w:color w:val="111827"/>
          <w:sz w:val="21"/>
        </w:rPr>
        <w:t>Support keyboard and touch interaction for high-frequency sale entry and responsive operation across approved viewports.</w:t>
      </w:r>
    </w:p>
    <w:p>
      <w:pPr>
        <w:numPr>
          <w:ilvl w:val="0"/>
          <w:numId w:val="10"/>
        </w:numPr>
        <w:spacing w:after="80" w:line="300" w:lineRule="auto"/>
      </w:pPr>
      <w:r>
        <w:rPr>
          <w:rFonts w:ascii="Calibri" w:hAnsi="Calibri" w:eastAsia="Calibri"/>
          <w:color w:val="111827"/>
          <w:sz w:val="21"/>
        </w:rPr>
        <w:t>Preserve return context when navigating to customer, product, collection, ledger, or report destinations.</w:t>
      </w:r>
    </w:p>
    <w:p>
      <w:pPr>
        <w:numPr>
          <w:ilvl w:val="0"/>
          <w:numId w:val="10"/>
        </w:numPr>
        <w:spacing w:after="80" w:line="300" w:lineRule="auto"/>
      </w:pPr>
      <w:r>
        <w:rPr>
          <w:rFonts w:ascii="Calibri" w:hAnsi="Calibri" w:eastAsia="Calibri"/>
          <w:color w:val="111827"/>
          <w:sz w:val="21"/>
        </w:rPr>
        <w:t>Show locked, unavailable, missing-setup, unauthorized, empty, stale, partial, and error states distinctly.</w:t>
      </w:r>
    </w:p>
    <w:p>
      <w:pPr>
        <w:pStyle w:val="Heading1"/>
      </w:pPr>
      <w:r>
        <w:t>18. Non-Functional Requirements</w:t>
      </w:r>
    </w:p>
    <w:tbl>
      <w:tblPr>
        <w:tblW w:type="dxa" w:w="9360"/>
        <w:jc w:val="left"/>
        <w:tblLayout w:type="fixed"/>
        <w:tblLook w:firstColumn="1" w:firstRow="1" w:lastColumn="0" w:lastRow="0" w:noHBand="0" w:noVBand="1" w:val="04A0"/>
        <w:tblInd w:w="120" w:type="dxa"/>
      </w:tblPr>
      <w:tblGrid>
        <w:gridCol w:w="2600"/>
        <w:gridCol w:w="6760"/>
      </w:tblGrid>
      <w:tr>
        <w:trPr>
          <w:cantSplit/>
          <w:tblHeader w:val="true"/>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NFR ID / Area</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Baseline requirement</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MDS-200-NFR-001 Performance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Common sale entry, product/customer search, total recalculation, and list filtering shall feel immediate under normal supported conditions.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MDS-200-NFR-002 Posting</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Show progress after approximately 300 ms and target a conclusive ordinary posting result within approximately 2 seconds under normal supported conditions.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MDS-200-NFR-003 Reliability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Posting, retry, application updates, and reversal shall be atomic, idempotent, recoverable, and status-verifiable.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MDS-200-NFR-004 Scalability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Support increasing companies, branches, users, customers, items, documents, lines, and integrations without changing ownership.</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MDS-200-NFR-005 Security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Apply authenticated, authorized, tenant-scoped, validated, encrypted, and auditable handling.</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MDS-200-NFR-006 Usability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target SME user shall complete a basic cash sale with minimal training and no accounting terminology requirement.</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MDS-200-NFR-007 Accessibility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Core workflows shall meet approved keyboard, focus, label, status announcement, contrast, zoom, and assistive-technology standards.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MDS-200-NFR-008 Maintainability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Use modular services, documented contracts, migrations, testable rules, stable identifiers, and clear source ownership.</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MDS-200-NFR-009 Localization</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Support configurable currency, tax, numbering, date/time, names/addresses, language, and document labels.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MDS-200-NFR-010 Observability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Correlate request, transaction, event, integration, projection, report, and audit records without exposing protected payloads.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MDS-200-NFR-011 Data integrity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Sales, receivable, application, return, adjustment, stock, cash, and reporting effects shall reconcile.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MDS-200-NFR-012 Availability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Preserve safe drafts, distinguish outage from rejection, and provide tested recovery for interrupted or uncertain work.</w:t>
            </w:r>
          </w:p>
        </w:tc>
      </w:tr>
    </w:tbl>
    <w:p>
      <w:pPr>
        <w:spacing w:after="0"/>
      </w:pPr>
    </w:p>
    <w:p>
      <w:pPr>
        <w:pStyle w:val="Heading2"/>
      </w:pPr>
      <w:r>
        <w:t>18.1 Testing and Quality Assurance</w:t>
      </w:r>
    </w:p>
    <w:tbl>
      <w:tblPr>
        <w:tblW w:type="dxa" w:w="9360"/>
        <w:jc w:val="left"/>
        <w:tblLayout w:type="fixed"/>
        <w:tblLook w:firstColumn="1" w:firstRow="1" w:lastColumn="0" w:lastRow="0" w:noHBand="0" w:noVBand="1" w:val="04A0"/>
        <w:tblInd w:w="120" w:type="dxa"/>
      </w:tblPr>
      <w:tblGrid>
        <w:gridCol w:w="2400"/>
        <w:gridCol w:w="6960"/>
      </w:tblGrid>
      <w:tr>
        <w:trPr>
          <w:cantSplit/>
          <w:tblHeader w:val="true"/>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Test area</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Minimum coverage</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Calculation</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Quantity, unit, price, discount, tax, rounding, currency, zero/negative, inclusive/exclusive tax, and totals.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Sale types</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Cash, credit, partial payment, walk-in, identified customer, product, service, and mixed sale.</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Receivables</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Terms, due date, aging, partial/full settlement, over-application prevention, adjustment, return, dispute, and reversal.</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Posting</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Success, validation rejection, approval, duplicate click, timeout, retry, concurrent change, and cross-module rollback.</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Corrections</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Draft cancel, posted reversal, partial/full return, debit/credit adjustment, and customer refund handoff.</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Access</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Role, tenant, branch, salesperson/customer scope, direct URL, API, print, reprint, export, and cached screen.</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Integration</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MDS-300 applications, MDS-600 stock, MDS-700 cash, Dashboard/report reconciliation, external channel duplicates.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UX</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Loading, empty, missing setup, locked, unauthorized, stale, partial, failed, offline/interrupted, and recovered draft.</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Accessibility/responsive</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Keyboard, screen reader, focus, zoom, long labels/values, mobile, tablet, desktop, and wide viewport.</w:t>
            </w:r>
          </w:p>
        </w:tc>
      </w:tr>
    </w:tbl>
    <w:p>
      <w:pPr>
        <w:spacing w:after="0"/>
      </w:pPr>
    </w:p>
    <w:p>
      <w:pPr>
        <w:pStyle w:val="Heading2"/>
      </w:pPr>
      <w:r>
        <w:t>18.2 Observability and Operational Health</w:t>
      </w:r>
    </w:p>
    <w:p>
      <w:pPr>
        <w:numPr>
          <w:ilvl w:val="0"/>
          <w:numId w:val="10"/>
        </w:numPr>
        <w:spacing w:after="80" w:line="300" w:lineRule="auto"/>
      </w:pPr>
      <w:r>
        <w:rPr>
          <w:rFonts w:ascii="Calibri" w:hAnsi="Calibri" w:eastAsia="Calibri"/>
          <w:color w:val="111827"/>
          <w:sz w:val="21"/>
        </w:rPr>
        <w:t>Metrics shall cover posting latency, rejection rate, transaction failure, duplicate prevention, event backlog, projection lag, external import conflict, and report reconciliation.</w:t>
      </w:r>
    </w:p>
    <w:p>
      <w:pPr>
        <w:numPr>
          <w:ilvl w:val="0"/>
          <w:numId w:val="10"/>
        </w:numPr>
        <w:spacing w:after="80" w:line="300" w:lineRule="auto"/>
      </w:pPr>
      <w:r>
        <w:rPr>
          <w:rFonts w:ascii="Calibri" w:hAnsi="Calibri" w:eastAsia="Calibri"/>
          <w:color w:val="111827"/>
          <w:sz w:val="21"/>
        </w:rPr>
        <w:t>Logs shall distinguish business rejection, authorization failure, dependency failure, rollback, uncertain state, and unexpected defect.</w:t>
      </w:r>
    </w:p>
    <w:p>
      <w:pPr>
        <w:numPr>
          <w:ilvl w:val="0"/>
          <w:numId w:val="10"/>
        </w:numPr>
        <w:spacing w:after="80" w:line="300" w:lineRule="auto"/>
      </w:pPr>
      <w:r>
        <w:rPr>
          <w:rFonts w:ascii="Calibri" w:hAnsi="Calibri" w:eastAsia="Calibri"/>
          <w:color w:val="111827"/>
          <w:sz w:val="21"/>
        </w:rPr>
        <w:t>Support tools shall locate a transaction by correlation/document/event identity without exposing unrelated tenant data.</w:t>
      </w:r>
    </w:p>
    <w:p>
      <w:pPr>
        <w:numPr>
          <w:ilvl w:val="0"/>
          <w:numId w:val="10"/>
        </w:numPr>
        <w:spacing w:after="80" w:line="300" w:lineRule="auto"/>
      </w:pPr>
      <w:r>
        <w:rPr>
          <w:rFonts w:ascii="Calibri" w:hAnsi="Calibri" w:eastAsia="Calibri"/>
          <w:color w:val="111827"/>
          <w:sz w:val="21"/>
        </w:rPr>
        <w:t>Operational alerts shall identify affected module/service, time, severity, safe scope, recovery owner, and runbook destination.</w:t>
      </w:r>
    </w:p>
    <w:p>
      <w:pPr>
        <w:numPr>
          <w:ilvl w:val="0"/>
          <w:numId w:val="10"/>
        </w:numPr>
        <w:spacing w:after="80" w:line="300" w:lineRule="auto"/>
      </w:pPr>
      <w:r>
        <w:rPr>
          <w:rFonts w:ascii="Calibri" w:hAnsi="Calibri" w:eastAsia="Calibri"/>
          <w:color w:val="111827"/>
          <w:sz w:val="21"/>
        </w:rPr>
        <w:t>Reconciliation jobs shall detect but not silently overwrite inconsistent sale, receivable, application, stock, cash, or reporting effects.</w:t>
      </w:r>
    </w:p>
    <w:p>
      <w:pPr>
        <w:pStyle w:val="Heading2"/>
      </w:pPr>
      <w:r>
        <w:t>18.3 AI-Ready Design and Human Control</w:t>
      </w:r>
    </w:p>
    <w:p>
      <w:r>
        <w:rPr>
          <w:rFonts w:ascii="Calibri" w:hAnsi="Calibri" w:eastAsia="Calibri"/>
          <w:color w:val="111827"/>
        </w:rPr>
        <w:t>MDS-200 shall produce structured, permission-aware, traceable sales data suitable for future AI assistance. AI is supplementary and shall not be required for correct sale or receivable processing.</w:t>
      </w:r>
    </w:p>
    <w:tbl>
      <w:tblPr>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Potential assistance</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control</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Sale-entry assistance</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Suggest products, descriptions, terms, or classifications; user verifies before posting.</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Anomaly detection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Flag unusual price, discount, quantity, customer, return, or duplicate pattern with explainable drivers.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Receivable prioritization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Recommend follow-up based on authorized data; do not discriminate unlawfully or hide the rule basis.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Forecasting</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Identify data period, model/version, assumptions, uncertainty, and non-authoritative status.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Draft communication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Prepare billing/follow-up text without sending externally until an authorized user confirms.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Automated action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No silent posting, credit override, adjustment, refund, write-off, or customer communication without separately approved policy and authority.</w:t>
            </w:r>
          </w:p>
        </w:tc>
      </w:tr>
    </w:tbl>
    <w:p>
      <w:pPr>
        <w:spacing w:after="0"/>
      </w:pPr>
    </w:p>
    <w:p>
      <w:pPr>
        <w:numPr>
          <w:ilvl w:val="0"/>
          <w:numId w:val="10"/>
        </w:numPr>
        <w:spacing w:after="80" w:line="300" w:lineRule="auto"/>
      </w:pPr>
      <w:r>
        <w:rPr>
          <w:rFonts w:ascii="Calibri" w:hAnsi="Calibri" w:eastAsia="Calibri"/>
          <w:color w:val="111827"/>
          <w:sz w:val="21"/>
        </w:rPr>
        <w:t>AI inherits the acting user's permissions, company context, field restrictions, and retention policy.</w:t>
      </w:r>
    </w:p>
    <w:p>
      <w:pPr>
        <w:numPr>
          <w:ilvl w:val="0"/>
          <w:numId w:val="10"/>
        </w:numPr>
        <w:spacing w:after="80" w:line="300" w:lineRule="auto"/>
      </w:pPr>
      <w:r>
        <w:rPr>
          <w:rFonts w:ascii="Calibri" w:hAnsi="Calibri" w:eastAsia="Calibri"/>
          <w:color w:val="111827"/>
          <w:sz w:val="21"/>
        </w:rPr>
        <w:t>Material AI-assisted decisions retain source references, relevant context, model/service identity where required, user confirmation, and resulting record.</w:t>
      </w:r>
    </w:p>
    <w:p>
      <w:pPr>
        <w:numPr>
          <w:ilvl w:val="0"/>
          <w:numId w:val="10"/>
        </w:numPr>
        <w:spacing w:after="80" w:line="300" w:lineRule="auto"/>
      </w:pPr>
      <w:r>
        <w:rPr>
          <w:rFonts w:ascii="Calibri" w:hAnsi="Calibri" w:eastAsia="Calibri"/>
          <w:color w:val="111827"/>
          <w:sz w:val="21"/>
        </w:rPr>
        <w:t>Missing, stale, low-quality, or insufficient data shall be disclosed rather than fabricated.</w:t>
      </w:r>
    </w:p>
    <w:p>
      <w:pPr>
        <w:numPr>
          <w:ilvl w:val="0"/>
          <w:numId w:val="10"/>
        </w:numPr>
        <w:spacing w:after="80" w:line="300" w:lineRule="auto"/>
      </w:pPr>
      <w:r>
        <w:rPr>
          <w:rFonts w:ascii="Calibri" w:hAnsi="Calibri" w:eastAsia="Calibri"/>
          <w:color w:val="111827"/>
          <w:sz w:val="21"/>
        </w:rPr>
        <w:t>The module remains fully usable and correct when AI is disabled or unavailable.</w:t>
      </w:r>
    </w:p>
    <w:p>
      <w:pPr>
        <w:pStyle w:val="Heading1"/>
      </w:pPr>
      <w:r>
        <w:t>19. Future ERP Expansion</w:t>
      </w:r>
    </w:p>
    <w:tbl>
      <w:tblPr>
        <w:tblW w:type="dxa" w:w="9360"/>
        <w:jc w:val="left"/>
        <w:tblLayout w:type="fixed"/>
        <w:tblLook w:firstColumn="1" w:firstRow="1" w:lastColumn="0" w:lastRow="0" w:noHBand="0" w:noVBand="1" w:val="04A0"/>
        <w:tblInd w:w="120" w:type="dxa"/>
      </w:tblPr>
      <w:tblGrid>
        <w:gridCol w:w="2300"/>
        <w:gridCol w:w="4000"/>
        <w:gridCol w:w="3060"/>
      </w:tblGrid>
      <w:tr>
        <w:trPr>
          <w:cantSplit/>
          <w:tblHeader w:val="true"/>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Capability</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Future direction</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Design protection now</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Quotation and sales order</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Pre-sale offer, approval, order commitment, and conversion.</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Preserve document chain, version, and conversion references.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Delivery and fulfillment</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Allocation, pick/pack/ship, proof of delivery, partial fulfillment.</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Separate commercial, fulfillment, and inventory states.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Enterprise invoicing</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Milestones, recurring, consolidated, progress, and electronic invoicing.</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Extensible document types and source relationships.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Contract pricing</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Customer agreements, volume tiers, rebates, promotions, and bundles.</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Versioned effective pricing and approval basis.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Advanced credit control</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Limits, risk classes, dunning, guarantees, disputes, and collections strategy.</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Separate credit, due, dispute, and settlement dimensions.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Multi-entity / currency</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Intercompany, consolidation, settlement currency, and exchange differences.</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Explicit legal entity, currency, rate, and ownership context.</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External commerce</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Website, marketplace, POS, mobile, subscription, and API channels.</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Stable channel identity, idempotency, mapping, and reconciliation.</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CRM integration</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Lead/opportunity/customer engagement and service context.</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Customer and sales document identity without duplicating masters.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Revenue recognition</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Deferred, allocated, milestone, and contract revenue.</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Do not equate sale posting automatically with all future accounting recognition.</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AI sales advisor</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Forecast, next-best action, anomaly, pricing, and customer insights.</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Permission-safe, explainable, human-controlled, auditable assistance.</w:t>
            </w:r>
          </w:p>
        </w:tc>
      </w:tr>
    </w:tbl>
    <w:p>
      <w:pPr>
        <w:spacing w:after="0"/>
      </w:pPr>
    </w:p>
    <w:p>
      <w:pPr>
        <w:pStyle w:val="Heading1"/>
      </w:pPr>
      <w:r>
        <w:t>20. Success Indicators</w:t>
      </w:r>
    </w:p>
    <w:tbl>
      <w:tblPr>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Indicator</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Desired evidence</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Time to sale</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 target SME user can complete a basic cash sale quickly with minimal training.</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First-time correctness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Low validation/rework rate and clear prevention of common price, tax, customer, stock, and payment errors.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Receivable trust</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Open balances, due status, aging, applications, and statements reconcile for the same as-of scope.</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Transaction integrity</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No duplicate or hidden partial sale, receipt, stock, or cash effects under tested retry/failure scenarios.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Correction quality</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Returns, adjustments, cancellations, and reversals preserve full linkage and authority.</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Actionability</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Overdue and blocked items reach the correct user and authorized destination.</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Performance</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Common entry, posting, history, and inquiry operations meet approved response targets.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Adoption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Users rely on Sales &amp; Receivables as the authoritative source instead of parallel informal records.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Accessibility</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Core sale and receivable tasks pass approved keyboard and assistive-technology checks.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Extensibility</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New editions/channels/capabilities activate without creating a second sales architecture.</w:t>
            </w:r>
          </w:p>
        </w:tc>
      </w:tr>
    </w:tbl>
    <w:p>
      <w:pPr>
        <w:spacing w:after="0"/>
      </w:pPr>
    </w:p>
    <w:p>
      <w:pPr>
        <w:pStyle w:val="Heading2"/>
      </w:pPr>
      <w:r>
        <w:t>20.1 Module Acceptance Criteria</w:t>
      </w:r>
    </w:p>
    <w:p>
      <w:r>
        <w:rPr>
          <w:rFonts w:ascii="Calibri" w:hAnsi="Calibri" w:eastAsia="Calibri"/>
          <w:color w:val="111827"/>
        </w:rPr>
        <w:t>MDS-200 is considered implemented only when the product can demonstrate that:</w:t>
      </w:r>
    </w:p>
    <w:p>
      <w:pPr>
        <w:numPr>
          <w:ilvl w:val="0"/>
          <w:numId w:val="10"/>
        </w:numPr>
        <w:spacing w:after="80" w:line="300" w:lineRule="auto"/>
      </w:pPr>
      <w:r>
        <w:rPr>
          <w:rFonts w:ascii="Calibri" w:hAnsi="Calibri" w:eastAsia="Calibri"/>
          <w:color w:val="111827"/>
          <w:sz w:val="21"/>
        </w:rPr>
        <w:t>An authorized user can create and post a basic cash sale and a credit sale.</w:t>
      </w:r>
    </w:p>
    <w:p>
      <w:pPr>
        <w:numPr>
          <w:ilvl w:val="0"/>
          <w:numId w:val="10"/>
        </w:numPr>
        <w:spacing w:after="80" w:line="300" w:lineRule="auto"/>
      </w:pPr>
      <w:r>
        <w:rPr>
          <w:rFonts w:ascii="Calibri" w:hAnsi="Calibri" w:eastAsia="Calibri"/>
          <w:color w:val="111827"/>
          <w:sz w:val="21"/>
        </w:rPr>
        <w:t>A paid-now sale produces one linked, reconcilable sale, receipt/application, cash movement, and stock movement where applicable.</w:t>
      </w:r>
    </w:p>
    <w:p>
      <w:pPr>
        <w:numPr>
          <w:ilvl w:val="0"/>
          <w:numId w:val="10"/>
        </w:numPr>
        <w:spacing w:after="80" w:line="300" w:lineRule="auto"/>
      </w:pPr>
      <w:r>
        <w:rPr>
          <w:rFonts w:ascii="Calibri" w:hAnsi="Calibri" w:eastAsia="Calibri"/>
          <w:color w:val="111827"/>
          <w:sz w:val="21"/>
        </w:rPr>
        <w:t>A credit or partially paid sale creates the correct receivable, due date, open balance, and status.</w:t>
      </w:r>
    </w:p>
    <w:p>
      <w:pPr>
        <w:numPr>
          <w:ilvl w:val="0"/>
          <w:numId w:val="10"/>
        </w:numPr>
        <w:spacing w:after="80" w:line="300" w:lineRule="auto"/>
      </w:pPr>
      <w:r>
        <w:rPr>
          <w:rFonts w:ascii="Calibri" w:hAnsi="Calibri" w:eastAsia="Calibri"/>
          <w:color w:val="111827"/>
          <w:sz w:val="21"/>
        </w:rPr>
        <w:t>MDS-300 applications update receivable settlement once and reconcile without duplicating cash.</w:t>
      </w:r>
    </w:p>
    <w:p>
      <w:pPr>
        <w:numPr>
          <w:ilvl w:val="0"/>
          <w:numId w:val="10"/>
        </w:numPr>
        <w:spacing w:after="80" w:line="300" w:lineRule="auto"/>
      </w:pPr>
      <w:r>
        <w:rPr>
          <w:rFonts w:ascii="Calibri" w:hAnsi="Calibri" w:eastAsia="Calibri"/>
          <w:color w:val="111827"/>
          <w:sz w:val="21"/>
        </w:rPr>
        <w:t>A billing statement matches governed source activity and does not create a duplicate balance.</w:t>
      </w:r>
    </w:p>
    <w:p>
      <w:pPr>
        <w:numPr>
          <w:ilvl w:val="0"/>
          <w:numId w:val="10"/>
        </w:numPr>
        <w:spacing w:after="80" w:line="300" w:lineRule="auto"/>
      </w:pPr>
      <w:r>
        <w:rPr>
          <w:rFonts w:ascii="Calibri" w:hAnsi="Calibri" w:eastAsia="Calibri"/>
          <w:color w:val="111827"/>
          <w:sz w:val="21"/>
        </w:rPr>
        <w:t>Returns and debit/credit adjustments cannot exceed policy or bypass source linkage, reason, approval, and audit.</w:t>
      </w:r>
    </w:p>
    <w:p>
      <w:pPr>
        <w:numPr>
          <w:ilvl w:val="0"/>
          <w:numId w:val="10"/>
        </w:numPr>
        <w:spacing w:after="80" w:line="300" w:lineRule="auto"/>
      </w:pPr>
      <w:r>
        <w:rPr>
          <w:rFonts w:ascii="Calibri" w:hAnsi="Calibri" w:eastAsia="Calibri"/>
          <w:color w:val="111827"/>
          <w:sz w:val="21"/>
        </w:rPr>
        <w:t>A posted document cannot be physically deleted or silently edited.</w:t>
      </w:r>
    </w:p>
    <w:p>
      <w:pPr>
        <w:numPr>
          <w:ilvl w:val="0"/>
          <w:numId w:val="10"/>
        </w:numPr>
        <w:spacing w:after="80" w:line="300" w:lineRule="auto"/>
      </w:pPr>
      <w:r>
        <w:rPr>
          <w:rFonts w:ascii="Calibri" w:hAnsi="Calibri" w:eastAsia="Calibri"/>
          <w:color w:val="111827"/>
          <w:sz w:val="21"/>
        </w:rPr>
        <w:t>Duplicate, retry, timeout, concurrent, and cross-module failure scenarios preserve one conclusive business result.</w:t>
      </w:r>
    </w:p>
    <w:p>
      <w:pPr>
        <w:numPr>
          <w:ilvl w:val="0"/>
          <w:numId w:val="10"/>
        </w:numPr>
        <w:spacing w:after="80" w:line="300" w:lineRule="auto"/>
      </w:pPr>
      <w:r>
        <w:rPr>
          <w:rFonts w:ascii="Calibri" w:hAnsi="Calibri" w:eastAsia="Calibri"/>
          <w:color w:val="111827"/>
          <w:sz w:val="21"/>
        </w:rPr>
        <w:t>Reports, Dashboard values, open items, applications, stock, cash, and audit evidence reconcile for matching scope.</w:t>
      </w:r>
    </w:p>
    <w:p>
      <w:pPr>
        <w:numPr>
          <w:ilvl w:val="0"/>
          <w:numId w:val="10"/>
        </w:numPr>
        <w:spacing w:after="80" w:line="300" w:lineRule="auto"/>
      </w:pPr>
      <w:r>
        <w:rPr>
          <w:rFonts w:ascii="Calibri" w:hAnsi="Calibri" w:eastAsia="Calibri"/>
          <w:color w:val="111827"/>
          <w:sz w:val="21"/>
        </w:rPr>
        <w:t>Role, tenant, branch, field, print/export, deep-link, API, and entitlement controls pass.</w:t>
      </w:r>
    </w:p>
    <w:p>
      <w:pPr>
        <w:numPr>
          <w:ilvl w:val="0"/>
          <w:numId w:val="10"/>
        </w:numPr>
        <w:spacing w:after="80" w:line="300" w:lineRule="auto"/>
      </w:pPr>
      <w:r>
        <w:rPr>
          <w:rFonts w:ascii="Calibri" w:hAnsi="Calibri" w:eastAsia="Calibri"/>
          <w:color w:val="111827"/>
          <w:sz w:val="21"/>
        </w:rPr>
        <w:t>The workspace meets responsive, accessibility, localization, and safe-state requirements.</w:t>
      </w:r>
    </w:p>
    <w:p>
      <w:pPr>
        <w:numPr>
          <w:ilvl w:val="0"/>
          <w:numId w:val="10"/>
        </w:numPr>
        <w:spacing w:after="80" w:line="300" w:lineRule="auto"/>
      </w:pPr>
      <w:r>
        <w:rPr>
          <w:rFonts w:ascii="Calibri" w:hAnsi="Calibri" w:eastAsia="Calibri"/>
          <w:color w:val="111827"/>
          <w:sz w:val="21"/>
        </w:rPr>
        <w:t>The full non-AI workflow remains correct and usable.</w:t>
      </w:r>
    </w:p>
    <w:p>
      <w:r>
        <w:br w:type="page"/>
      </w:r>
    </w:p>
    <w:p>
      <w:pPr>
        <w:spacing w:before="920" w:after="100"/>
      </w:pPr>
      <w:r>
        <w:rPr>
          <w:rFonts w:ascii="Calibri" w:hAnsi="Calibri" w:eastAsia="Calibri"/>
          <w:b/>
          <w:color w:val="F59E0B"/>
          <w:sz w:val="20"/>
        </w:rPr>
        <w:t>PART V</w:t>
      </w:r>
    </w:p>
    <w:p>
      <w:pPr>
        <w:spacing w:after="160"/>
      </w:pPr>
      <w:r>
        <w:rPr>
          <w:rFonts w:ascii="Calibri" w:hAnsi="Calibri" w:eastAsia="Calibri"/>
          <w:b/>
          <w:color w:val="0B2545"/>
          <w:sz w:val="50"/>
        </w:rPr>
        <w:t>Formal Design Authority</w:t>
      </w:r>
    </w:p>
    <w:p>
      <w:pPr>
        <w:spacing w:after="360"/>
        <w:pBdr>
          <w:bottom w:val="single" w:sz="8" w:space="5" w:color="E8EEF5"/>
        </w:pBdr>
      </w:pPr>
      <w:r>
        <w:rPr>
          <w:rFonts w:ascii="Calibri" w:hAnsi="Calibri" w:eastAsia="Calibri"/>
          <w:color w:val="5B6573"/>
          <w:sz w:val="24"/>
        </w:rPr>
        <w:t>The definitive statement of MDS-200 purpose, ownership, control, and integration.</w:t>
      </w:r>
    </w:p>
    <w:p>
      <w:pPr>
        <w:pStyle w:val="Heading1"/>
      </w:pPr>
      <w:r>
        <w:t>21. Module Design Statement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MDS-200 DESIGN STATEMENT  </w:t>
            </w:r>
            <w:r>
              <w:rPr>
                <w:rFonts w:ascii="Calibri" w:hAnsi="Calibri" w:eastAsia="Calibri"/>
                <w:b/>
                <w:color w:val="0B2545"/>
                <w:sz w:val="20"/>
              </w:rPr>
              <w:t>The SimpleBIZ One Sales &amp; Receivables module is the authoritative source for what the business sold, the customer charge created, and the amount the customer still owes. It owns cash and credit sales, sales documents, receivable open items, billing statements, sales returns, and sales-side debit and credit adjustments. It shall provide a simple user experience while preserving governed prices, taxes, terms, approval, status, correction, security, and audit. Customer money received and its application remain owned by Collections &amp; Receipts; stock effects remain owned by Inventory; cash balances remain owned by Cash Accounts; shared registries, settings, and consolidated reports remain owned by their respective modules.</w:t>
            </w:r>
          </w:p>
        </w:tc>
      </w:tr>
    </w:tbl>
    <w:p>
      <w:pPr>
        <w:spacing w:after="0"/>
      </w:pPr>
    </w:p>
    <w:p>
      <w:r>
        <w:rPr>
          <w:rFonts w:ascii="Calibri" w:hAnsi="Calibri" w:eastAsia="Calibri"/>
          <w:color w:val="111827"/>
        </w:rPr>
        <w:t>This statement controls later UI, API, database, test, report, integration, and AI designs. A proposed feature that creates a competing sale, receivable, receipt, stock, cash, registry, configuration, or reporting source requires an explicit architectural review rather than an informal implementation shortcut.</w:t>
      </w:r>
    </w:p>
    <w:p>
      <w:r>
        <w:br w:type="page"/>
      </w:r>
    </w:p>
    <w:p>
      <w:pPr>
        <w:spacing w:before="920" w:after="100"/>
      </w:pPr>
      <w:r>
        <w:rPr>
          <w:rFonts w:ascii="Calibri" w:hAnsi="Calibri" w:eastAsia="Calibri"/>
          <w:b/>
          <w:color w:val="F59E0B"/>
          <w:sz w:val="20"/>
        </w:rPr>
        <w:t>PART VI</w:t>
      </w:r>
    </w:p>
    <w:p>
      <w:pPr>
        <w:spacing w:after="160"/>
      </w:pPr>
      <w:r>
        <w:rPr>
          <w:rFonts w:ascii="Calibri" w:hAnsi="Calibri" w:eastAsia="Calibri"/>
          <w:b/>
          <w:color w:val="0B2545"/>
          <w:sz w:val="50"/>
        </w:rPr>
        <w:t>Appendices</w:t>
      </w:r>
    </w:p>
    <w:p>
      <w:pPr>
        <w:spacing w:after="360"/>
        <w:pBdr>
          <w:bottom w:val="single" w:sz="8" w:space="5" w:color="E8EEF5"/>
        </w:pBdr>
      </w:pPr>
      <w:r>
        <w:rPr>
          <w:rFonts w:ascii="Calibri" w:hAnsi="Calibri" w:eastAsia="Calibri"/>
          <w:color w:val="5B6573"/>
          <w:sz w:val="24"/>
        </w:rPr>
        <w:t>Ownership, status, event, traceability, UI, legacy-continuity, and review reference catalogs.</w:t>
      </w:r>
    </w:p>
    <w:p>
      <w:pPr>
        <w:pStyle w:val="Heading1"/>
      </w:pPr>
      <w:r>
        <w:t>Appendix A — Functional Ownership Matrix</w:t>
      </w:r>
    </w:p>
    <w:tbl>
      <w:tblPr>
        <w:tblW w:type="dxa" w:w="9360"/>
        <w:jc w:val="left"/>
        <w:tblLayout w:type="fixed"/>
        <w:tblLook w:firstColumn="1" w:firstRow="1" w:lastColumn="0" w:lastRow="0" w:noHBand="0" w:noVBand="1" w:val="04A0"/>
        <w:tblInd w:w="120" w:type="dxa"/>
      </w:tblPr>
      <w:tblGrid>
        <w:gridCol w:w="2600"/>
        <w:gridCol w:w="2860"/>
        <w:gridCol w:w="3900"/>
      </w:tblGrid>
      <w:tr>
        <w:trPr>
          <w:cantSplit/>
          <w:tblHeader w:val="true"/>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Capability</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Authoritative owner</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Permitted Sales entry/display</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Cash sale</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MDS-200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Primary action and sale detail.</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Credit sale / receivable creation</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MDS-200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Primary action, open item, and due status.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Customer collection</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MDS-300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Shortcut, related activity, and settlement result.</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Payment receipt</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MDS-300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Related document link only.</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Payment application</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MDS-300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Applied amount and resulting balance.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Cash-account balance</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MDS-700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Selected account and posted effect; no independent balance.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Inventory availability/movement</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MDS-600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Availability and resulting stock effect.</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Customer ledger</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MDS-300 governed projection</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Shortcut and contextual view where authorized.</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Billing statement</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MDS-200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Primary action and history.</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Sales debit / credit adjustment</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MDS-200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Primary/controlled action and history.</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Customer refund execution</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MDS-500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Initiate authorized handoff from return/credit context.</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Customer / product / price / term</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MDS-1000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Select or contextual quick-create.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Sales configuration / roles</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MDS-1100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Consume and enforce; link to authorized setup.</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Cross-module P&amp;L / Sales &amp; Profit</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MDS-900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Report shortcut and drill-down context.</w:t>
            </w:r>
          </w:p>
        </w:tc>
      </w:tr>
    </w:tbl>
    <w:p>
      <w:pPr>
        <w:spacing w:after="0"/>
      </w:pPr>
    </w:p>
    <w:p>
      <w:r>
        <w:br w:type="page"/>
      </w:r>
    </w:p>
    <w:p>
      <w:pPr>
        <w:pStyle w:val="Heading1"/>
      </w:pPr>
      <w:r>
        <w:t>Appendix B — Document and Status Catalog</w:t>
      </w:r>
    </w:p>
    <w:tbl>
      <w:tblPr>
        <w:tblW w:type="dxa" w:w="9360"/>
        <w:jc w:val="left"/>
        <w:tblLayout w:type="fixed"/>
        <w:tblLook w:firstColumn="1" w:firstRow="1" w:lastColumn="0" w:lastRow="0" w:noHBand="0" w:noVBand="1" w:val="04A0"/>
        <w:tblInd w:w="120" w:type="dxa"/>
      </w:tblPr>
      <w:tblGrid>
        <w:gridCol w:w="2300"/>
        <w:gridCol w:w="4950"/>
        <w:gridCol w:w="2110"/>
      </w:tblGrid>
      <w:tr>
        <w:trPr>
          <w:cantSplit/>
          <w:tblHeader w:val="true"/>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Document / record</w:t>
            </w:r>
          </w:p>
        </w:tc>
        <w:tc>
          <w:tcPr>
            <w:tcW w:type="dxa" w:w="49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Lifecycle status</w:t>
            </w:r>
          </w:p>
        </w:tc>
        <w:tc>
          <w:tcPr>
            <w:tcW w:type="dxa" w:w="21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Independent amount effect?</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Sale / Sales Invoice</w:t>
            </w:r>
          </w:p>
        </w:tc>
        <w:tc>
          <w:tcPr>
            <w:tcW w:type="dxa" w:w="49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Draft; For Approval; Approved; Posted; Cancelled; Reversed; Failed</w:t>
            </w:r>
          </w:p>
        </w:tc>
        <w:tc>
          <w:tcPr>
            <w:tcW w:type="dxa" w:w="21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Yes, when posted.</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Sales Receipt</w:t>
            </w:r>
          </w:p>
        </w:tc>
        <w:tc>
          <w:tcPr>
            <w:tcW w:type="dxa" w:w="49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Generated/Issued/Reprinted plus underlying sale status</w:t>
            </w:r>
          </w:p>
        </w:tc>
        <w:tc>
          <w:tcPr>
            <w:tcW w:type="dxa" w:w="21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No separate receipt-of-money effect.</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Receivable Open Item</w:t>
            </w:r>
          </w:p>
        </w:tc>
        <w:tc>
          <w:tcPr>
            <w:tcW w:type="dxa" w:w="49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Unpaid; Partially Paid; Paid; Written Off; Reversed plus due/dispute dimensions</w:t>
            </w:r>
          </w:p>
        </w:tc>
        <w:tc>
          <w:tcPr>
            <w:tcW w:type="dxa" w:w="21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Represents remaining customer obligation.</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Sales Return</w:t>
            </w:r>
          </w:p>
        </w:tc>
        <w:tc>
          <w:tcPr>
            <w:tcW w:type="dxa" w:w="49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Draft; For Approval; Approved; Posted; Cancelled; Reversed; Failed</w:t>
            </w:r>
          </w:p>
        </w:tc>
        <w:tc>
          <w:tcPr>
            <w:tcW w:type="dxa" w:w="21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Yes, linked reduction when posted.</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Debit Adjustment</w:t>
            </w:r>
          </w:p>
        </w:tc>
        <w:tc>
          <w:tcPr>
            <w:tcW w:type="dxa" w:w="49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Draft; For Approval; Approved; Posted; Cancelled; Reversed; Failed</w:t>
            </w:r>
          </w:p>
        </w:tc>
        <w:tc>
          <w:tcPr>
            <w:tcW w:type="dxa" w:w="21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Yes, increases receivable.</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Credit Adjustment</w:t>
            </w:r>
          </w:p>
        </w:tc>
        <w:tc>
          <w:tcPr>
            <w:tcW w:type="dxa" w:w="49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Draft; For Approval; Approved; Posted; Cancelled; Reversed; Failed</w:t>
            </w:r>
          </w:p>
        </w:tc>
        <w:tc>
          <w:tcPr>
            <w:tcW w:type="dxa" w:w="21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Yes, decreases receivable.</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Billing Statement</w:t>
            </w:r>
          </w:p>
        </w:tc>
        <w:tc>
          <w:tcPr>
            <w:tcW w:type="dxa" w:w="49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Draft; Generated; Issued; Superseded; Cancelled</w:t>
            </w:r>
          </w:p>
        </w:tc>
        <w:tc>
          <w:tcPr>
            <w:tcW w:type="dxa" w:w="21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No; summarizes source records.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Payment Receipt / Application</w:t>
            </w:r>
          </w:p>
        </w:tc>
        <w:tc>
          <w:tcPr>
            <w:tcW w:type="dxa" w:w="49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Defined by MDS-300</w:t>
            </w:r>
          </w:p>
        </w:tc>
        <w:tc>
          <w:tcPr>
            <w:tcW w:type="dxa" w:w="21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Yes to settlement/cash, but not owned by MDS-200.</w:t>
            </w:r>
          </w:p>
        </w:tc>
      </w:tr>
    </w:tbl>
    <w:p>
      <w:pPr>
        <w:spacing w:after="0"/>
      </w:pPr>
    </w:p>
    <w:p>
      <w:pPr>
        <w:pStyle w:val="Heading1"/>
      </w:pPr>
      <w:r>
        <w:t>Appendix C — Event Subscriber Matrix</w:t>
      </w:r>
    </w:p>
    <w:tbl>
      <w:tblPr>
        <w:tblW w:type="dxa" w:w="9360"/>
        <w:jc w:val="left"/>
        <w:tblLayout w:type="fixed"/>
        <w:tblLook w:firstColumn="1" w:firstRow="1" w:lastColumn="0" w:lastRow="0" w:noHBand="0" w:noVBand="1" w:val="04A0"/>
        <w:tblInd w:w="120" w:type="dxa"/>
      </w:tblPr>
      <w:tblGrid>
        <w:gridCol w:w="3300"/>
        <w:gridCol w:w="6060"/>
      </w:tblGrid>
      <w:tr>
        <w:trPr>
          <w:cantSplit/>
          <w:tblHeader w:val="true"/>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MDS-200 event</w:t>
            </w:r>
          </w:p>
        </w:tc>
        <w:tc>
          <w:tcPr>
            <w:tcW w:type="dxa" w:w="6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Initial subscribers / effects</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Sale Posted</w:t>
            </w:r>
          </w:p>
        </w:tc>
        <w:tc>
          <w:tcPr>
            <w:tcW w:type="dxa" w:w="6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MDS-600 stock; MDS-300 receipt path where paid; MDS-100 Dashboard; MDS-900 reports; Recent Activity; audit.</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Receivable Created</w:t>
            </w:r>
          </w:p>
        </w:tc>
        <w:tc>
          <w:tcPr>
            <w:tcW w:type="dxa" w:w="6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MDS-300 collection context; Dashboard attention/receivables; reports; notifications.</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Sales Return Posted</w:t>
            </w:r>
          </w:p>
        </w:tc>
        <w:tc>
          <w:tcPr>
            <w:tcW w:type="dxa" w:w="6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MDS-600 stock disposition; receivable adjustment; possible MDS-500 refund; reports/activity.</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Debit / Credit Adjustment Posted</w:t>
            </w:r>
          </w:p>
        </w:tc>
        <w:tc>
          <w:tcPr>
            <w:tcW w:type="dxa" w:w="6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Receivable balance/status; MDS-300 customer ledger projection; reports/activity/attention.</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Billing Statement Generated</w:t>
            </w:r>
          </w:p>
        </w:tc>
        <w:tc>
          <w:tcPr>
            <w:tcW w:type="dxa" w:w="6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Statement history; optional notification/share preparation; activity.</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Receivable Due / Overdue</w:t>
            </w:r>
          </w:p>
        </w:tc>
        <w:tc>
          <w:tcPr>
            <w:tcW w:type="dxa" w:w="6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Needs Attention; Action Center/follow-up; Dashboard; authorized notification.</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Receivable Partially Settled / Settled</w:t>
            </w:r>
          </w:p>
        </w:tc>
        <w:tc>
          <w:tcPr>
            <w:tcW w:type="dxa" w:w="6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Open-item status; aging; attention resolution; Dashboard/report refresh.</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Sale Reversed</w:t>
            </w:r>
          </w:p>
        </w:tc>
        <w:tc>
          <w:tcPr>
            <w:tcW w:type="dxa" w:w="6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Reverse only subscribed original effects; refresh reports/activity; preserve source linkage.</w:t>
            </w:r>
          </w:p>
        </w:tc>
      </w:tr>
    </w:tbl>
    <w:p>
      <w:pPr>
        <w:spacing w:after="0"/>
      </w:pPr>
    </w:p>
    <w:p>
      <w:r>
        <w:br w:type="page"/>
      </w:r>
    </w:p>
    <w:p>
      <w:pPr>
        <w:pStyle w:val="Heading1"/>
      </w:pPr>
      <w:r>
        <w:t>Appendix D — Requirement Traceability Summary</w:t>
      </w:r>
    </w:p>
    <w:tbl>
      <w:tblPr>
        <w:tblW w:type="dxa" w:w="9360"/>
        <w:jc w:val="left"/>
        <w:tblLayout w:type="fixed"/>
        <w:tblLook w:firstColumn="1" w:firstRow="1" w:lastColumn="0" w:lastRow="0" w:noHBand="0" w:noVBand="1" w:val="04A0"/>
        <w:tblInd w:w="120" w:type="dxa"/>
      </w:tblPr>
      <w:tblGrid>
        <w:gridCol w:w="3100"/>
        <w:gridCol w:w="6260"/>
      </w:tblGrid>
      <w:tr>
        <w:trPr>
          <w:cantSplit/>
          <w:tblHeader w:val="true"/>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MDS area</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downstream evidence</w:t>
            </w:r>
          </w:p>
        </w:tc>
      </w:tr>
      <w:tr>
        <w:trPr>
          <w:cantSplit/>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Workspace hierarchy</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UID-200, WF-SAL-001, UI-SAL-001, SCR-SAL screen specifications.</w:t>
            </w:r>
          </w:p>
        </w:tc>
      </w:tr>
      <w:tr>
        <w:trPr>
          <w:cantSplit/>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Sale entry and totals</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MDD/DBS entities, API validation/calculation contract, UI states, TST calculation cases.</w:t>
            </w:r>
          </w:p>
        </w:tc>
      </w:tr>
      <w:tr>
        <w:trPr>
          <w:cantSplit/>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Posting and transaction integrity</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Core transaction template, idempotency design, event contract, rollback/retry tests.</w:t>
            </w:r>
          </w:p>
        </w:tc>
      </w:tr>
      <w:tr>
        <w:trPr>
          <w:cantSplit/>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Receivable open item</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Data dictionary, balance projection, application interface, aging/report reconciliation tests.</w:t>
            </w:r>
          </w:p>
        </w:tc>
      </w:tr>
      <w:tr>
        <w:trPr>
          <w:cantSplit/>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Returns and adjustments</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Document schemas, permission/approval matrix, accounting rules, reversal and over-limit tests.</w:t>
            </w:r>
          </w:p>
        </w:tc>
      </w:tr>
      <w:tr>
        <w:trPr>
          <w:cantSplit/>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Billing statement</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Statement query/version contract, output template, source reconciliation, generation tests.</w:t>
            </w:r>
          </w:p>
        </w:tc>
      </w:tr>
      <w:tr>
        <w:trPr>
          <w:cantSplit/>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Integration</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API/event specs, ownership map, failure semantics, reconciliation and observability evidence.</w:t>
            </w:r>
          </w:p>
        </w:tc>
      </w:tr>
      <w:tr>
        <w:trPr>
          <w:cantSplit/>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Security/privacy</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Access matrix, field/record scope, export/print/share rules, security/privacy tests.</w:t>
            </w:r>
          </w:p>
        </w:tc>
      </w:tr>
      <w:tr>
        <w:trPr>
          <w:cantSplit/>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Edition behavior</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Entitlement keys, locked-state UI, API enforcement, upgrade/downgrade and data-preservation tests.</w:t>
            </w:r>
          </w:p>
        </w:tc>
      </w:tr>
      <w:tr>
        <w:trPr>
          <w:cantSplit/>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AI assistance</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Use-case approval, evidence/permission contract, human control, audit, failure and privacy tests.</w:t>
            </w:r>
          </w:p>
        </w:tc>
      </w:tr>
    </w:tbl>
    <w:p>
      <w:pPr>
        <w:spacing w:after="0"/>
      </w:pPr>
    </w:p>
    <w:p>
      <w:pPr>
        <w:pStyle w:val="Heading1"/>
      </w:pPr>
      <w:r>
        <w:t>Appendix E — Current UI Baseline</w:t>
      </w:r>
    </w:p>
    <w:p>
      <w:pPr>
        <w:numPr>
          <w:ilvl w:val="0"/>
          <w:numId w:val="10"/>
        </w:numPr>
        <w:spacing w:after="80" w:line="300" w:lineRule="auto"/>
      </w:pPr>
      <w:r>
        <w:rPr>
          <w:rFonts w:ascii="Calibri" w:hAnsi="Calibri" w:eastAsia="Calibri"/>
          <w:color w:val="111827"/>
          <w:sz w:val="21"/>
        </w:rPr>
        <w:t>Official workspace name: Sales &amp; Receivables; the visible heading should align with that functional scope.</w:t>
      </w:r>
    </w:p>
    <w:p>
      <w:pPr>
        <w:numPr>
          <w:ilvl w:val="0"/>
          <w:numId w:val="10"/>
        </w:numPr>
        <w:spacing w:after="80" w:line="300" w:lineRule="auto"/>
      </w:pPr>
      <w:r>
        <w:rPr>
          <w:rFonts w:ascii="Calibri" w:hAnsi="Calibri" w:eastAsia="Calibri"/>
          <w:color w:val="111827"/>
          <w:sz w:val="21"/>
        </w:rPr>
        <w:t>The workspace is action-oriented and may expose Cash Sale, Credit Sale, Billing Statement, and authorized adjustments as prominent actions.</w:t>
      </w:r>
    </w:p>
    <w:p>
      <w:pPr>
        <w:numPr>
          <w:ilvl w:val="0"/>
          <w:numId w:val="10"/>
        </w:numPr>
        <w:spacing w:after="80" w:line="300" w:lineRule="auto"/>
      </w:pPr>
      <w:r>
        <w:rPr>
          <w:rFonts w:ascii="Calibri" w:hAnsi="Calibri" w:eastAsia="Calibri"/>
          <w:color w:val="111827"/>
          <w:sz w:val="21"/>
        </w:rPr>
        <w:t>Needs Attention, Sales History, related collection/customer context, Records &amp; Ledgers, Reports, and Recent Activity use reusable Core patterns.</w:t>
      </w:r>
    </w:p>
    <w:p>
      <w:pPr>
        <w:numPr>
          <w:ilvl w:val="0"/>
          <w:numId w:val="10"/>
        </w:numPr>
        <w:spacing w:after="80" w:line="300" w:lineRule="auto"/>
      </w:pPr>
      <w:r>
        <w:rPr>
          <w:rFonts w:ascii="Calibri" w:hAnsi="Calibri" w:eastAsia="Calibri"/>
          <w:color w:val="111827"/>
          <w:sz w:val="21"/>
        </w:rPr>
        <w:t>Customer Ledger and collection destinations may be visible through Multiple UI Entry Points while retaining MDS-300 ownership.</w:t>
      </w:r>
    </w:p>
    <w:p>
      <w:pPr>
        <w:numPr>
          <w:ilvl w:val="0"/>
          <w:numId w:val="10"/>
        </w:numPr>
        <w:spacing w:after="80" w:line="300" w:lineRule="auto"/>
      </w:pPr>
      <w:r>
        <w:rPr>
          <w:rFonts w:ascii="Calibri" w:hAnsi="Calibri" w:eastAsia="Calibri"/>
          <w:color w:val="111827"/>
          <w:sz w:val="21"/>
        </w:rPr>
        <w:t>The UI should say what the entrepreneur is doing and avoid exposing unnecessary accounting or technical complexity.</w:t>
      </w:r>
    </w:p>
    <w:p>
      <w:pPr>
        <w:numPr>
          <w:ilvl w:val="0"/>
          <w:numId w:val="10"/>
        </w:numPr>
        <w:spacing w:after="80" w:line="300" w:lineRule="auto"/>
      </w:pPr>
      <w:r>
        <w:rPr>
          <w:rFonts w:ascii="Calibri" w:hAnsi="Calibri" w:eastAsia="Calibri"/>
          <w:color w:val="111827"/>
          <w:sz w:val="21"/>
        </w:rPr>
        <w:t>Exact card placement, iconography, spacing, breakpoints, and screen interactions remain governed by UID/WF/UI/SCR artifacts.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UI OWNERSHIP RULE  </w:t>
            </w:r>
            <w:r>
              <w:rPr>
                <w:rFonts w:ascii="Calibri" w:hAnsi="Calibri" w:eastAsia="Calibri"/>
                <w:b/>
                <w:color w:val="0B2545"/>
                <w:sz w:val="20"/>
              </w:rPr>
              <w:t>A shortcut changes where the user starts—not which module owns the record, rule, permission, transaction, audit trail, or resulting balance.</w:t>
            </w:r>
          </w:p>
        </w:tc>
      </w:tr>
    </w:tbl>
    <w:p>
      <w:pPr>
        <w:spacing w:after="0"/>
      </w:pPr>
    </w:p>
    <w:p>
      <w:r>
        <w:br w:type="page"/>
      </w:r>
    </w:p>
    <w:p>
      <w:pPr>
        <w:pStyle w:val="Heading1"/>
      </w:pPr>
      <w:r>
        <w:t>Appendix F — Legacy Functional Continuity</w:t>
      </w:r>
    </w:p>
    <w:p>
      <w:r>
        <w:rPr>
          <w:rFonts w:ascii="Calibri" w:hAnsi="Calibri" w:eastAsia="Calibri"/>
          <w:color w:val="111827"/>
        </w:rPr>
        <w:t>The legacy SimpleBIZ SME Tools screens are historical functional evidence. They demonstrate that SimpleBIZ already supported enduring SME concepts, but they do not govern the modern web architecture or visual design.</w:t>
      </w:r>
    </w:p>
    <w:tbl>
      <w:tblPr>
        <w:tblW w:type="dxa" w:w="9360"/>
        <w:jc w:val="left"/>
        <w:tblLayout w:type="fixed"/>
        <w:tblLook w:firstColumn="1" w:firstRow="1" w:lastColumn="0" w:lastRow="0" w:noHBand="0" w:noVBand="1" w:val="04A0"/>
        <w:tblInd w:w="120" w:type="dxa"/>
      </w:tblPr>
      <w:tblGrid>
        <w:gridCol w:w="2900"/>
        <w:gridCol w:w="6460"/>
      </w:tblGrid>
      <w:tr>
        <w:trPr>
          <w:cantSplit/>
          <w:tblHeader w:val="true"/>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Legacy capability</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Modern disposition</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Make a Sale / Cash Sales</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MDS-200 Cash Sale with linked MDS-300 receipt, MDS-700 cash, and MDS-600 stock effects.</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Credit Sales</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MDS-200 Credit Sale and Receivable Open Item.</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Accounts Receivable Management</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Receivable creation/aging/billing in MDS-200; collections/customer ledger in MDS-300.</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Customer Ledger</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MDS-300 governed integrated projection with MDS-200 charge sources.</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Debit/Credit Adjustment</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Separately numbered Sales Debit Adjustment and Sales Credit Adjustment in MDS-200.</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Create Billing / Billing History</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Billing Statement generation and history in MDS-200.</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Sales History and fixed report buttons</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Searchable Sales History plus module reports and MDS-900 centralized reporting.</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Item / Customer master lists from gear menus</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Authoritative Master Registries in MDS-1000 with contextual shortcuts.</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Cash Remittance in Sales</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MDS-300 Collections &amp; Receipts with MDS-700 cash-account integration.</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Desktop single-entry navigation</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Responsive workspaces, global navigation, and Multiple UI Entry Points.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FF7E6" w:val="clear"/>
          </w:tcPr>
          <w:p>
            <w:pPr>
              <w:spacing w:after="0"/>
            </w:pPr>
            <w:r>
              <w:rPr>
                <w:rFonts w:ascii="Calibri" w:hAnsi="Calibri" w:eastAsia="Calibri"/>
                <w:b/>
                <w:color w:val="F59E0B"/>
                <w:sz w:val="19"/>
              </w:rPr>
              <w:t xml:space="preserve">CONTINUITY PRINCIPLE  </w:t>
            </w:r>
            <w:r>
              <w:rPr>
                <w:rFonts w:ascii="Calibri" w:hAnsi="Calibri" w:eastAsia="Calibri"/>
                <w:b/>
                <w:color w:val="0B2545"/>
                <w:sz w:val="20"/>
              </w:rPr>
              <w:t>Preserve the business lesson; redesign the interface, architecture, controls, and integration for the modern SimpleBIZ One platform.</w:t>
            </w:r>
          </w:p>
        </w:tc>
      </w:tr>
    </w:tbl>
    <w:p>
      <w:pPr>
        <w:spacing w:after="0"/>
      </w:pPr>
    </w:p>
    <w:p>
      <w:pPr>
        <w:pStyle w:val="Heading1"/>
      </w:pPr>
      <w:r>
        <w:t>Appendix G — Review Checklist</w:t>
      </w:r>
    </w:p>
    <w:tbl>
      <w:tblPr>
        <w:tblW w:type="dxa" w:w="9360"/>
        <w:jc w:val="left"/>
        <w:tblLayout w:type="fixed"/>
        <w:tblLook w:firstColumn="1" w:firstRow="1" w:lastColumn="0" w:lastRow="0" w:noHBand="0" w:noVBand="1" w:val="04A0"/>
        <w:tblInd w:w="120" w:type="dxa"/>
      </w:tblPr>
      <w:tblGrid>
        <w:gridCol w:w="4200"/>
        <w:gridCol w:w="5160"/>
      </w:tblGrid>
      <w:tr>
        <w:trPr>
          <w:cantSplit/>
          <w:tblHeader w:val="true"/>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Review question</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Expected evidence</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Is the sale recorded once?</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One authoritative Sale with linked cross-module effects and duplicate protection.</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Is receivable ownership clear?</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MDS-200 open item; MDS-300 receipt/application; no competing balances.</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Can every amount be explained?</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Source lines, prices, discounts, taxes, applications, adjustments, returns, and rounding.</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Are corrections controlled?</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Separate document, source link, reason, permission/approval, audit, and reversal behavior.</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Does a statement reconcile?</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Beginning balance + governed movement = ending balance for its recorded scope.</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Do cash and stock remain authoritative elsewhere?</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MDS-700 ledger/balance and MDS-600 movement/availability evidence.</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Are UI entry points safe?</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Same route/capability, server permission, validation, transaction, and audit.</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Do reports and Dashboard reconcile?</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Matching formula, status, period/as-of, scope, currency, and drill-down.</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Are failure and retry conclusive?</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No hidden partial success, duplicates, or ambiguous completion.</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Is the design accessible and future-ready?</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Responsive/accessibility tests plus controlled ERP and AI extension points.</w:t>
            </w:r>
          </w:p>
        </w:tc>
      </w:tr>
    </w:tbl>
    <w:p>
      <w:pPr>
        <w:spacing w:after="0"/>
      </w:pPr>
    </w:p>
    <w:sectPr w:rsidR="00FC693F" w:rsidRPr="0006063C" w:rsidSect="00034616">
      <w:headerReference w:type="default" r:id="rId9"/>
      <w:footerReference w:type="default" r:id="rId10"/>
      <w:pgSz w:w="12240" w:h="15840"/>
      <w:pgMar w:top="1152"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eastAsia="Calibri"/>
        <w:color w:val="5B6573"/>
        <w:sz w:val="17"/>
      </w:rPr>
      <w:t>SimpleBIZ Systems</w:t>
    </w:r>
    <w:r>
      <w:rPr>
        <w:rFonts w:ascii="Calibri" w:hAnsi="Calibri" w:eastAsia="Calibri"/>
        <w:color w:val="5B6573"/>
        <w:sz w:val="17"/>
      </w:rPr>
      <w:tab/>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 w:pos="9360" w:val="right"/>
      </w:tabs>
      <w:spacing w:after="0"/>
    </w:pPr>
    <w:r>
      <w:rPr>
        <w:rFonts w:ascii="Calibri" w:hAnsi="Calibri" w:eastAsia="Calibri"/>
        <w:b/>
        <w:color w:val="0B2545"/>
        <w:sz w:val="17"/>
      </w:rPr>
      <w:t>SimpleBIZ  |  Module Design Specification</w:t>
    </w:r>
    <w:r>
      <w:rPr>
        <w:rFonts w:ascii="Calibri" w:hAnsi="Calibri" w:eastAsia="Calibri"/>
        <w:color w:val="5B6573"/>
        <w:sz w:val="17"/>
      </w:rPr>
      <w:tab/>
      <w:t>MDS-200  |  v1.1  |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5">
    <w:abstractNumId w:val="14"/>
  </w:num>
  <w:abstractNum w:abstractNumId="15">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6">
    <w:abstractNumId w:val="15"/>
  </w:num>
  <w:abstractNum w:abstractNumId="16">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spacing w:after="120" w:line="283"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pPr>
    <w:rPr>
      <w:rFonts w:ascii="Calibri" w:hAnsi="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MDS-200 Sales &amp; Receivables Module Design Specification v1.1</dc:title>
  <dc:subject>SimpleBIZ One Sales &amp; Receivables module design</dc:subject>
  <dc:creator>SimpleBIZ Systems</dc:creator>
  <cp:keywords>SimpleBIZ, MDS-200, Sales, Receivables, Cash Sale, Credit Sale, Billing Statement, Debit Adjustment, Credit Adjustment</cp:keywords>
  <dc:description>Version 1.2 — For Review — 30 July 2026</dc:description>
  <cp:lastModifiedBy/>
  <cp:revision>1</cp:revision>
  <dcterms:created xsi:type="dcterms:W3CDTF">2013-12-23T23:15:00Z</dcterms:created>
  <dcterms:modified xsi:type="dcterms:W3CDTF">2013-12-23T23:15:00Z</dcterms:modified>
  <cp:category/>
</cp:coreProperties>
</file>