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60"/>
      </w:pPr>
      <w:r>
        <w:rPr>
          <w:rFonts w:ascii="Calibri" w:hAnsi="Calibri" w:eastAsia="Calibri"/>
          <w:b/>
          <w:color w:val="1D4ED8"/>
          <w:sz w:val="24"/>
        </w:rPr>
        <w:t>SimpleBIZ</w:t>
      </w:r>
      <w:r>
        <w:rPr>
          <w:rFonts w:ascii="Calibri" w:hAnsi="Calibri" w:eastAsia="Calibri"/>
          <w:b/>
          <w:color w:val="5B6573"/>
          <w:sz w:val="19"/>
        </w:rPr>
        <w:t xml:space="preserve">  |  SIMPLEBIZ ONE</w:t>
      </w:r>
    </w:p>
    <w:p>
      <w:pPr>
        <w:spacing w:after="400"/>
        <w:pBdr>
          <w:bottom w:val="single" w:sz="14" w:space="5" w:color="F59E0B"/>
        </w:pBdr>
      </w:pPr>
    </w:p>
    <w:p>
      <w:pPr>
        <w:pStyle w:val="Title"/>
      </w:pPr>
      <w:r>
        <w:t>MDS-300</w:t>
      </w:r>
    </w:p>
    <w:p>
      <w:pPr>
        <w:pStyle w:val="Title"/>
        <w:spacing w:before="0"/>
      </w:pPr>
      <w:r>
        <w:rPr>
          <w:rFonts w:ascii="Calibri" w:hAnsi="Calibri" w:eastAsia="Calibri"/>
          <w:b/>
          <w:color w:val="0B2545"/>
          <w:sz w:val="58"/>
        </w:rPr>
        <w:t>Collections &amp; Receipts</w:t>
      </w:r>
    </w:p>
    <w:p>
      <w:pPr>
        <w:pStyle w:val="Subtitle"/>
      </w:pPr>
      <w:r>
        <w:t>Module Design Specification</w:t>
      </w:r>
    </w:p>
    <w:p>
      <w:pPr>
        <w:spacing w:after="480"/>
      </w:pPr>
      <w:r>
        <w:rPr>
          <w:rFonts w:ascii="Calibri" w:hAnsi="Calibri" w:eastAsia="Calibri"/>
          <w:color w:val="5B6573"/>
          <w:sz w:val="23"/>
        </w:rPr>
        <w:t>The governed design for receiving money, issuing receipts, applying customer payments, managing unapplied and advance amounts, maintaining the customer ledger, and reconciling collection remittances.</w:t>
      </w:r>
    </w:p>
    <w:tbl>
      <w:tblPr>
        <w:tblW w:type="dxa" w:w="9360"/>
        <w:jc w:val="left"/>
        <w:tblLayout w:type="fixed"/>
        <w:tblLook w:firstColumn="1" w:firstRow="1" w:lastColumn="0" w:lastRow="0" w:noHBand="0" w:noVBand="1" w:val="04A0"/>
        <w:tblInd w:w="120" w:type="dxa"/>
      </w:tblPr>
      <w:tblGrid>
        <w:gridCol w:w="2200"/>
        <w:gridCol w:w="7160"/>
      </w:tblGrid>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Version</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1.0</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Status</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For Review</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Date</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30 July 2026</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Product</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SimpleBIZ One</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Classification</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Module Design Specification</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Prepared for</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SimpleBIZ Systems</w:t>
            </w:r>
          </w:p>
        </w:tc>
      </w:tr>
    </w:tbl>
    <w:p>
      <w:pPr>
        <w:spacing w:after="0"/>
      </w:pPr>
    </w:p>
    <w:p>
      <w:pPr>
        <w:spacing w:before="360" w:after="0"/>
        <w:shd w:fill="F4F8FC" w:val="clear"/>
      </w:pPr>
      <w:r>
        <w:rPr>
          <w:rFonts w:ascii="Calibri" w:hAnsi="Calibri" w:eastAsia="Calibri"/>
          <w:b/>
          <w:color w:val="1D4ED8"/>
          <w:sz w:val="19"/>
        </w:rPr>
        <w:t xml:space="preserve">COLLECTIONS DESIGN DIRECTIVE  </w:t>
      </w:r>
      <w:r>
        <w:rPr>
          <w:rFonts w:ascii="Calibri" w:hAnsi="Calibri" w:eastAsia="Calibri"/>
          <w:b/>
          <w:color w:val="0B2545"/>
          <w:sz w:val="21"/>
        </w:rPr>
        <w:t>Receive money once, issue trustworthy evidence, apply it correctly, and preserve a complete chain from payer and obligation to receipt, remittance, and cash account.</w:t>
      </w:r>
    </w:p>
    <w:p>
      <w:r>
        <w:br w:type="page"/>
      </w:r>
    </w:p>
    <w:p>
      <w:pPr>
        <w:pStyle w:val="Heading1"/>
      </w:pPr>
      <w:r>
        <w:t>Document Control</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Document ID</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MDS-300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Document title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Collections &amp; Receipts Module Design Specification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Version</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1.0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Status</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For Review</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Date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30 July 2026</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Product</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SimpleBIZ One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Document family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Module Design Specification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Repository location</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03 - Architecture &amp; Design / 02 - Module Design Specifications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Supersedes</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New standalone module; consolidates collection-related requirements previously distributed across Sales and legacy Receipts &amp; Collection.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Prepared for</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SimpleBIZ Systems</w:t>
            </w:r>
          </w:p>
        </w:tc>
      </w:tr>
    </w:tbl>
    <w:p>
      <w:pPr>
        <w:spacing w:after="0"/>
      </w:pPr>
    </w:p>
    <w:p>
      <w:pPr>
        <w:pStyle w:val="Heading1"/>
      </w:pPr>
      <w:r>
        <w:t>Revision History</w:t>
      </w:r>
    </w:p>
    <w:tbl>
      <w:tblPr>
        <w:tblW w:type="dxa" w:w="9360"/>
        <w:jc w:val="left"/>
        <w:tblLayout w:type="fixed"/>
        <w:tblLook w:firstColumn="1" w:firstRow="1" w:lastColumn="0" w:lastRow="0" w:noHBand="0" w:noVBand="1" w:val="04A0"/>
        <w:tblInd w:w="120" w:type="dxa"/>
      </w:tblPr>
      <w:tblGrid>
        <w:gridCol w:w="900"/>
        <w:gridCol w:w="1550"/>
        <w:gridCol w:w="5210"/>
        <w:gridCol w:w="1700"/>
      </w:tblGrid>
      <w:tr>
        <w:trPr>
          <w:cantSplit/>
          <w:tblHeader w:val="true"/>
        </w:trPr>
        <w:tc>
          <w:tcPr>
            <w:tcW w:type="dxa" w:w="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Version</w:t>
            </w:r>
          </w:p>
        </w:tc>
        <w:tc>
          <w:tcPr>
            <w:tcW w:type="dxa" w:w="15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Date</w:t>
            </w:r>
          </w:p>
        </w:tc>
        <w:tc>
          <w:tcPr>
            <w:tcW w:type="dxa" w:w="52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Description</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Status</w:t>
            </w:r>
          </w:p>
        </w:tc>
      </w:tr>
      <w:tr>
        <w:trPr>
          <w:cantSplit/>
        </w:trPr>
        <w:tc>
          <w:tcPr>
            <w:tcW w:type="dxa" w:w="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1.0</w:t>
            </w:r>
          </w:p>
        </w:tc>
        <w:tc>
          <w:tcPr>
            <w:tcW w:type="dxa" w:w="15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30 July 2026</w:t>
            </w:r>
          </w:p>
        </w:tc>
        <w:tc>
          <w:tcPr>
            <w:tcW w:type="dxa" w:w="52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Established Collections &amp; Receipts as a standalone module under the approved 12-document MDS series; aligned customer collections, receipt issuance, applications, customer ledger, cash remittance, other receipts, security, reporting, AI readiness, and legacy continuity with MDS-000 v1.2.</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For Review</w:t>
            </w:r>
          </w:p>
        </w:tc>
      </w:tr>
    </w:tbl>
    <w:p>
      <w:pPr>
        <w:spacing w:after="0"/>
      </w:pPr>
    </w:p>
    <w:p>
      <w:pPr>
        <w:pStyle w:val="Heading1"/>
      </w:pPr>
      <w:r>
        <w:t>Related and Governing Documents</w:t>
      </w:r>
    </w:p>
    <w:tbl>
      <w:tblPr>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Document</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Relationship to MDS-300</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MDS-000 v1.2</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Governs shared architecture, transaction lifecycle, ownership, security, audit, events, entitlements, error handling, and quality.</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MDS-100 v1.1</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Defines Dashboard attention, activity, governed metrics, and entry points into Collections &amp; Receipts.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MDS-200 v1.1</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Owns sales, customer charges, receivable open items, due dates, billing statements, returns, and sales-side adjustments settled through MDS-300.</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UID-000 v1.3</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Governs the application shell, workspace hierarchy, Multiple UI Entry Points, accessibility, responsive behavior, and common components.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UID-300 / WF-COL-001 / UI-COL-001</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Define the detailed Collections &amp; Receipts interface, wireframe, and current visual baseline.</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MDS-500 / MDS-700</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Own outgoing customer refunds and authoritative cash-account movements and balances.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MDS-900 / MDS-1000 / MDS-1100</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Own consolidated reporting, authoritative master registries, and system configuration.</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DEV-000</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Governs the React.js, Laravel, PostgreSQL, repository, coding, testing, delivery, and AI-development implementation baseline.</w:t>
            </w:r>
          </w:p>
        </w:tc>
      </w:tr>
    </w:tbl>
    <w:p>
      <w:pPr>
        <w:spacing w:after="0"/>
      </w:pPr>
    </w:p>
    <w:p>
      <w:pPr>
        <w:pStyle w:val="Heading1"/>
      </w:pPr>
      <w:r>
        <w:t>Contents at a Glance</w:t>
      </w:r>
    </w:p>
    <w:tbl>
      <w:tblPr>
        <w:tblW w:type="dxa" w:w="9360"/>
        <w:jc w:val="left"/>
        <w:tblLayout w:type="fixed"/>
        <w:tblLook w:firstColumn="1" w:firstRow="1" w:lastColumn="0" w:lastRow="0" w:noHBand="0" w:noVBand="1" w:val="04A0"/>
        <w:tblInd w:w="120" w:type="dxa"/>
      </w:tblPr>
      <w:tblGrid>
        <w:gridCol w:w="2800"/>
        <w:gridCol w:w="6560"/>
      </w:tblGrid>
      <w:tr>
        <w:trPr>
          <w:cantSplit/>
          <w:tblHeader w:val="true"/>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Part</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Coverage</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I — Foundation</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Sections 1–4: introduction, purpose, scope, boundary, users, and module overview.</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II — Functional Design</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Sections 5–11: components, master data, documents, events, requirements, rules, workflows, exceptions, and statuses.</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III — Integration and Information</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Sections 12–16: integrations, transaction effects, reports, tasks, security, entities, balances, remittance, privacy, and integrity.</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IV — Product, Quality, and Evolution</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Sections 17–20: editions, user experience, non-functional requirements, testing, AI controls, ERP expansion, and success indicators.</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V — Formal Design Authority</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Section 21: formal module design statement.</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VI — Appendices</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Ownership, status, event, requirement, UI, legacy-continuity, and review catalogs.</w:t>
            </w:r>
          </w:p>
        </w:tc>
      </w:tr>
    </w:tbl>
    <w:p>
      <w:pPr>
        <w:spacing w:after="0"/>
      </w:pPr>
    </w:p>
    <w:p>
      <w:pPr>
        <w:pageBreakBefore/>
        <w:spacing w:before="920" w:after="100"/>
      </w:pPr>
      <w:r>
        <w:rPr>
          <w:rFonts w:ascii="Calibri" w:hAnsi="Calibri" w:eastAsia="Calibri"/>
          <w:b/>
          <w:color w:val="F59E0B"/>
          <w:sz w:val="20"/>
        </w:rPr>
        <w:t>PART I</w:t>
      </w:r>
    </w:p>
    <w:p>
      <w:pPr>
        <w:spacing w:after="160"/>
      </w:pPr>
      <w:r>
        <w:rPr>
          <w:rFonts w:ascii="Calibri" w:hAnsi="Calibri" w:eastAsia="Calibri"/>
          <w:b/>
          <w:color w:val="0B2545"/>
          <w:sz w:val="50"/>
        </w:rPr>
        <w:t>Foundation</w:t>
      </w:r>
    </w:p>
    <w:p>
      <w:pPr>
        <w:spacing w:after="360"/>
        <w:pBdr>
          <w:bottom w:val="single" w:sz="8" w:space="5" w:color="E8EEF5"/>
        </w:pBdr>
      </w:pPr>
      <w:r>
        <w:rPr>
          <w:rFonts w:ascii="Calibri" w:hAnsi="Calibri" w:eastAsia="Calibri"/>
          <w:color w:val="5B6573"/>
          <w:sz w:val="24"/>
        </w:rPr>
        <w:t>Business purpose, product role, users, scope, ownership, and module boundaries.</w:t>
      </w:r>
    </w:p>
    <w:p>
      <w:pPr>
        <w:pStyle w:val="Heading1"/>
      </w:pPr>
      <w:r>
        <w:t>1. Introduction</w:t>
      </w:r>
    </w:p>
    <w:p>
      <w:r>
        <w:rPr>
          <w:rFonts w:ascii="Calibri" w:hAnsi="Calibri" w:eastAsia="Calibri"/>
          <w:color w:val="111827"/>
        </w:rPr>
        <w:t>MDS-300 defines the functional and technical design of the SimpleBIZ One Collections &amp; Receipts module. It translates the Core architecture and the current user-centered workspace into a governed design for receiving money, issuing receipts, applying customer payments, handling advance or unapplied amounts, maintaining customer collection history, and reconciling cash remittances.</w:t>
      </w:r>
    </w:p>
    <w:p>
      <w:r>
        <w:rPr>
          <w:rFonts w:ascii="Calibri" w:hAnsi="Calibri" w:eastAsia="Calibri"/>
          <w:color w:val="111827"/>
        </w:rPr>
        <w:t>The module is the primary source of truth for money received from a payer and how that money was allocated. It does not create the sale or receivable, and it does not independently own the resulting bank, cash box, or e-wallet balance. Those responsibilities remain with Sales &amp; Receivables and Cash Accounts.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FF7E6" w:val="clear"/>
          </w:tcPr>
          <w:p>
            <w:pPr>
              <w:spacing w:after="0"/>
            </w:pPr>
            <w:r>
              <w:rPr>
                <w:rFonts w:ascii="Calibri" w:hAnsi="Calibri" w:eastAsia="Calibri"/>
                <w:b/>
                <w:color w:val="F59E0B"/>
                <w:sz w:val="19"/>
              </w:rPr>
              <w:t xml:space="preserve">SHORTEST PRACTICAL DISTINCTION  </w:t>
            </w:r>
            <w:r>
              <w:rPr>
                <w:rFonts w:ascii="Calibri" w:hAnsi="Calibri" w:eastAsia="Calibri"/>
                <w:b/>
                <w:color w:val="0B2545"/>
                <w:sz w:val="20"/>
              </w:rPr>
              <w:t>MDS-200 explains what the customer owes. MDS-300 records what the business received and how it was applied. MDS-700 owns where the money is held and the resulting cash-account balance.</w:t>
            </w:r>
          </w:p>
        </w:tc>
      </w:tr>
    </w:tbl>
    <w:p>
      <w:pPr>
        <w:spacing w:after="0"/>
      </w:pPr>
    </w:p>
    <w:p>
      <w:pPr>
        <w:pStyle w:val="Heading1"/>
      </w:pPr>
      <w:r>
        <w:t>2. Purpose</w:t>
      </w:r>
    </w:p>
    <w:p>
      <w:r>
        <w:rPr>
          <w:rFonts w:ascii="Calibri" w:hAnsi="Calibri" w:eastAsia="Calibri"/>
          <w:color w:val="111827"/>
        </w:rPr>
        <w:t>MDS-300 is intended to:</w:t>
      </w:r>
    </w:p>
    <w:p>
      <w:pPr>
        <w:numPr>
          <w:ilvl w:val="0"/>
          <w:numId w:val="10"/>
        </w:numPr>
        <w:spacing w:after="80" w:line="300" w:lineRule="auto"/>
      </w:pPr>
      <w:r>
        <w:rPr>
          <w:rFonts w:ascii="Calibri" w:hAnsi="Calibri" w:eastAsia="Calibri"/>
          <w:color w:val="111827"/>
          <w:sz w:val="21"/>
        </w:rPr>
        <w:t>Provide a simple and trustworthy collection experience for SME owners, cashiers, and bookkeepers.</w:t>
      </w:r>
    </w:p>
    <w:p>
      <w:pPr>
        <w:numPr>
          <w:ilvl w:val="0"/>
          <w:numId w:val="10"/>
        </w:numPr>
        <w:spacing w:after="80" w:line="300" w:lineRule="auto"/>
      </w:pPr>
      <w:r>
        <w:rPr>
          <w:rFonts w:ascii="Calibri" w:hAnsi="Calibri" w:eastAsia="Calibri"/>
          <w:color w:val="111827"/>
          <w:sz w:val="21"/>
        </w:rPr>
        <w:t>Issue durable evidence for every completed receipt without duplicate numbering or hidden edits.</w:t>
      </w:r>
    </w:p>
    <w:p>
      <w:pPr>
        <w:numPr>
          <w:ilvl w:val="0"/>
          <w:numId w:val="10"/>
        </w:numPr>
        <w:spacing w:after="80" w:line="300" w:lineRule="auto"/>
      </w:pPr>
      <w:r>
        <w:rPr>
          <w:rFonts w:ascii="Calibri" w:hAnsi="Calibri" w:eastAsia="Calibri"/>
          <w:color w:val="111827"/>
          <w:sz w:val="21"/>
        </w:rPr>
        <w:t>Apply customer payments accurately to one or more receivable open items.</w:t>
      </w:r>
    </w:p>
    <w:p>
      <w:pPr>
        <w:numPr>
          <w:ilvl w:val="0"/>
          <w:numId w:val="10"/>
        </w:numPr>
        <w:spacing w:after="80" w:line="300" w:lineRule="auto"/>
      </w:pPr>
      <w:r>
        <w:rPr>
          <w:rFonts w:ascii="Calibri" w:hAnsi="Calibri" w:eastAsia="Calibri"/>
          <w:color w:val="111827"/>
          <w:sz w:val="21"/>
        </w:rPr>
        <w:t>Preserve advance and unapplied money until an authorized allocation, refund, or correction occurs.</w:t>
      </w:r>
    </w:p>
    <w:p>
      <w:pPr>
        <w:numPr>
          <w:ilvl w:val="0"/>
          <w:numId w:val="10"/>
        </w:numPr>
        <w:spacing w:after="80" w:line="300" w:lineRule="auto"/>
      </w:pPr>
      <w:r>
        <w:rPr>
          <w:rFonts w:ascii="Calibri" w:hAnsi="Calibri" w:eastAsia="Calibri"/>
          <w:color w:val="111827"/>
          <w:sz w:val="21"/>
        </w:rPr>
        <w:t>Maintain an integrated customer ledger projection from governed charges, adjustments, receipts, and applications.</w:t>
      </w:r>
    </w:p>
    <w:p>
      <w:pPr>
        <w:numPr>
          <w:ilvl w:val="0"/>
          <w:numId w:val="10"/>
        </w:numPr>
        <w:spacing w:after="80" w:line="300" w:lineRule="auto"/>
      </w:pPr>
      <w:r>
        <w:rPr>
          <w:rFonts w:ascii="Calibri" w:hAnsi="Calibri" w:eastAsia="Calibri"/>
          <w:color w:val="111827"/>
          <w:sz w:val="21"/>
        </w:rPr>
        <w:t>Control cash-remittance accountability without creating a competing cash-account ledger.</w:t>
      </w:r>
    </w:p>
    <w:p>
      <w:pPr>
        <w:numPr>
          <w:ilvl w:val="0"/>
          <w:numId w:val="10"/>
        </w:numPr>
        <w:spacing w:after="80" w:line="300" w:lineRule="auto"/>
      </w:pPr>
      <w:r>
        <w:rPr>
          <w:rFonts w:ascii="Calibri" w:hAnsi="Calibri" w:eastAsia="Calibri"/>
          <w:color w:val="111827"/>
          <w:sz w:val="21"/>
        </w:rPr>
        <w:t>Support controlled non-customer receipts while preventing Other Receipts from becoming an accounting bypass.</w:t>
      </w:r>
    </w:p>
    <w:p>
      <w:pPr>
        <w:numPr>
          <w:ilvl w:val="0"/>
          <w:numId w:val="10"/>
        </w:numPr>
        <w:spacing w:after="80" w:line="300" w:lineRule="auto"/>
      </w:pPr>
      <w:r>
        <w:rPr>
          <w:rFonts w:ascii="Calibri" w:hAnsi="Calibri" w:eastAsia="Calibri"/>
          <w:color w:val="111827"/>
          <w:sz w:val="21"/>
        </w:rPr>
        <w:t>Expose reliable collection metrics, reports, attention conditions, and audit evidence.</w:t>
      </w:r>
    </w:p>
    <w:p>
      <w:pPr>
        <w:numPr>
          <w:ilvl w:val="0"/>
          <w:numId w:val="10"/>
        </w:numPr>
        <w:spacing w:after="80" w:line="300" w:lineRule="auto"/>
      </w:pPr>
      <w:r>
        <w:rPr>
          <w:rFonts w:ascii="Calibri" w:hAnsi="Calibri" w:eastAsia="Calibri"/>
          <w:color w:val="111827"/>
          <w:sz w:val="21"/>
        </w:rPr>
        <w:t>Provide an extensible foundation for online payments, bank feeds, automated matching, and future ERP collections.</w:t>
      </w:r>
    </w:p>
    <w:p>
      <w:pPr>
        <w:pStyle w:val="Heading1"/>
      </w:pPr>
      <w:r>
        <w:t>3. Scope and Boundary</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In scope</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Out of scope / authoritative owner</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Customer payment receipt and payer evidence.</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Sale, invoice, customer charge, due date, and receivable creation — MDS-200.</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Payment application to one or many receivable open items.</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Sales returns and sales-side debit/credit adjustments — MDS-200.</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Partial, combined, split-tender, advance, and unapplied receipts.</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Outgoing customer refund execution — MDS-500.</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Receipt history, voiding, reversal, failed-instrument handling, and reprint evidence.</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Cash-account ledger, transfer, reconciliation, and balance — MDS-700.</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Customer ledger projection and collection history.</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Authoritative customer and payment-method registries — MDS-1000.</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Cashier remittance, verification, shortage/overage, and custody evidence.</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Configuration, numbering, roles, and approval policy — MDS-1100.</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Controlled Other Receipts and source classification.</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Cross-module financial statements and consolidated analytics — MDS-900.</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Due/overdue collection work surfaced from MDS-200 open items.</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Purchase, supplier payment, expense, payroll, asset, loan, and tax source transactions — owning modules.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4F8FC" w:val="clear"/>
          </w:tcPr>
          <w:p>
            <w:pPr>
              <w:spacing w:after="0"/>
            </w:pPr>
            <w:r>
              <w:rPr>
                <w:rFonts w:ascii="Calibri" w:hAnsi="Calibri" w:eastAsia="Calibri"/>
                <w:b/>
                <w:color w:val="1D4ED8"/>
                <w:sz w:val="19"/>
              </w:rPr>
              <w:t xml:space="preserve">BOUNDARY RULE  </w:t>
            </w:r>
            <w:r>
              <w:rPr>
                <w:rFonts w:ascii="Calibri" w:hAnsi="Calibri" w:eastAsia="Calibri"/>
                <w:b/>
                <w:color w:val="0B2545"/>
                <w:sz w:val="20"/>
              </w:rPr>
              <w:t>A receipt proves that money was received. It does not, by itself, prove that a sale occurred, create revenue, create a receivable, or determine the final accounting classification of every cash inflow.</w:t>
            </w:r>
          </w:p>
        </w:tc>
      </w:tr>
    </w:tbl>
    <w:p>
      <w:pPr>
        <w:spacing w:after="0"/>
      </w:pPr>
    </w:p>
    <w:p>
      <w:pPr>
        <w:pStyle w:val="Heading2"/>
      </w:pPr>
      <w:r>
        <w:t>3.1 Other Receipts Boundary</w:t>
      </w:r>
    </w:p>
    <w:p>
      <w:r>
        <w:rPr>
          <w:rFonts w:ascii="Calibri" w:hAnsi="Calibri" w:eastAsia="Calibri"/>
          <w:color w:val="111827"/>
        </w:rPr>
        <w:t>Other Receipts supports money received that is not a customer collection against a sales receivable. Examples may include owner contributions, loan proceeds, deposit refunds received, interest income, insurance proceeds, asset-sale proceeds, or other authorized inflows. The user must select a governed receipt type and source context.</w:t>
      </w:r>
    </w:p>
    <w:p>
      <w:pPr>
        <w:numPr>
          <w:ilvl w:val="0"/>
          <w:numId w:val="10"/>
        </w:numPr>
        <w:spacing w:after="80" w:line="300" w:lineRule="auto"/>
      </w:pPr>
      <w:r>
        <w:rPr>
          <w:rFonts w:ascii="Calibri" w:hAnsi="Calibri" w:eastAsia="Calibri"/>
          <w:color w:val="111827"/>
          <w:sz w:val="21"/>
        </w:rPr>
        <w:t>Other Receipt shall not create or settle a customer receivable.</w:t>
      </w:r>
    </w:p>
    <w:p>
      <w:pPr>
        <w:numPr>
          <w:ilvl w:val="0"/>
          <w:numId w:val="10"/>
        </w:numPr>
        <w:spacing w:after="80" w:line="300" w:lineRule="auto"/>
      </w:pPr>
      <w:r>
        <w:rPr>
          <w:rFonts w:ascii="Calibri" w:hAnsi="Calibri" w:eastAsia="Calibri"/>
          <w:color w:val="111827"/>
          <w:sz w:val="21"/>
        </w:rPr>
        <w:t>A transaction that properly belongs to Sales, Capital, Loans, Assets, Tax, or another enabled module shall be routed or linked to that owner.</w:t>
      </w:r>
    </w:p>
    <w:p>
      <w:pPr>
        <w:numPr>
          <w:ilvl w:val="0"/>
          <w:numId w:val="10"/>
        </w:numPr>
        <w:spacing w:after="80" w:line="300" w:lineRule="auto"/>
      </w:pPr>
      <w:r>
        <w:rPr>
          <w:rFonts w:ascii="Calibri" w:hAnsi="Calibri" w:eastAsia="Calibri"/>
          <w:color w:val="111827"/>
          <w:sz w:val="21"/>
        </w:rPr>
        <w:t>Generic categories such as Miscellaneous shall be restricted, explained, and reviewable.</w:t>
      </w:r>
    </w:p>
    <w:p>
      <w:pPr>
        <w:numPr>
          <w:ilvl w:val="0"/>
          <w:numId w:val="10"/>
        </w:numPr>
        <w:spacing w:after="80" w:line="300" w:lineRule="auto"/>
      </w:pPr>
      <w:r>
        <w:rPr>
          <w:rFonts w:ascii="Calibri" w:hAnsi="Calibri" w:eastAsia="Calibri"/>
          <w:color w:val="111827"/>
          <w:sz w:val="21"/>
        </w:rPr>
        <w:t>The selected type determines required counterpart, source document, classification, approval, and reporting treatment.</w:t>
      </w:r>
    </w:p>
    <w:p>
      <w:pPr>
        <w:numPr>
          <w:ilvl w:val="0"/>
          <w:numId w:val="10"/>
        </w:numPr>
        <w:spacing w:after="80" w:line="300" w:lineRule="auto"/>
      </w:pPr>
      <w:r>
        <w:rPr>
          <w:rFonts w:ascii="Calibri" w:hAnsi="Calibri" w:eastAsia="Calibri"/>
          <w:color w:val="111827"/>
          <w:sz w:val="21"/>
        </w:rPr>
        <w:t>If a proper source module is not yet available, the receipt retains an explicit interim classification and review status rather than inventing revenue.</w:t>
      </w:r>
    </w:p>
    <w:p>
      <w:pPr>
        <w:pStyle w:val="Heading1"/>
        <w:pageBreakBefore/>
      </w:pPr>
      <w:r>
        <w:t>4. Module Overview</w:t>
      </w:r>
    </w:p>
    <w:tbl>
      <w:tblPr>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Dimension</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MDS-300 design</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Primary business questions</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Who paid, how much, when, by what method, into which account, and what obligation or purpose did it settle?</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Primary users</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Business owner, cashier, collector, bookkeeper, finance user, collection supervisor, auditor/read-only user.</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Authoritative records</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Receipt, receipt tender, payment application, unapplied/advance balance, remittance, remittance variance, collection activity.</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Governed projection</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Customer ledger and collection history using MDS-200 charges and MDS-300 receipt/application effects.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Primary integrations</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Core, Dashboard, Sales &amp; Receivables, Payments &amp; Disbursements, Cash Accounts, Reports, Master Registries, Settings.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Core design principles</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Single Functional Ownership, Multiple UI Entry Points, atomic posting, idempotency, traceability, clear status dimensions, human control.</w:t>
            </w:r>
          </w:p>
        </w:tc>
      </w:tr>
    </w:tbl>
    <w:p>
      <w:pPr>
        <w:spacing w:after="0"/>
      </w:pPr>
    </w:p>
    <w:p>
      <w:pPr>
        <w:pageBreakBefore/>
        <w:spacing w:before="920" w:after="100"/>
      </w:pPr>
      <w:r>
        <w:rPr>
          <w:rFonts w:ascii="Calibri" w:hAnsi="Calibri" w:eastAsia="Calibri"/>
          <w:b/>
          <w:color w:val="F59E0B"/>
          <w:sz w:val="20"/>
        </w:rPr>
        <w:t>PART II</w:t>
      </w:r>
    </w:p>
    <w:p>
      <w:pPr>
        <w:spacing w:after="160"/>
      </w:pPr>
      <w:r>
        <w:rPr>
          <w:rFonts w:ascii="Calibri" w:hAnsi="Calibri" w:eastAsia="Calibri"/>
          <w:b/>
          <w:color w:val="0B2545"/>
          <w:sz w:val="50"/>
        </w:rPr>
        <w:t>Functional Design</w:t>
      </w:r>
    </w:p>
    <w:p>
      <w:pPr>
        <w:spacing w:after="360"/>
        <w:pBdr>
          <w:bottom w:val="single" w:sz="8" w:space="5" w:color="E8EEF5"/>
        </w:pBdr>
      </w:pPr>
      <w:r>
        <w:rPr>
          <w:rFonts w:ascii="Calibri" w:hAnsi="Calibri" w:eastAsia="Calibri"/>
          <w:color w:val="5B6573"/>
          <w:sz w:val="24"/>
        </w:rPr>
        <w:t>Workspace capabilities, master data, documents, events, requirements, rules, workflows, and statuses.</w:t>
      </w:r>
    </w:p>
    <w:p>
      <w:pPr>
        <w:pStyle w:val="Heading1"/>
      </w:pPr>
      <w:r>
        <w:t>5. Functional Components</w:t>
      </w:r>
    </w:p>
    <w:tbl>
      <w:tblPr>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Component</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Purpose and responsibility</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Collections &amp; Receipts Workspace</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Presents collection actions, attention, records, reports, customer context, and recent activity.</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Customer Collection</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Receives customer money and applies it to one or more valid receivable open items.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Receipt Entry</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Captures payer, amount, date, tender, cash account, reference, source, application, notes, and attachments.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Payment Application</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Allocates a receipt to selected customer open items while preserving amount and reversal traceability.</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Unapplied / Advance Receipt</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Retains valid money received before complete allocation and supports later application or authorized refund.</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Payment Receipt</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Provides customer-facing evidence of money received and its immediate application, subject to jurisdiction/configuration.</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Receipt History</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Searches, filters, reviews, prints, reprints, and traces receipts, applications, voids, reversals, and related records.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Customer Ledger</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Projects governed charges, adjustments, receipts, applications, and running customer balance chronologically.</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Collection Follow-up</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Surfaces due and overdue accounts, actions, promises, disputes, priorities, and authorized next steps.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Cash Remittance</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Records custody transfer and verifies collections remitted against accountable receipts and adjustments.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Other Receipts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Records controlled non-customer inflows using governed receipt types and source classification.</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Reports and Attention</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Provides operational outputs, exceptions, variances, due/overdue conditions, and authorized destinations.</w:t>
            </w:r>
          </w:p>
        </w:tc>
      </w:tr>
    </w:tbl>
    <w:p>
      <w:pPr>
        <w:spacing w:after="0"/>
      </w:pPr>
    </w:p>
    <w:p>
      <w:pPr>
        <w:pStyle w:val="Heading2"/>
      </w:pPr>
      <w:r>
        <w:t>5.1 Current Workspace Hierarchy</w:t>
      </w:r>
    </w:p>
    <w:p>
      <w:r>
        <w:rPr>
          <w:rFonts w:ascii="Calibri" w:hAnsi="Calibri" w:eastAsia="Calibri"/>
          <w:color w:val="111827"/>
        </w:rPr>
        <w:t>The current UI direction treats Collections &amp; Receipts as a distinct operational workspace. Exact placement belongs in UID/WF/UI/SCR, but the following functional hierarchy is governed here:</w:t>
      </w:r>
    </w:p>
    <w:tbl>
      <w:tblPr>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Workspace region</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Initial content</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Primary actions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Collections, Customer Ledger, Receipt History, Cash Remittance, and Other Receipts.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Needs Attention</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Due today, overdue, unapplied money, failed instruments, remittance variances, pending approval, and processing exceptions.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Records &amp; Ledgers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Receipt History, Customer Ledger, Collection History, Unapplied Receipts, and Remittance History.</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Reports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Collection, receipt, application, remittance, variance, and other-receipt outputs defined in Section 13.</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Recent Activity</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Meaningful receipts, applications, reversals, reprints, remittances, variances, and collection actions.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Related entry points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Customer, receivable, sale, cash account, refund, and report destinations without transferring ownership.</w:t>
            </w:r>
          </w:p>
        </w:tc>
      </w:tr>
    </w:tbl>
    <w:p>
      <w:pPr>
        <w:spacing w:after="0"/>
      </w:pPr>
    </w:p>
    <w:p>
      <w:pPr>
        <w:pStyle w:val="Heading2"/>
      </w:pPr>
      <w:r>
        <w:t>5.2 Simple Experience, Correct Processing</w:t>
      </w:r>
    </w:p>
    <w:p>
      <w:r>
        <w:rPr>
          <w:rFonts w:ascii="Calibri" w:hAnsi="Calibri" w:eastAsia="Calibri"/>
          <w:color w:val="111827"/>
        </w:rPr>
        <w:t>A user should not be forced to understand several modules to record an ordinary customer payment. One cohesive collection journey may create linked records through MDS-300, update MDS-200 settlement, and post the cash effect through MDS-700.</w:t>
      </w:r>
    </w:p>
    <w:p>
      <w:pPr>
        <w:numPr>
          <w:ilvl w:val="0"/>
          <w:numId w:val="12"/>
        </w:numPr>
        <w:spacing w:after="80" w:line="300" w:lineRule="auto"/>
      </w:pPr>
      <w:r>
        <w:rPr>
          <w:rFonts w:ascii="Calibri" w:hAnsi="Calibri" w:eastAsia="Calibri"/>
          <w:color w:val="111827"/>
          <w:sz w:val="21"/>
        </w:rPr>
        <w:t>Select the customer or locate the receivable, sale, billing statement, or collection task.</w:t>
      </w:r>
    </w:p>
    <w:p>
      <w:pPr>
        <w:numPr>
          <w:ilvl w:val="0"/>
          <w:numId w:val="12"/>
        </w:numPr>
        <w:spacing w:after="80" w:line="300" w:lineRule="auto"/>
      </w:pPr>
      <w:r>
        <w:rPr>
          <w:rFonts w:ascii="Calibri" w:hAnsi="Calibri" w:eastAsia="Calibri"/>
          <w:color w:val="111827"/>
          <w:sz w:val="21"/>
        </w:rPr>
        <w:t>Enter the amount received and payment method or split tender.</w:t>
      </w:r>
    </w:p>
    <w:p>
      <w:pPr>
        <w:numPr>
          <w:ilvl w:val="0"/>
          <w:numId w:val="12"/>
        </w:numPr>
        <w:spacing w:after="80" w:line="300" w:lineRule="auto"/>
      </w:pPr>
      <w:r>
        <w:rPr>
          <w:rFonts w:ascii="Calibri" w:hAnsi="Calibri" w:eastAsia="Calibri"/>
          <w:color w:val="111827"/>
          <w:sz w:val="21"/>
        </w:rPr>
        <w:t>Select the target cash account or governed clearing account.</w:t>
      </w:r>
    </w:p>
    <w:p>
      <w:pPr>
        <w:numPr>
          <w:ilvl w:val="0"/>
          <w:numId w:val="12"/>
        </w:numPr>
        <w:spacing w:after="80" w:line="300" w:lineRule="auto"/>
      </w:pPr>
      <w:r>
        <w:rPr>
          <w:rFonts w:ascii="Calibri" w:hAnsi="Calibri" w:eastAsia="Calibri"/>
          <w:color w:val="111827"/>
          <w:sz w:val="21"/>
        </w:rPr>
        <w:t>Apply the amount to one or more open items and identify any advance or unapplied remainder.</w:t>
      </w:r>
    </w:p>
    <w:p>
      <w:pPr>
        <w:numPr>
          <w:ilvl w:val="0"/>
          <w:numId w:val="12"/>
        </w:numPr>
        <w:spacing w:after="80" w:line="300" w:lineRule="auto"/>
      </w:pPr>
      <w:r>
        <w:rPr>
          <w:rFonts w:ascii="Calibri" w:hAnsi="Calibri" w:eastAsia="Calibri"/>
          <w:color w:val="111827"/>
          <w:sz w:val="21"/>
        </w:rPr>
        <w:t>Validate authorization, totals, duplicate protection, source status, and required evidence.</w:t>
      </w:r>
    </w:p>
    <w:p>
      <w:pPr>
        <w:numPr>
          <w:ilvl w:val="0"/>
          <w:numId w:val="12"/>
        </w:numPr>
        <w:spacing w:after="80" w:line="300" w:lineRule="auto"/>
      </w:pPr>
      <w:r>
        <w:rPr>
          <w:rFonts w:ascii="Calibri" w:hAnsi="Calibri" w:eastAsia="Calibri"/>
          <w:color w:val="111827"/>
          <w:sz w:val="21"/>
        </w:rPr>
        <w:t>Post one receipt, its applications, the MDS-700 cash effect, and MDS-200 settlement effects under one governed transaction.</w:t>
      </w:r>
    </w:p>
    <w:p>
      <w:pPr>
        <w:numPr>
          <w:ilvl w:val="0"/>
          <w:numId w:val="12"/>
        </w:numPr>
        <w:spacing w:after="80" w:line="300" w:lineRule="auto"/>
      </w:pPr>
      <w:r>
        <w:rPr>
          <w:rFonts w:ascii="Calibri" w:hAnsi="Calibri" w:eastAsia="Calibri"/>
          <w:color w:val="111827"/>
          <w:sz w:val="21"/>
        </w:rPr>
        <w:t>Issue the configured receipt and refresh the ledger, history, reports, activity, and attention conditions.</w:t>
      </w:r>
    </w:p>
    <w:p>
      <w:pPr>
        <w:pStyle w:val="Heading1"/>
      </w:pPr>
      <w:r>
        <w:t>6. Master Data</w:t>
      </w:r>
    </w:p>
    <w:p>
      <w:r>
        <w:rPr>
          <w:rFonts w:ascii="Calibri" w:hAnsi="Calibri" w:eastAsia="Calibri"/>
          <w:color w:val="111827"/>
        </w:rPr>
        <w:t>MDS-300 consumes authoritative master records owned by MDS-1000. Contextual quick-create may be offered, but it shall invoke the same registry permissions, validation, duplicate control, and audit trail.</w:t>
      </w:r>
    </w:p>
    <w:tbl>
      <w:tblPr>
        <w:tblW w:type="dxa" w:w="9360"/>
        <w:jc w:val="left"/>
        <w:tblLayout w:type="fixed"/>
        <w:tblLook w:firstColumn="1" w:firstRow="1" w:lastColumn="0" w:lastRow="0" w:noHBand="0" w:noVBand="1" w:val="04A0"/>
        <w:tblInd w:w="120" w:type="dxa"/>
      </w:tblPr>
      <w:tblGrid>
        <w:gridCol w:w="2100"/>
        <w:gridCol w:w="3900"/>
        <w:gridCol w:w="3360"/>
      </w:tblGrid>
      <w:tr>
        <w:trPr>
          <w:cantSplit/>
          <w:tblHeader w:val="true"/>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Master record</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Collections use</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Key controls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Customer / Business Partner</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Payer, account holder, ledger subject, receipt recipient.</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Active/effective status, company scope, privacy, duplicate control.</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Cash Account</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Destination for cash, bank, e-wallet, card clearing, undeposited funds, or other receipt.</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MDS-700 ownership, active currency, method compatibility, user/branch authority.</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Payment Method</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Cash, check, bank transfer, card, e-wallet, or configured tender.</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Required fields, clearing behavior, fees, references, allowed accounts.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Receipt Type</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Customer collection, advance, other receipt, deposit, contribution, proceeds, or configured inflow.</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Source owner, classification, approval, required evidence, reporting.</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Reason / Adjustment Code</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Void, reversal, reapplication, variance, failed instrument, and correction basis.</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Active, specific, nonblank where required, approval linkage.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Branch / Business Unit</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Operational ownership, numbering, cashier, reporting, and remittance scope.</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User access, effective date, cross-branch policy.</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Currency / Exchange Rate Source</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Receipt, application, cash-account, and reporting currency.</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Permitted combinations, effective rate, rounding, difference treatment.</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Collector / Salesperson / User</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Responsibility, attribution, assignment, and performance.</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Active assignment and authorized customer/branch scope.</w:t>
            </w:r>
          </w:p>
        </w:tc>
      </w:tr>
    </w:tbl>
    <w:p>
      <w:pPr>
        <w:spacing w:after="0"/>
      </w:pPr>
    </w:p>
    <w:p>
      <w:pPr>
        <w:numPr>
          <w:ilvl w:val="0"/>
          <w:numId w:val="10"/>
        </w:numPr>
        <w:spacing w:after="80" w:line="300" w:lineRule="auto"/>
      </w:pPr>
      <w:r>
        <w:rPr>
          <w:rFonts w:ascii="Calibri" w:hAnsi="Calibri" w:eastAsia="Calibri"/>
          <w:color w:val="111827"/>
          <w:sz w:val="21"/>
        </w:rPr>
        <w:t>Posted receipts preserve material payer, method, account, provider, reference, currency, and classification snapshots.</w:t>
      </w:r>
    </w:p>
    <w:p>
      <w:pPr>
        <w:numPr>
          <w:ilvl w:val="0"/>
          <w:numId w:val="10"/>
        </w:numPr>
        <w:spacing w:after="80" w:line="300" w:lineRule="auto"/>
      </w:pPr>
      <w:r>
        <w:rPr>
          <w:rFonts w:ascii="Calibri" w:hAnsi="Calibri" w:eastAsia="Calibri"/>
          <w:color w:val="111827"/>
          <w:sz w:val="21"/>
        </w:rPr>
        <w:t>Deactivation prevents new use where applicable but shall not damage historical records.</w:t>
      </w:r>
    </w:p>
    <w:p>
      <w:pPr>
        <w:numPr>
          <w:ilvl w:val="0"/>
          <w:numId w:val="10"/>
        </w:numPr>
        <w:spacing w:after="80" w:line="300" w:lineRule="auto"/>
      </w:pPr>
      <w:r>
        <w:rPr>
          <w:rFonts w:ascii="Calibri" w:hAnsi="Calibri" w:eastAsia="Calibri"/>
          <w:color w:val="111827"/>
          <w:sz w:val="21"/>
        </w:rPr>
        <w:t>Walk-in paid-now sales may use an approved walk-in payer context; receivable collections require the correct identified customer account.</w:t>
      </w:r>
    </w:p>
    <w:p>
      <w:pPr>
        <w:numPr>
          <w:ilvl w:val="0"/>
          <w:numId w:val="10"/>
        </w:numPr>
        <w:spacing w:after="80" w:line="300" w:lineRule="auto"/>
      </w:pPr>
      <w:r>
        <w:rPr>
          <w:rFonts w:ascii="Calibri" w:hAnsi="Calibri" w:eastAsia="Calibri"/>
          <w:color w:val="111827"/>
          <w:sz w:val="21"/>
        </w:rPr>
        <w:t>A payment method may require method-specific fields such as check number/date, bank reference, provider transaction ID, card settlement batch, or e-wallet reference.</w:t>
      </w:r>
    </w:p>
    <w:p>
      <w:pPr>
        <w:numPr>
          <w:ilvl w:val="0"/>
          <w:numId w:val="10"/>
        </w:numPr>
        <w:spacing w:after="80" w:line="300" w:lineRule="auto"/>
      </w:pPr>
      <w:r>
        <w:rPr>
          <w:rFonts w:ascii="Calibri" w:hAnsi="Calibri" w:eastAsia="Calibri"/>
          <w:color w:val="111827"/>
          <w:sz w:val="21"/>
        </w:rPr>
        <w:t>External payment identities shall be sufficient to prevent duplicate acceptance and support later reconciliation.</w:t>
      </w:r>
    </w:p>
    <w:p>
      <w:pPr>
        <w:pStyle w:val="Heading1"/>
      </w:pPr>
      <w:r>
        <w:t>7. Business Documents and Records</w:t>
      </w:r>
    </w:p>
    <w:tbl>
      <w:tblPr>
        <w:tblW w:type="dxa" w:w="9360"/>
        <w:jc w:val="left"/>
        <w:tblLayout w:type="fixed"/>
        <w:tblLook w:firstColumn="1" w:firstRow="1" w:lastColumn="0" w:lastRow="0" w:noHBand="0" w:noVBand="1" w:val="04A0"/>
        <w:tblInd w:w="120" w:type="dxa"/>
      </w:tblPr>
      <w:tblGrid>
        <w:gridCol w:w="2100"/>
        <w:gridCol w:w="4450"/>
        <w:gridCol w:w="2810"/>
      </w:tblGrid>
      <w:tr>
        <w:trPr>
          <w:cantSplit/>
          <w:tblHeader w:val="true"/>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Document / record</w:t>
            </w:r>
          </w:p>
        </w:tc>
        <w:tc>
          <w:tcPr>
            <w:tcW w:type="dxa" w:w="44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Purpose</w:t>
            </w:r>
          </w:p>
        </w:tc>
        <w:tc>
          <w:tcPr>
            <w:tcW w:type="dxa" w:w="28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Amount effect</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Payment Receipt</w:t>
            </w:r>
          </w:p>
        </w:tc>
        <w:tc>
          <w:tcPr>
            <w:tcW w:type="dxa" w:w="44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Primary evidence that money was received from a payer through one or more tenders.</w:t>
            </w:r>
          </w:p>
        </w:tc>
        <w:tc>
          <w:tcPr>
            <w:tcW w:type="dxa" w:w="28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Creates receipt and required cash-account effect.</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Payment Application</w:t>
            </w:r>
          </w:p>
        </w:tc>
        <w:tc>
          <w:tcPr>
            <w:tcW w:type="dxa" w:w="44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Allocates all or part of a receipt to one or more receivable open items.</w:t>
            </w:r>
          </w:p>
        </w:tc>
        <w:tc>
          <w:tcPr>
            <w:tcW w:type="dxa" w:w="28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Reduces the selected MDS-200 open balance.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Unapplied / Advance Receipt</w:t>
            </w:r>
          </w:p>
        </w:tc>
        <w:tc>
          <w:tcPr>
            <w:tcW w:type="dxa" w:w="44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Retains valid customer money not yet applied to a specific open item.</w:t>
            </w:r>
          </w:p>
        </w:tc>
        <w:tc>
          <w:tcPr>
            <w:tcW w:type="dxa" w:w="28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Creates customer credit/unapplied balance; no receivable reduction until applied.</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Application Reversal / Reapplication</w:t>
            </w:r>
          </w:p>
        </w:tc>
        <w:tc>
          <w:tcPr>
            <w:tcW w:type="dxa" w:w="44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Corrects allocation without falsifying the original receipt.</w:t>
            </w:r>
          </w:p>
        </w:tc>
        <w:tc>
          <w:tcPr>
            <w:tcW w:type="dxa" w:w="28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Restores and reallocates open balances as authorized.</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Receipt Void / Reversal Record</w:t>
            </w:r>
          </w:p>
        </w:tc>
        <w:tc>
          <w:tcPr>
            <w:tcW w:type="dxa" w:w="44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Corrects an invalid or completed receipt according to lifecycle and clearing state.</w:t>
            </w:r>
          </w:p>
        </w:tc>
        <w:tc>
          <w:tcPr>
            <w:tcW w:type="dxa" w:w="28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Reverses only the governed original effects.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Cash Remittance</w:t>
            </w:r>
          </w:p>
        </w:tc>
        <w:tc>
          <w:tcPr>
            <w:tcW w:type="dxa" w:w="44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Documents accountable collections transferred by a cashier/collector to a custodian or destination.</w:t>
            </w:r>
          </w:p>
        </w:tc>
        <w:tc>
          <w:tcPr>
            <w:tcW w:type="dxa" w:w="28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Custody/reconciliation effect; MDS-700 owns cash movement.</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Remittance Variance</w:t>
            </w:r>
          </w:p>
        </w:tc>
        <w:tc>
          <w:tcPr>
            <w:tcW w:type="dxa" w:w="44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Records shortage, overage, disputed amount, explanation, evidence, and resolution.</w:t>
            </w:r>
          </w:p>
        </w:tc>
        <w:tc>
          <w:tcPr>
            <w:tcW w:type="dxa" w:w="28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Does not silently force receipts or cash to agree.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Other Receipt</w:t>
            </w:r>
          </w:p>
        </w:tc>
        <w:tc>
          <w:tcPr>
            <w:tcW w:type="dxa" w:w="44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Documents a controlled non-customer inflow and its governed source classification.</w:t>
            </w:r>
          </w:p>
        </w:tc>
        <w:tc>
          <w:tcPr>
            <w:tcW w:type="dxa" w:w="28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Creates cash inflow; source/accounting effect belongs to configured owner.</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Collection Activity</w:t>
            </w:r>
          </w:p>
        </w:tc>
        <w:tc>
          <w:tcPr>
            <w:tcW w:type="dxa" w:w="44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Records authorized follow-up, contact, promise, dispute, assignment, and next action.</w:t>
            </w:r>
          </w:p>
        </w:tc>
        <w:tc>
          <w:tcPr>
            <w:tcW w:type="dxa" w:w="28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No direct amount effect.</w:t>
            </w:r>
          </w:p>
        </w:tc>
      </w:tr>
    </w:tbl>
    <w:p>
      <w:pPr>
        <w:spacing w:after="0"/>
      </w:pPr>
    </w:p>
    <w:p>
      <w:pPr>
        <w:pStyle w:val="Heading2"/>
      </w:pPr>
      <w:r>
        <w:t>7.1 Receipt Terminology</w:t>
      </w:r>
    </w:p>
    <w:p>
      <w:r>
        <w:rPr>
          <w:rFonts w:ascii="Calibri" w:hAnsi="Calibri" w:eastAsia="Calibri"/>
          <w:color w:val="111827"/>
        </w:rPr>
        <w:t>The internal functional name is Payment Receipt. A jurisdiction or business may display Receipt, Collection Receipt, Acknowledgment Receipt, Official Receipt, e-Receipt, or another approved term. The configured label shall not change the record's ownership, amount, status, or statutory treatment.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FF7E6" w:val="clear"/>
          </w:tcPr>
          <w:p>
            <w:pPr>
              <w:spacing w:after="0"/>
            </w:pPr>
            <w:r>
              <w:rPr>
                <w:rFonts w:ascii="Calibri" w:hAnsi="Calibri" w:eastAsia="Calibri"/>
                <w:b/>
                <w:color w:val="F59E0B"/>
                <w:sz w:val="19"/>
              </w:rPr>
              <w:t xml:space="preserve">SALES RECEIPT VERSUS PAYMENT RECEIPT  </w:t>
            </w:r>
            <w:r>
              <w:rPr>
                <w:rFonts w:ascii="Calibri" w:hAnsi="Calibri" w:eastAsia="Calibri"/>
                <w:b/>
                <w:color w:val="0B2545"/>
                <w:sz w:val="20"/>
              </w:rPr>
              <w:t>A Sales Receipt may be a combined customer-facing output for a paid-now sale. The underlying sale remains owned by MDS-200, while money received and its application remain owned by MDS-300. A single printed page does not merge the authoritative records.</w:t>
            </w:r>
          </w:p>
        </w:tc>
      </w:tr>
    </w:tbl>
    <w:p>
      <w:pPr>
        <w:spacing w:after="0"/>
      </w:pPr>
    </w:p>
    <w:p>
      <w:pPr>
        <w:pStyle w:val="Heading2"/>
      </w:pPr>
      <w:r>
        <w:t>7.2 Common Record Requirements</w:t>
      </w:r>
    </w:p>
    <w:p>
      <w:pPr>
        <w:numPr>
          <w:ilvl w:val="0"/>
          <w:numId w:val="10"/>
        </w:numPr>
        <w:spacing w:after="80" w:line="300" w:lineRule="auto"/>
      </w:pPr>
      <w:r>
        <w:rPr>
          <w:rFonts w:ascii="Calibri" w:hAnsi="Calibri" w:eastAsia="Calibri"/>
          <w:color w:val="111827"/>
          <w:sz w:val="21"/>
        </w:rPr>
        <w:t>Unique identity, type, number, company, branch, business date, timestamp, source, status, and correlation reference.</w:t>
      </w:r>
    </w:p>
    <w:p>
      <w:pPr>
        <w:numPr>
          <w:ilvl w:val="0"/>
          <w:numId w:val="10"/>
        </w:numPr>
        <w:spacing w:after="80" w:line="300" w:lineRule="auto"/>
      </w:pPr>
      <w:r>
        <w:rPr>
          <w:rFonts w:ascii="Calibri" w:hAnsi="Calibri" w:eastAsia="Calibri"/>
          <w:color w:val="111827"/>
          <w:sz w:val="21"/>
        </w:rPr>
        <w:t>Payer/customer identity and required snapshot details, including anonymous/walk-in basis only when permitted.</w:t>
      </w:r>
    </w:p>
    <w:p>
      <w:pPr>
        <w:numPr>
          <w:ilvl w:val="0"/>
          <w:numId w:val="10"/>
        </w:numPr>
        <w:spacing w:after="80" w:line="300" w:lineRule="auto"/>
      </w:pPr>
      <w:r>
        <w:rPr>
          <w:rFonts w:ascii="Calibri" w:hAnsi="Calibri" w:eastAsia="Calibri"/>
          <w:color w:val="111827"/>
          <w:sz w:val="21"/>
        </w:rPr>
        <w:t>Currency, gross amount, tender breakdown, application total, unapplied amount, fees where applicable, and account destination.</w:t>
      </w:r>
    </w:p>
    <w:p>
      <w:pPr>
        <w:numPr>
          <w:ilvl w:val="0"/>
          <w:numId w:val="10"/>
        </w:numPr>
        <w:spacing w:after="80" w:line="300" w:lineRule="auto"/>
      </w:pPr>
      <w:r>
        <w:rPr>
          <w:rFonts w:ascii="Calibri" w:hAnsi="Calibri" w:eastAsia="Calibri"/>
          <w:color w:val="111827"/>
          <w:sz w:val="21"/>
        </w:rPr>
        <w:t>Related sale, invoice, receivable, billing statement, external payment, remittance, reversal, refund, or source references.</w:t>
      </w:r>
    </w:p>
    <w:p>
      <w:pPr>
        <w:numPr>
          <w:ilvl w:val="0"/>
          <w:numId w:val="10"/>
        </w:numPr>
        <w:spacing w:after="80" w:line="300" w:lineRule="auto"/>
      </w:pPr>
      <w:r>
        <w:rPr>
          <w:rFonts w:ascii="Calibri" w:hAnsi="Calibri" w:eastAsia="Calibri"/>
          <w:color w:val="111827"/>
          <w:sz w:val="21"/>
        </w:rPr>
        <w:t>Reason codes, notes, attachments, approvals, actor, device/channel where available, and complete audit fields.</w:t>
      </w:r>
    </w:p>
    <w:p>
      <w:pPr>
        <w:numPr>
          <w:ilvl w:val="0"/>
          <w:numId w:val="10"/>
        </w:numPr>
        <w:spacing w:after="80" w:line="300" w:lineRule="auto"/>
      </w:pPr>
      <w:r>
        <w:rPr>
          <w:rFonts w:ascii="Calibri" w:hAnsi="Calibri" w:eastAsia="Calibri"/>
          <w:color w:val="111827"/>
          <w:sz w:val="21"/>
        </w:rPr>
        <w:t>Separate receipt date, posting time, value date, clearing date, remittance date, and effective accounting period where applicable.</w:t>
      </w:r>
    </w:p>
    <w:p>
      <w:pPr>
        <w:numPr>
          <w:ilvl w:val="0"/>
          <w:numId w:val="10"/>
        </w:numPr>
        <w:spacing w:after="80" w:line="300" w:lineRule="auto"/>
      </w:pPr>
      <w:r>
        <w:rPr>
          <w:rFonts w:ascii="Calibri" w:hAnsi="Calibri" w:eastAsia="Calibri"/>
          <w:color w:val="111827"/>
          <w:sz w:val="21"/>
        </w:rPr>
        <w:t>No physical deletion after posting; correction occurs through an approved void, reversal, reapplication, or failed-instrument path.</w:t>
      </w:r>
    </w:p>
    <w:p>
      <w:pPr>
        <w:pStyle w:val="Heading2"/>
      </w:pPr>
      <w:r>
        <w:t>7.3 Numbering, Issue, Reprint, and External Identity</w:t>
      </w:r>
    </w:p>
    <w:p>
      <w:r>
        <w:rPr>
          <w:rFonts w:ascii="Calibri" w:hAnsi="Calibri" w:eastAsia="Calibri"/>
          <w:color w:val="111827"/>
        </w:rPr>
        <w:t>Numbering policies are configured through MDS-1100 and enforced by Core. Payment Receipt, Other Receipt, Cash Remittance, and variance sequences may be distinct. Numbers remain unique within configured scope and are not reused after void or reversal.</w:t>
      </w:r>
    </w:p>
    <w:p>
      <w:pPr>
        <w:numPr>
          <w:ilvl w:val="0"/>
          <w:numId w:val="10"/>
        </w:numPr>
        <w:spacing w:after="80" w:line="300" w:lineRule="auto"/>
      </w:pPr>
      <w:r>
        <w:rPr>
          <w:rFonts w:ascii="Calibri" w:hAnsi="Calibri" w:eastAsia="Calibri"/>
          <w:color w:val="111827"/>
          <w:sz w:val="21"/>
        </w:rPr>
        <w:t>A receipt is issued only after the governed transaction reaches its configured successful state.</w:t>
      </w:r>
    </w:p>
    <w:p>
      <w:pPr>
        <w:numPr>
          <w:ilvl w:val="0"/>
          <w:numId w:val="10"/>
        </w:numPr>
        <w:spacing w:after="80" w:line="300" w:lineRule="auto"/>
      </w:pPr>
      <w:r>
        <w:rPr>
          <w:rFonts w:ascii="Calibri" w:hAnsi="Calibri" w:eastAsia="Calibri"/>
          <w:color w:val="111827"/>
          <w:sz w:val="21"/>
        </w:rPr>
        <w:t>A reprint retains the original identity, displays reprint status where required, and records actor, time, reason, and channel.</w:t>
      </w:r>
    </w:p>
    <w:p>
      <w:pPr>
        <w:numPr>
          <w:ilvl w:val="0"/>
          <w:numId w:val="10"/>
        </w:numPr>
        <w:spacing w:after="80" w:line="300" w:lineRule="auto"/>
      </w:pPr>
      <w:r>
        <w:rPr>
          <w:rFonts w:ascii="Calibri" w:hAnsi="Calibri" w:eastAsia="Calibri"/>
          <w:color w:val="111827"/>
          <w:sz w:val="21"/>
        </w:rPr>
        <w:t>A duplicate customer copy is not a new receipt and shall not create another amount effect.</w:t>
      </w:r>
    </w:p>
    <w:p>
      <w:pPr>
        <w:numPr>
          <w:ilvl w:val="0"/>
          <w:numId w:val="10"/>
        </w:numPr>
        <w:spacing w:after="80" w:line="300" w:lineRule="auto"/>
      </w:pPr>
      <w:r>
        <w:rPr>
          <w:rFonts w:ascii="Calibri" w:hAnsi="Calibri" w:eastAsia="Calibri"/>
          <w:color w:val="111827"/>
          <w:sz w:val="21"/>
        </w:rPr>
        <w:t>Provider, bank, check, gateway, and external receipt references supplement but do not replace the SimpleBIZ identity.</w:t>
      </w:r>
    </w:p>
    <w:p>
      <w:pPr>
        <w:numPr>
          <w:ilvl w:val="0"/>
          <w:numId w:val="10"/>
        </w:numPr>
        <w:spacing w:after="80" w:line="300" w:lineRule="auto"/>
      </w:pPr>
      <w:r>
        <w:rPr>
          <w:rFonts w:ascii="Calibri" w:hAnsi="Calibri" w:eastAsia="Calibri"/>
          <w:color w:val="111827"/>
          <w:sz w:val="21"/>
        </w:rPr>
        <w:t>Statutory forms, numbering, retention, and labels remain jurisdiction-configurable and require separate compliance validation.</w:t>
      </w:r>
    </w:p>
    <w:p>
      <w:pPr>
        <w:pStyle w:val="Heading1"/>
      </w:pPr>
      <w:r>
        <w:t>8. Business Events</w:t>
      </w:r>
    </w:p>
    <w:p>
      <w:r>
        <w:rPr>
          <w:rFonts w:ascii="Calibri" w:hAnsi="Calibri" w:eastAsia="Calibri"/>
          <w:color w:val="111827"/>
        </w:rPr>
        <w:t>Material changes publish governed events only after the required transaction state is known. Delivery is idempotent; consumers shall not infer success from an uncommitted request.</w:t>
      </w:r>
    </w:p>
    <w:tbl>
      <w:tblPr>
        <w:tblW w:type="dxa" w:w="9360"/>
        <w:jc w:val="left"/>
        <w:tblLayout w:type="fixed"/>
        <w:tblLook w:firstColumn="1" w:firstRow="1" w:lastColumn="0" w:lastRow="0" w:noHBand="0" w:noVBand="1" w:val="04A0"/>
        <w:tblInd w:w="120" w:type="dxa"/>
      </w:tblPr>
      <w:tblGrid>
        <w:gridCol w:w="1700"/>
        <w:gridCol w:w="2800"/>
        <w:gridCol w:w="4860"/>
      </w:tblGrid>
      <w:tr>
        <w:trPr>
          <w:cantSplit/>
          <w:tblHeader w:val="true"/>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Event code</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Business event</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Primary trigger and result</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EVT-COL-001</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Receipt Draft Created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permitted user saves a new receipt draft.</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EVT-COL-002</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Receipt Submitted for Approval</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policy threshold or controlled receipt type requires approval.</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EVT-COL-003</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Receipt Posted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Money received, tender, cash effect, and immediate applications commit.</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EVT-COL-004</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Payment Applied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receipt amount is allocated to a valid MDS-200 open item.</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EVT-COL-005</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Receipt Partially Applied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Some receipt value remains unapplied after valid allocation.</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EVT-COL-006</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Receipt Fully Applied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The full available receipt amount is allocated.</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EVT-COL-007</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Advance / Unapplied Amount Created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Valid money is retained without complete open-item allocation.</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EVT-COL-008</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Application Reversed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An authorized allocation is reversed and affected balances are restored.</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EVT-COL-009</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Receipt Voided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An eligible receipt is voided before completed downstream settlement or according to policy.</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EVT-COL-010</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Receipt Reversed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posted receipt is corrected through a linked reversing transaction.</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EVT-COL-011</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Payment Instrument Failed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check, transfer, card, e-wallet, or provider settlement fails or is returned.</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EVT-COL-012</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Cash Remittance Submitted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cashier/collector submits accountable collections and destination evidence.</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EVT-COL-013</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Cash Remittance Verified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The remittance agrees with accountable receipts and authorized adjustments.</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EVT-COL-014</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Remittance Variance Identified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Expected and remitted amounts differ or evidence is incomplete.</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EVT-COL-015</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Other Receipt Posted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controlled non-customer inflow commits with source classification.</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EVT-COL-016</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Collection Activity Recorded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follow-up, promise, dispute, assignment, or next action is saved.</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EVT-COL-017</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Receipt Reprinted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An authorized copy is produced and audit evidence is recorded.</w:t>
            </w:r>
          </w:p>
        </w:tc>
      </w:tr>
      <w:tr>
        <w:trPr>
          <w:cantSplit/>
        </w:trPr>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EVT-COL-018</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External Payment Accepted</w:t>
            </w:r>
          </w:p>
        </w:tc>
        <w:tc>
          <w:tcPr>
            <w:tcW w:type="dxa" w:w="4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valid, nonduplicate provider/bank payment is accepted for governed processing.</w:t>
            </w:r>
          </w:p>
        </w:tc>
      </w:tr>
    </w:tbl>
    <w:p>
      <w:pPr>
        <w:spacing w:after="0"/>
      </w:pPr>
    </w:p>
    <w:p>
      <w:pPr>
        <w:pStyle w:val="Heading1"/>
      </w:pPr>
      <w:r>
        <w:t>9. Functional Requirements</w:t>
      </w:r>
    </w:p>
    <w:tbl>
      <w:tblPr>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Requirement ID</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Requirement</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MDS-300-FR-001</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Permit an authorized user to start, save, resume, edit, and discard an unposted receipt draft.</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MDS-300-FR-002</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Support customer collection, advance/unapplied receipt, paid-now sale receipt, and controlled Other Receipt.</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MDS-300-FR-003</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Capture payer, amount, currency, date, payment method, cash account, references, source, notes, and attachments.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MDS-300-FR-004</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Support cash, check, bank transfer, card, e-wallet, and configured payment methods with method-specific fields.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MDS-300-FR-005</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Support one receipt funded by one or more payment methods while preserving tender-level totals and references.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MDS-300-FR-006</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Retrieve authorized customer open items from MDS-200 without creating a competing receivable balance.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MDS-300-FR-007</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Apply one receipt to one or multiple open items and support multiple receipts against one open item.</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MDS-300-FR-008</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Support partial payment and preserve the remaining MDS-200 receivable balance and due condition.</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MDS-300-FR-009</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Retain intentional overpayment or prepayment as advance/unapplied customer money subject to policy.</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MDS-300-FR-010</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Permit later application, reapplication, or authorized refund of available unapplied money with full traceability.</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MDS-300-FR-011</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Calculate receipt amount, tender total, application total, unapplied amount, and change due consistently.</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MDS-300-FR-012</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Orchestrate the required MDS-700 cash-account effect according to payment method and clearing policy.</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MDS-300-FR-013</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Update MDS-200 settlement through idempotent application events and return the resulting open-item state.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MDS-300-FR-014</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Issue a configured receipt only after successful posting and preserve a durable document identity.</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MDS-300-FR-015</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Support authorized print, reprint, export, and share preparation subject to privacy and audit policy.</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MDS-300-FR-016</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Prevent duplicate receipt acceptance caused by retry, repeated click, external resubmission, webhook duplication, or uncertain client state.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MDS-300-FR-017</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Return one conclusive completion result and a durable status reference for verification.</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MDS-300-FR-018</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Void or reverse a receipt only through the approved lifecycle, permission, reason, and downstream-effect checks.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MDS-300-FR-019</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Handle failed or returned payment instruments and reverse affected settlement/cash effects without erasing evidence.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MDS-300-FR-020</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Maintain an authorized Customer Ledger that reconciles MDS-200 charges with MDS-300 receipts and applications.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MDS-300-FR-021</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Provide receipt, collection, application, unapplied, remittance, variance, and other-receipt search and history.</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MDS-300-FR-022</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Create and track collection activity, owner, next action, promise date/amount, dispute, and resolution where enabled.</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MDS-300-FR-023</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Prepare cash remittance from accountable receipts, tender totals, prior remittances, reversals, and authorized adjustments.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MDS-300-FR-024</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Verify remittance and record shortage, overage, unresolved evidence, explanation, approval, and resolution.</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MDS-300-FR-025</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Post Other Receipts only from an authorized governed type with required counterpart, source, classification, and evidence.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MDS-300-FR-026</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Prevent Other Receipts from silently settling receivables or bypassing an available authoritative source module.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MDS-300-FR-027</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Create Needs Attention conditions for due/overdue, unapplied, failed, approval, variance, dispute, and processing exceptions.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MDS-300-FR-028</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Expose governed collection metrics and drill-downs to MDS-100 and MDS-900 without independent calculations.</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MDS-300-FR-029</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Support entitlement and configuration checks without discarding historical data when a capability is disabled.</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MDS-300-FR-030</w:t>
            </w:r>
          </w:p>
        </w:tc>
        <w:tc>
          <w:tcPr>
            <w:tcW w:type="dxa" w:w="7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Record actor, source, time, device/channel where available, approval, reason, prior/new state, and processing result.</w:t>
            </w:r>
          </w:p>
        </w:tc>
      </w:tr>
    </w:tbl>
    <w:p>
      <w:pPr>
        <w:spacing w:after="0"/>
      </w:pPr>
    </w:p>
    <w:p>
      <w:pPr>
        <w:pStyle w:val="Heading1"/>
      </w:pPr>
      <w:r>
        <w:t>10. Module Rules</w:t>
      </w:r>
    </w:p>
    <w:tbl>
      <w:tblPr>
        <w:tblW w:type="dxa" w:w="9360"/>
        <w:jc w:val="left"/>
        <w:tblLayout w:type="fixed"/>
        <w:tblLook w:firstColumn="1" w:firstRow="1" w:lastColumn="0" w:lastRow="0" w:noHBand="0" w:noVBand="1" w:val="04A0"/>
        <w:tblInd w:w="120" w:type="dxa"/>
      </w:tblPr>
      <w:tblGrid>
        <w:gridCol w:w="2000"/>
        <w:gridCol w:w="7360"/>
      </w:tblGrid>
      <w:tr>
        <w:trPr>
          <w:cantSplit/>
          <w:tblHeader w:val="true"/>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Rule ID</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Module Rule</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MDS-300-MR-001</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posted receipt shall have a positive amount and at least one valid tender.</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MDS-300-MR-002</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Tender total shall equal the amount received, subject only to explicit change-due or configured fee treatment.</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MDS-300-MR-003</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Application total plus unapplied amount shall equal the available receipt amount in the same governed currency basis.</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MDS-300-MR-004</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receipt application shall reference a valid authorized MDS-200 open item and shall not exceed its available balance.</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MDS-300-MR-005</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Overpayment shall be retained explicitly as advance/unapplied money or handled through an authorized immediate path; it shall not disappear.</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MDS-300-MR-006</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receipt shall not create a sale, revenue, or receivable merely because money was received.</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MDS-300-MR-007</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Other Receipt shall not settle a customer receivable or replace a transaction that belongs to an enabled authoritative module.</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MDS-300-MR-008</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posted receipt, application, remittance, or other receipt shall not be physically deleted or silently edited.</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MDS-300-MR-009</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Every void, reversal, reapplication, variance, or failed-instrument action shall retain source link, reason, authority, time, and audit evidence.</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MDS-300-MR-010</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receipt number remains unique and preserved after void, reversal, failure, or reprint.</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MDS-300-MR-011</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reprint or duplicate copy shall not create another receipt, application, or cash movement.</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MDS-300-MR-012</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Receipt status, application status, payment-instrument status, remittance status, and receivable status are distinct dimensions.</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MDS-300-MR-013</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failed or returned payment instrument shall not leave a receivable falsely settled.</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MDS-300-MR-014</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Cash-account movement and balance remain authoritative in MDS-700 even when initiated through MDS-300.</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MDS-300-MR-015</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Remittance shall reconcile accountable receipts and adjustments; a variance shall be disclosed, not force-balanced.</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MDS-300-MR-016</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remittance record shall not duplicate customer receipts or independently recognize revenue.</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MDS-300-MR-017</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Customer Ledger balances shall reconcile to MDS-200 charges and valid MDS-300 applications for the same as-of scope.</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MDS-300-MR-018</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Transaction date, receipt issue time, value date, clearing date, and remittance date shall not be treated as interchangeable.</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MDS-300-MR-019</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Currency, exchange rate, rounding, fees, and cross-currency application use configured effective policy and preserved evidence.</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MDS-300-MR-020</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External provider, bank, check, and gateway identities shall be unique within the configured scope where duplicate acceptance is possible.</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MDS-300-MR-021</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All posting and cross-module retries shall be idempotent and preserve one business result.</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MDS-300-MR-022</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An unauthorized user shall not gain access through Dashboard, deep link, export, API, receipt URL, or contextual shortcut.</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MDS-300-MR-023</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Deactivated master records remain visible in history but are unavailable for new use unless policy permits.</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MDS-300-MR-024</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Customer refund execution requires MDS-500; reversing or unapplying a receipt does not by itself prove money was returned.</w:t>
            </w:r>
          </w:p>
        </w:tc>
      </w:tr>
      <w:tr>
        <w:trPr>
          <w:cantSplit/>
        </w:trPr>
        <w:tc>
          <w:tcPr>
            <w:tcW w:type="dxa" w:w="2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MDS-300-MR-025</w:t>
            </w:r>
          </w:p>
        </w:tc>
        <w:tc>
          <w:tcPr>
            <w:tcW w:type="dxa" w:w="7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Historical receipt meaning shall not change merely because a customer, method, account, type, label, or configuration changes later.</w:t>
            </w:r>
          </w:p>
        </w:tc>
      </w:tr>
    </w:tbl>
    <w:p>
      <w:pPr>
        <w:spacing w:after="0"/>
      </w:pPr>
    </w:p>
    <w:p>
      <w:pPr>
        <w:pStyle w:val="Heading1"/>
      </w:pPr>
      <w:r>
        <w:t>11. Workflow and Status</w:t>
      </w:r>
    </w:p>
    <w:p>
      <w:pPr>
        <w:pStyle w:val="Heading2"/>
      </w:pPr>
      <w:r>
        <w:t>11.1 Standard Customer Collection</w:t>
      </w:r>
    </w:p>
    <w:p>
      <w:pPr>
        <w:numPr>
          <w:ilvl w:val="0"/>
          <w:numId w:val="13"/>
        </w:numPr>
        <w:spacing w:after="80" w:line="300" w:lineRule="auto"/>
      </w:pPr>
      <w:r>
        <w:rPr>
          <w:rFonts w:ascii="Calibri" w:hAnsi="Calibri" w:eastAsia="Calibri"/>
          <w:color w:val="111827"/>
          <w:sz w:val="21"/>
        </w:rPr>
        <w:t>Select the customer or open item and confirm authorized company/branch context.</w:t>
      </w:r>
    </w:p>
    <w:p>
      <w:pPr>
        <w:numPr>
          <w:ilvl w:val="0"/>
          <w:numId w:val="13"/>
        </w:numPr>
        <w:spacing w:after="80" w:line="300" w:lineRule="auto"/>
      </w:pPr>
      <w:r>
        <w:rPr>
          <w:rFonts w:ascii="Calibri" w:hAnsi="Calibri" w:eastAsia="Calibri"/>
          <w:color w:val="111827"/>
          <w:sz w:val="21"/>
        </w:rPr>
        <w:t>Enter amount, receipt date, payment method, cash account, reference, and supporting evidence.</w:t>
      </w:r>
    </w:p>
    <w:p>
      <w:pPr>
        <w:numPr>
          <w:ilvl w:val="0"/>
          <w:numId w:val="13"/>
        </w:numPr>
        <w:spacing w:after="80" w:line="300" w:lineRule="auto"/>
      </w:pPr>
      <w:r>
        <w:rPr>
          <w:rFonts w:ascii="Calibri" w:hAnsi="Calibri" w:eastAsia="Calibri"/>
          <w:color w:val="111827"/>
          <w:sz w:val="21"/>
        </w:rPr>
        <w:t>Select one or more open items and review application and unapplied totals.</w:t>
      </w:r>
    </w:p>
    <w:p>
      <w:pPr>
        <w:numPr>
          <w:ilvl w:val="0"/>
          <w:numId w:val="13"/>
        </w:numPr>
        <w:spacing w:after="80" w:line="300" w:lineRule="auto"/>
      </w:pPr>
      <w:r>
        <w:rPr>
          <w:rFonts w:ascii="Calibri" w:hAnsi="Calibri" w:eastAsia="Calibri"/>
          <w:color w:val="111827"/>
          <w:sz w:val="21"/>
        </w:rPr>
        <w:t>Validate payer, balance availability, method/account compatibility, authorization, duplicate identity, and totals.</w:t>
      </w:r>
    </w:p>
    <w:p>
      <w:pPr>
        <w:numPr>
          <w:ilvl w:val="0"/>
          <w:numId w:val="13"/>
        </w:numPr>
        <w:spacing w:after="80" w:line="300" w:lineRule="auto"/>
      </w:pPr>
      <w:r>
        <w:rPr>
          <w:rFonts w:ascii="Calibri" w:hAnsi="Calibri" w:eastAsia="Calibri"/>
          <w:color w:val="111827"/>
          <w:sz w:val="21"/>
        </w:rPr>
        <w:t>Post the receipt, applications, MDS-700 cash effect, and MDS-200 settlement effects atomically.</w:t>
      </w:r>
    </w:p>
    <w:p>
      <w:pPr>
        <w:numPr>
          <w:ilvl w:val="0"/>
          <w:numId w:val="13"/>
        </w:numPr>
        <w:spacing w:after="80" w:line="300" w:lineRule="auto"/>
      </w:pPr>
      <w:r>
        <w:rPr>
          <w:rFonts w:ascii="Calibri" w:hAnsi="Calibri" w:eastAsia="Calibri"/>
          <w:color w:val="111827"/>
          <w:sz w:val="21"/>
        </w:rPr>
        <w:t>Issue the receipt and refresh Customer Ledger, history, reports, activity, and attention.</w:t>
      </w:r>
    </w:p>
    <w:p>
      <w:pPr>
        <w:pStyle w:val="Heading2"/>
        <w:pageBreakBefore/>
      </w:pPr>
      <w:r>
        <w:t>11.2 Multiple-Invoice and Partial Collection</w:t>
      </w:r>
    </w:p>
    <w:p>
      <w:pPr>
        <w:numPr>
          <w:ilvl w:val="0"/>
          <w:numId w:val="14"/>
        </w:numPr>
        <w:spacing w:after="80" w:line="300" w:lineRule="auto"/>
      </w:pPr>
      <w:r>
        <w:rPr>
          <w:rFonts w:ascii="Calibri" w:hAnsi="Calibri" w:eastAsia="Calibri"/>
          <w:color w:val="111827"/>
          <w:sz w:val="21"/>
        </w:rPr>
        <w:t>Retrieve the customer's valid open items in a clear order with due and disputed context.</w:t>
      </w:r>
    </w:p>
    <w:p>
      <w:pPr>
        <w:numPr>
          <w:ilvl w:val="0"/>
          <w:numId w:val="14"/>
        </w:numPr>
        <w:spacing w:after="80" w:line="300" w:lineRule="auto"/>
      </w:pPr>
      <w:r>
        <w:rPr>
          <w:rFonts w:ascii="Calibri" w:hAnsi="Calibri" w:eastAsia="Calibri"/>
          <w:color w:val="111827"/>
          <w:sz w:val="21"/>
        </w:rPr>
        <w:t>Apply the received amount manually or by an authorized allocation rule.</w:t>
      </w:r>
    </w:p>
    <w:p>
      <w:pPr>
        <w:numPr>
          <w:ilvl w:val="0"/>
          <w:numId w:val="14"/>
        </w:numPr>
        <w:spacing w:after="80" w:line="300" w:lineRule="auto"/>
      </w:pPr>
      <w:r>
        <w:rPr>
          <w:rFonts w:ascii="Calibri" w:hAnsi="Calibri" w:eastAsia="Calibri"/>
          <w:color w:val="111827"/>
          <w:sz w:val="21"/>
        </w:rPr>
        <w:t>Prevent application above each available open balance.</w:t>
      </w:r>
    </w:p>
    <w:p>
      <w:pPr>
        <w:numPr>
          <w:ilvl w:val="0"/>
          <w:numId w:val="14"/>
        </w:numPr>
        <w:spacing w:after="80" w:line="300" w:lineRule="auto"/>
      </w:pPr>
      <w:r>
        <w:rPr>
          <w:rFonts w:ascii="Calibri" w:hAnsi="Calibri" w:eastAsia="Calibri"/>
          <w:color w:val="111827"/>
          <w:sz w:val="21"/>
        </w:rPr>
        <w:t>Retain any remaining receipt amount as unapplied/advance money or require correction, then return the resulting status of each affected open item and the receipt's application status.</w:t>
      </w:r>
    </w:p>
    <w:p>
      <w:pPr>
        <w:pStyle w:val="Heading2"/>
      </w:pPr>
      <w:r>
        <w:t>11.3 Advance or Unapplied Receipt</w:t>
      </w:r>
    </w:p>
    <w:p>
      <w:pPr>
        <w:numPr>
          <w:ilvl w:val="0"/>
          <w:numId w:val="15"/>
        </w:numPr>
        <w:spacing w:after="80" w:line="300" w:lineRule="auto"/>
      </w:pPr>
      <w:r>
        <w:rPr>
          <w:rFonts w:ascii="Calibri" w:hAnsi="Calibri" w:eastAsia="Calibri"/>
          <w:color w:val="111827"/>
          <w:sz w:val="21"/>
        </w:rPr>
        <w:t>Identify the customer and reason for receiving money before a complete allocation.</w:t>
      </w:r>
    </w:p>
    <w:p>
      <w:pPr>
        <w:numPr>
          <w:ilvl w:val="0"/>
          <w:numId w:val="15"/>
        </w:numPr>
        <w:spacing w:after="80" w:line="300" w:lineRule="auto"/>
      </w:pPr>
      <w:r>
        <w:rPr>
          <w:rFonts w:ascii="Calibri" w:hAnsi="Calibri" w:eastAsia="Calibri"/>
          <w:color w:val="111827"/>
          <w:sz w:val="21"/>
        </w:rPr>
        <w:t>Record tender and cash-account effect and post the receipt.</w:t>
      </w:r>
    </w:p>
    <w:p>
      <w:pPr>
        <w:numPr>
          <w:ilvl w:val="0"/>
          <w:numId w:val="15"/>
        </w:numPr>
        <w:spacing w:after="80" w:line="300" w:lineRule="auto"/>
      </w:pPr>
      <w:r>
        <w:rPr>
          <w:rFonts w:ascii="Calibri" w:hAnsi="Calibri" w:eastAsia="Calibri"/>
          <w:color w:val="111827"/>
          <w:sz w:val="21"/>
        </w:rPr>
        <w:t>Retain the available amount in a customer-specific unapplied balance.</w:t>
      </w:r>
    </w:p>
    <w:p>
      <w:pPr>
        <w:numPr>
          <w:ilvl w:val="0"/>
          <w:numId w:val="15"/>
        </w:numPr>
        <w:spacing w:after="80" w:line="300" w:lineRule="auto"/>
      </w:pPr>
      <w:r>
        <w:rPr>
          <w:rFonts w:ascii="Calibri" w:hAnsi="Calibri" w:eastAsia="Calibri"/>
          <w:color w:val="111827"/>
          <w:sz w:val="21"/>
        </w:rPr>
        <w:t>Later apply the amount to eligible open items through a separately traceable application.</w:t>
      </w:r>
    </w:p>
    <w:p>
      <w:pPr>
        <w:numPr>
          <w:ilvl w:val="0"/>
          <w:numId w:val="15"/>
        </w:numPr>
        <w:spacing w:after="80" w:line="300" w:lineRule="auto"/>
      </w:pPr>
      <w:r>
        <w:rPr>
          <w:rFonts w:ascii="Calibri" w:hAnsi="Calibri" w:eastAsia="Calibri"/>
          <w:color w:val="111827"/>
          <w:sz w:val="21"/>
        </w:rPr>
        <w:t>If repayment is approved, initiate the refund through MDS-500 and preserve receipt-to-refund linkage.</w:t>
      </w:r>
    </w:p>
    <w:p>
      <w:pPr>
        <w:pStyle w:val="Heading2"/>
      </w:pPr>
      <w:r>
        <w:t>11.4 Other Receipt</w:t>
      </w:r>
    </w:p>
    <w:p>
      <w:pPr>
        <w:numPr>
          <w:ilvl w:val="0"/>
          <w:numId w:val="16"/>
        </w:numPr>
        <w:spacing w:after="80" w:line="300" w:lineRule="auto"/>
      </w:pPr>
      <w:r>
        <w:rPr>
          <w:rFonts w:ascii="Calibri" w:hAnsi="Calibri" w:eastAsia="Calibri"/>
          <w:color w:val="111827"/>
          <w:sz w:val="21"/>
        </w:rPr>
        <w:t>Select a governed Other Receipt type rather than a generic free-form inflow.</w:t>
      </w:r>
    </w:p>
    <w:p>
      <w:pPr>
        <w:numPr>
          <w:ilvl w:val="0"/>
          <w:numId w:val="16"/>
        </w:numPr>
        <w:spacing w:after="80" w:line="300" w:lineRule="auto"/>
      </w:pPr>
      <w:r>
        <w:rPr>
          <w:rFonts w:ascii="Calibri" w:hAnsi="Calibri" w:eastAsia="Calibri"/>
          <w:color w:val="111827"/>
          <w:sz w:val="21"/>
        </w:rPr>
        <w:t>Capture counterparty, business purpose, source document/module, classification, amount, tender, and cash account.</w:t>
      </w:r>
    </w:p>
    <w:p>
      <w:pPr>
        <w:numPr>
          <w:ilvl w:val="0"/>
          <w:numId w:val="16"/>
        </w:numPr>
        <w:spacing w:after="80" w:line="300" w:lineRule="auto"/>
      </w:pPr>
      <w:r>
        <w:rPr>
          <w:rFonts w:ascii="Calibri" w:hAnsi="Calibri" w:eastAsia="Calibri"/>
          <w:color w:val="111827"/>
          <w:sz w:val="21"/>
        </w:rPr>
        <w:t>Validate whether an enabled authoritative module must own the originating transaction.</w:t>
      </w:r>
    </w:p>
    <w:p>
      <w:pPr>
        <w:numPr>
          <w:ilvl w:val="0"/>
          <w:numId w:val="16"/>
        </w:numPr>
        <w:spacing w:after="80" w:line="300" w:lineRule="auto"/>
      </w:pPr>
      <w:r>
        <w:rPr>
          <w:rFonts w:ascii="Calibri" w:hAnsi="Calibri" w:eastAsia="Calibri"/>
          <w:color w:val="111827"/>
          <w:sz w:val="21"/>
        </w:rPr>
        <w:t>Obtain required approval and supporting evidence.</w:t>
      </w:r>
    </w:p>
    <w:p>
      <w:pPr>
        <w:numPr>
          <w:ilvl w:val="0"/>
          <w:numId w:val="16"/>
        </w:numPr>
        <w:spacing w:after="80" w:line="300" w:lineRule="auto"/>
      </w:pPr>
      <w:r>
        <w:rPr>
          <w:rFonts w:ascii="Calibri" w:hAnsi="Calibri" w:eastAsia="Calibri"/>
          <w:color w:val="111827"/>
          <w:sz w:val="21"/>
        </w:rPr>
        <w:t>Post the Other Receipt and MDS-700 cash effect without creating or settling a customer receivable.</w:t>
      </w:r>
    </w:p>
    <w:p>
      <w:pPr>
        <w:pStyle w:val="Heading2"/>
      </w:pPr>
      <w:r>
        <w:t>11.5 Cash Remittance</w:t>
      </w:r>
    </w:p>
    <w:p>
      <w:pPr>
        <w:numPr>
          <w:ilvl w:val="0"/>
          <w:numId w:val="17"/>
        </w:numPr>
        <w:spacing w:after="80" w:line="300" w:lineRule="auto"/>
      </w:pPr>
      <w:r>
        <w:rPr>
          <w:rFonts w:ascii="Calibri" w:hAnsi="Calibri" w:eastAsia="Calibri"/>
          <w:color w:val="111827"/>
          <w:sz w:val="21"/>
        </w:rPr>
        <w:t>Select cashier/collector, accountable period, branch, tender, and destination.</w:t>
      </w:r>
    </w:p>
    <w:p>
      <w:pPr>
        <w:numPr>
          <w:ilvl w:val="0"/>
          <w:numId w:val="17"/>
        </w:numPr>
        <w:spacing w:after="80" w:line="300" w:lineRule="auto"/>
      </w:pPr>
      <w:r>
        <w:rPr>
          <w:rFonts w:ascii="Calibri" w:hAnsi="Calibri" w:eastAsia="Calibri"/>
          <w:color w:val="111827"/>
          <w:sz w:val="21"/>
        </w:rPr>
        <w:t>Retrieve posted receipts, reversals, prior remittances, and authorized adjustments within scope.</w:t>
      </w:r>
    </w:p>
    <w:p>
      <w:pPr>
        <w:numPr>
          <w:ilvl w:val="0"/>
          <w:numId w:val="17"/>
        </w:numPr>
        <w:spacing w:after="80" w:line="300" w:lineRule="auto"/>
      </w:pPr>
      <w:r>
        <w:rPr>
          <w:rFonts w:ascii="Calibri" w:hAnsi="Calibri" w:eastAsia="Calibri"/>
          <w:color w:val="111827"/>
          <w:sz w:val="21"/>
        </w:rPr>
        <w:t>Enter counted/remitted amounts and deposit, transfer, or acknowledgment evidence.</w:t>
      </w:r>
    </w:p>
    <w:p>
      <w:pPr>
        <w:numPr>
          <w:ilvl w:val="0"/>
          <w:numId w:val="17"/>
        </w:numPr>
        <w:spacing w:after="80" w:line="300" w:lineRule="auto"/>
      </w:pPr>
      <w:r>
        <w:rPr>
          <w:rFonts w:ascii="Calibri" w:hAnsi="Calibri" w:eastAsia="Calibri"/>
          <w:color w:val="111827"/>
          <w:sz w:val="21"/>
        </w:rPr>
        <w:t>Compare expected and remitted totals by tender and identify any shortage, overage, or missing evidence.</w:t>
      </w:r>
    </w:p>
    <w:p>
      <w:pPr>
        <w:numPr>
          <w:ilvl w:val="0"/>
          <w:numId w:val="17"/>
        </w:numPr>
        <w:spacing w:after="80" w:line="300" w:lineRule="auto"/>
      </w:pPr>
      <w:r>
        <w:rPr>
          <w:rFonts w:ascii="Calibri" w:hAnsi="Calibri" w:eastAsia="Calibri"/>
          <w:color w:val="111827"/>
          <w:sz w:val="21"/>
        </w:rPr>
        <w:t>Submit and verify the remittance according to segregation-of-duties policy.</w:t>
      </w:r>
    </w:p>
    <w:p>
      <w:pPr>
        <w:numPr>
          <w:ilvl w:val="0"/>
          <w:numId w:val="17"/>
        </w:numPr>
        <w:spacing w:after="80" w:line="300" w:lineRule="auto"/>
      </w:pPr>
      <w:r>
        <w:rPr>
          <w:rFonts w:ascii="Calibri" w:hAnsi="Calibri" w:eastAsia="Calibri"/>
          <w:color w:val="111827"/>
          <w:sz w:val="21"/>
        </w:rPr>
        <w:t>Post or link the MDS-700 custody/account movement and retain variance resolution evidence.</w:t>
      </w:r>
    </w:p>
    <w:p>
      <w:pPr>
        <w:pStyle w:val="Heading2"/>
      </w:pPr>
      <w:r>
        <w:t>11.6 Void, Reversal, and Failed Instrument</w:t>
      </w:r>
    </w:p>
    <w:p>
      <w:pPr>
        <w:numPr>
          <w:ilvl w:val="0"/>
          <w:numId w:val="18"/>
        </w:numPr>
        <w:spacing w:after="80" w:line="300" w:lineRule="auto"/>
      </w:pPr>
      <w:r>
        <w:rPr>
          <w:rFonts w:ascii="Calibri" w:hAnsi="Calibri" w:eastAsia="Calibri"/>
          <w:color w:val="111827"/>
          <w:sz w:val="21"/>
        </w:rPr>
        <w:t>Locate the original receipt and determine whether void, reversal, application reversal, or failed-instrument handling is appropriate.</w:t>
      </w:r>
    </w:p>
    <w:p>
      <w:pPr>
        <w:numPr>
          <w:ilvl w:val="0"/>
          <w:numId w:val="18"/>
        </w:numPr>
        <w:spacing w:after="80" w:line="300" w:lineRule="auto"/>
      </w:pPr>
      <w:r>
        <w:rPr>
          <w:rFonts w:ascii="Calibri" w:hAnsi="Calibri" w:eastAsia="Calibri"/>
          <w:color w:val="111827"/>
          <w:sz w:val="21"/>
        </w:rPr>
        <w:t>Validate clearing, remittance, closed-period, refund, and downstream-effect status.</w:t>
      </w:r>
    </w:p>
    <w:p>
      <w:pPr>
        <w:numPr>
          <w:ilvl w:val="0"/>
          <w:numId w:val="18"/>
        </w:numPr>
        <w:spacing w:after="80" w:line="300" w:lineRule="auto"/>
      </w:pPr>
      <w:r>
        <w:rPr>
          <w:rFonts w:ascii="Calibri" w:hAnsi="Calibri" w:eastAsia="Calibri"/>
          <w:color w:val="111827"/>
          <w:sz w:val="21"/>
        </w:rPr>
        <w:t>Capture reason, evidence, authority, effective date, and required approval.</w:t>
      </w:r>
    </w:p>
    <w:p>
      <w:pPr>
        <w:numPr>
          <w:ilvl w:val="0"/>
          <w:numId w:val="18"/>
        </w:numPr>
        <w:spacing w:after="80" w:line="300" w:lineRule="auto"/>
      </w:pPr>
      <w:r>
        <w:rPr>
          <w:rFonts w:ascii="Calibri" w:hAnsi="Calibri" w:eastAsia="Calibri"/>
          <w:color w:val="111827"/>
          <w:sz w:val="21"/>
        </w:rPr>
        <w:t>Reverse only valid original applications and MDS-700 cash effects through linked records.</w:t>
      </w:r>
    </w:p>
    <w:p>
      <w:pPr>
        <w:numPr>
          <w:ilvl w:val="0"/>
          <w:numId w:val="18"/>
        </w:numPr>
        <w:spacing w:after="80" w:line="300" w:lineRule="auto"/>
      </w:pPr>
      <w:r>
        <w:rPr>
          <w:rFonts w:ascii="Calibri" w:hAnsi="Calibri" w:eastAsia="Calibri"/>
          <w:color w:val="111827"/>
          <w:sz w:val="21"/>
        </w:rPr>
        <w:t>Restore affected MDS-200 open balances and attention conditions.</w:t>
      </w:r>
    </w:p>
    <w:p>
      <w:pPr>
        <w:numPr>
          <w:ilvl w:val="0"/>
          <w:numId w:val="18"/>
        </w:numPr>
        <w:spacing w:after="80" w:line="300" w:lineRule="auto"/>
      </w:pPr>
      <w:r>
        <w:rPr>
          <w:rFonts w:ascii="Calibri" w:hAnsi="Calibri" w:eastAsia="Calibri"/>
          <w:color w:val="111827"/>
          <w:sz w:val="21"/>
        </w:rPr>
        <w:t>Preserve the original receipt, correction chain, customer communication, and audit history.</w:t>
      </w:r>
    </w:p>
    <w:p>
      <w:pPr>
        <w:pStyle w:val="Heading2"/>
      </w:pPr>
      <w:r>
        <w:t>11.7 Customer Refund Handoff</w:t>
      </w:r>
    </w:p>
    <w:p>
      <w:r>
        <w:rPr>
          <w:rFonts w:ascii="Calibri" w:hAnsi="Calibri" w:eastAsia="Calibri"/>
          <w:color w:val="111827"/>
        </w:rPr>
        <w:t>MDS-300 may identify available unapplied customer money or a receipt-related credit eligible for refund. The actual outgoing payment is initiated, approved, executed, confirmed, voided, and reported through MDS-500.</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4F8FC" w:val="clear"/>
          </w:tcPr>
          <w:p>
            <w:pPr>
              <w:spacing w:after="0"/>
            </w:pPr>
            <w:r>
              <w:rPr>
                <w:rFonts w:ascii="Calibri" w:hAnsi="Calibri" w:eastAsia="Calibri"/>
                <w:b/>
                <w:color w:val="1D4ED8"/>
                <w:sz w:val="19"/>
              </w:rPr>
              <w:t xml:space="preserve">REFUND RULE  </w:t>
            </w:r>
            <w:r>
              <w:rPr>
                <w:rFonts w:ascii="Calibri" w:hAnsi="Calibri" w:eastAsia="Calibri"/>
                <w:b/>
                <w:color w:val="0B2545"/>
                <w:sz w:val="20"/>
              </w:rPr>
              <w:t>Unapplying or reversing a receipt changes allocation or receipt effects. A customer refund proves money left the business and therefore requires MDS-500 and MDS-700 evidence.</w:t>
            </w:r>
          </w:p>
        </w:tc>
      </w:tr>
    </w:tbl>
    <w:p>
      <w:pPr>
        <w:spacing w:after="0"/>
      </w:pPr>
    </w:p>
    <w:p>
      <w:pPr>
        <w:pStyle w:val="Heading2"/>
      </w:pPr>
      <w:r>
        <w:t>11.8 Status Models</w:t>
      </w:r>
    </w:p>
    <w:tbl>
      <w:tblPr>
        <w:tblW w:type="dxa" w:w="9360"/>
        <w:jc w:val="left"/>
        <w:tblLayout w:type="fixed"/>
        <w:tblLook w:firstColumn="1" w:firstRow="1" w:lastColumn="0" w:lastRow="0" w:noHBand="0" w:noVBand="1" w:val="04A0"/>
        <w:tblInd w:w="120" w:type="dxa"/>
      </w:tblPr>
      <w:tblGrid>
        <w:gridCol w:w="2200"/>
        <w:gridCol w:w="3900"/>
        <w:gridCol w:w="3260"/>
      </w:tblGrid>
      <w:tr>
        <w:trPr>
          <w:cantSplit/>
          <w:tblHeader w:val="true"/>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Status dimension</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Initial statuses</w:t>
            </w:r>
          </w:p>
        </w:tc>
        <w:tc>
          <w:tcPr>
            <w:tcW w:type="dxa" w:w="3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Control</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Receipt lifecycle</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Draft; For Approval; Approved; Posted; Voided; Reversed; Failed</w:t>
            </w:r>
          </w:p>
        </w:tc>
        <w:tc>
          <w:tcPr>
            <w:tcW w:type="dxa" w:w="3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Posted is immutable to ordinary edit.</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Application state</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Unapplied; Partially Applied; Fully Applied; Reversed</w:t>
            </w:r>
          </w:p>
        </w:tc>
        <w:tc>
          <w:tcPr>
            <w:tcW w:type="dxa" w:w="3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Derived from valid application effects.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Payment instrument</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Not Applicable; Pending; Confirmed; Cleared; Failed; Returned; Reversed</w:t>
            </w:r>
          </w:p>
        </w:tc>
        <w:tc>
          <w:tcPr>
            <w:tcW w:type="dxa" w:w="3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Separate from receipt posting and receivable state.</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Remittance lifecycle</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Draft; Submitted; Verified; With Variance; Accepted; Rejected; Reversed</w:t>
            </w:r>
          </w:p>
        </w:tc>
        <w:tc>
          <w:tcPr>
            <w:tcW w:type="dxa" w:w="3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Requires accountable scope and verifier controls.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Variance resolution</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Open; Under Review; Explained; Approved; Recovered; Written Off; Reversed</w:t>
            </w:r>
          </w:p>
        </w:tc>
        <w:tc>
          <w:tcPr>
            <w:tcW w:type="dxa" w:w="3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Does not alter receipt evidence silently.</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Collection activity</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Planned; Due; Contacted; Promise to Pay; Disputed; Escalated; Resolved; Cancelled</w:t>
            </w:r>
          </w:p>
        </w:tc>
        <w:tc>
          <w:tcPr>
            <w:tcW w:type="dxa" w:w="3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Operational follow-up only.</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Other Receipt lifecycle</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Draft; For Approval; Approved; Posted; Cancelled; Reversed; Failed</w:t>
            </w:r>
          </w:p>
        </w:tc>
        <w:tc>
          <w:tcPr>
            <w:tcW w:type="dxa" w:w="3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Classification and source evidence required.</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4F8FC" w:val="clear"/>
          </w:tcPr>
          <w:p>
            <w:pPr>
              <w:spacing w:after="0"/>
            </w:pPr>
            <w:r>
              <w:rPr>
                <w:rFonts w:ascii="Calibri" w:hAnsi="Calibri" w:eastAsia="Calibri"/>
                <w:b/>
                <w:color w:val="1D4ED8"/>
                <w:sz w:val="19"/>
              </w:rPr>
              <w:t xml:space="preserve">STATUS INTEGRITY  </w:t>
            </w:r>
            <w:r>
              <w:rPr>
                <w:rFonts w:ascii="Calibri" w:hAnsi="Calibri" w:eastAsia="Calibri"/>
                <w:b/>
                <w:color w:val="0B2545"/>
                <w:sz w:val="20"/>
              </w:rPr>
              <w:t>Posted, Fully Applied, Cleared, Verified, Paid, Refunded, and Resolved answer different questions. The system shall not compress them into one ambiguous status.</w:t>
            </w:r>
          </w:p>
        </w:tc>
      </w:tr>
    </w:tbl>
    <w:p>
      <w:pPr>
        <w:spacing w:after="0"/>
      </w:pPr>
    </w:p>
    <w:p>
      <w:pPr>
        <w:pStyle w:val="Heading2"/>
        <w:pageBreakBefore/>
      </w:pPr>
      <w:r>
        <w:t>11.9 Exception and Recovery Paths</w:t>
      </w:r>
    </w:p>
    <w:tbl>
      <w:tblPr>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Condition</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Required handling</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Validation or authorization failure</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Do not post; retain safe draft and show a specific corrective message.</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Open item changed concurrently</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Refresh availability and require confirmation; never over-apply stale balance.</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Cash-account or cross-module failure</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Roll back or enter a controlled recoverable state; never show false receipt completion.</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Duplicate or uncertain submission</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Verify by idempotency key, provider reference, or status identity before retry.</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External webhook conflict</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Quarantine duplicate/mismatch with source identity and reason; do not accept twice.</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Payment instrument later fails</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Create a controlled failure/reversal chain and restore settlement/cash effects.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Remittance variance</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Keep expected, actual, explanation, evidence, owner, and resolution distinct.</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Completed-receipt correction</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 approved void, reversal, application reversal, reapplication, or refund handoff.</w:t>
            </w:r>
          </w:p>
        </w:tc>
      </w:tr>
    </w:tbl>
    <w:p>
      <w:pPr>
        <w:spacing w:after="0"/>
      </w:pPr>
    </w:p>
    <w:p>
      <w:pPr>
        <w:pageBreakBefore/>
        <w:spacing w:before="920" w:after="100"/>
      </w:pPr>
      <w:r>
        <w:rPr>
          <w:rFonts w:ascii="Calibri" w:hAnsi="Calibri" w:eastAsia="Calibri"/>
          <w:b/>
          <w:color w:val="F59E0B"/>
          <w:sz w:val="20"/>
        </w:rPr>
        <w:t>PART III</w:t>
      </w:r>
    </w:p>
    <w:p>
      <w:pPr>
        <w:spacing w:after="160"/>
      </w:pPr>
      <w:r>
        <w:rPr>
          <w:rFonts w:ascii="Calibri" w:hAnsi="Calibri" w:eastAsia="Calibri"/>
          <w:b/>
          <w:color w:val="0B2545"/>
          <w:sz w:val="50"/>
        </w:rPr>
        <w:t>Integration and Information</w:t>
      </w:r>
    </w:p>
    <w:p>
      <w:pPr>
        <w:spacing w:after="360"/>
        <w:pBdr>
          <w:bottom w:val="single" w:sz="8" w:space="5" w:color="E8EEF5"/>
        </w:pBdr>
      </w:pPr>
      <w:r>
        <w:rPr>
          <w:rFonts w:ascii="Calibri" w:hAnsi="Calibri" w:eastAsia="Calibri"/>
          <w:color w:val="5B6573"/>
          <w:sz w:val="24"/>
        </w:rPr>
        <w:t>Cross-module contracts, reporting, tasks, security, data entities, balances, and authoritative ownership.</w:t>
      </w:r>
    </w:p>
    <w:p>
      <w:pPr>
        <w:pStyle w:val="Heading1"/>
      </w:pPr>
      <w:r>
        <w:t>12. Integration</w:t>
      </w:r>
    </w:p>
    <w:tbl>
      <w:tblPr>
        <w:tblW w:type="dxa" w:w="9360"/>
        <w:jc w:val="left"/>
        <w:tblLayout w:type="fixed"/>
        <w:tblLook w:firstColumn="1" w:firstRow="1" w:lastColumn="0" w:lastRow="0" w:noHBand="0" w:noVBand="1" w:val="04A0"/>
        <w:tblInd w:w="120" w:type="dxa"/>
      </w:tblPr>
      <w:tblGrid>
        <w:gridCol w:w="2600"/>
        <w:gridCol w:w="6760"/>
      </w:tblGrid>
      <w:tr>
        <w:trPr>
          <w:cantSplit/>
          <w:tblHeader w:val="true"/>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Module / service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MDS-300 integration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MDS-000 Core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Uses identity, company context, permissions, entitlements, numbering, transaction, event, audit, attachment, notification, and error services.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MDS-100 Dashboard</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Supplies collection metrics, attention, activity, drill-downs, and governed entry points.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 Sales &amp; Receivables</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Supplies customer open items and charge history; consumes applications, reversals, and resulting settlement events.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MDS-500 Payments &amp; Disbursements</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Executes authorized customer refunds arising from advance, overpayment, return, or reversed receipt context.</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MDS-600 Inventory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No ordinary collection ownership; participates only through the originating sale/return chain.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MDS-700 Cash Accounts</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Owns cash movements, clearing, transfers, reconciliation, and balances generated or referenced by receipts and remittances.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MDS-800 Expenses</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No ordinary collection ownership; an incoming reimbursement may be linked only through authorized source classification.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MDS-900 Reports &amp; Analytics</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Consumes governed source data and owns consolidated report presentation and cross-module analytics.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MDS-1000 Master Registries</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Owns customers, cash accounts, payment methods, branches, currencies, users/collectors, and reference lists.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MDS-1100 Settings &amp; Administration</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Supplies numbering, roles, receipt labels, approval, clearing, remittance, localization, and integration configuration.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External payments / banking</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Submit or synchronize through approved APIs/events; never write directly to receipt, receivable, or cash-account tables.</w:t>
            </w:r>
          </w:p>
        </w:tc>
      </w:tr>
    </w:tbl>
    <w:p>
      <w:pPr>
        <w:spacing w:after="0"/>
      </w:pPr>
    </w:p>
    <w:p>
      <w:pPr>
        <w:pStyle w:val="Heading2"/>
      </w:pPr>
      <w:r>
        <w:t>12.1 Cross-Module Transaction Effects</w:t>
      </w:r>
    </w:p>
    <w:tbl>
      <w:tblPr>
        <w:tblW w:type="dxa" w:w="9360"/>
        <w:jc w:val="left"/>
        <w:tblLayout w:type="fixed"/>
        <w:tblLook w:firstColumn="1" w:firstRow="1" w:lastColumn="0" w:lastRow="0" w:noHBand="0" w:noVBand="1" w:val="04A0"/>
        <w:tblInd w:w="120" w:type="dxa"/>
      </w:tblPr>
      <w:tblGrid>
        <w:gridCol w:w="2200"/>
        <w:gridCol w:w="3400"/>
        <w:gridCol w:w="3760"/>
      </w:tblGrid>
      <w:tr>
        <w:trPr>
          <w:cantSplit/>
          <w:tblHeader w:val="true"/>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Business action</w:t>
            </w:r>
          </w:p>
        </w:tc>
        <w:tc>
          <w:tcPr>
            <w:tcW w:type="dxa" w:w="3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MDS-300 effect</w:t>
            </w:r>
          </w:p>
        </w:tc>
        <w:tc>
          <w:tcPr>
            <w:tcW w:type="dxa" w:w="3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Required collaborating effects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Paid-now sale</w:t>
            </w:r>
          </w:p>
        </w:tc>
        <w:tc>
          <w:tcPr>
            <w:tcW w:type="dxa" w:w="3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Post receipt and application to the sale/customer charge.</w:t>
            </w:r>
          </w:p>
        </w:tc>
        <w:tc>
          <w:tcPr>
            <w:tcW w:type="dxa" w:w="3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MDS-200 sale; MDS-700 cash in; MDS-600 stock out where applicable.</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Customer collection</w:t>
            </w:r>
          </w:p>
        </w:tc>
        <w:tc>
          <w:tcPr>
            <w:tcW w:type="dxa" w:w="3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Post receipt and applications; retain unapplied remainder.</w:t>
            </w:r>
          </w:p>
        </w:tc>
        <w:tc>
          <w:tcPr>
            <w:tcW w:type="dxa" w:w="3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MDS-200 reduces open balances; MDS-700 posts cash in/clearing.</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Advance receipt</w:t>
            </w:r>
          </w:p>
        </w:tc>
        <w:tc>
          <w:tcPr>
            <w:tcW w:type="dxa" w:w="3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Post receipt and customer unapplied balance.</w:t>
            </w:r>
          </w:p>
        </w:tc>
        <w:tc>
          <w:tcPr>
            <w:tcW w:type="dxa" w:w="3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MDS-700 cash in; later MDS-200 application or MDS-500 refund.</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Application reversal</w:t>
            </w:r>
          </w:p>
        </w:tc>
        <w:tc>
          <w:tcPr>
            <w:tcW w:type="dxa" w:w="3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Restore available receipt and affected applications.</w:t>
            </w:r>
          </w:p>
        </w:tc>
        <w:tc>
          <w:tcPr>
            <w:tcW w:type="dxa" w:w="3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MDS-200 restores open balance; no cash effect unless receipt also reversed.</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Receipt reversal / failed instrument</w:t>
            </w:r>
          </w:p>
        </w:tc>
        <w:tc>
          <w:tcPr>
            <w:tcW w:type="dxa" w:w="3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Reverse receipt and valid applications.</w:t>
            </w:r>
          </w:p>
        </w:tc>
        <w:tc>
          <w:tcPr>
            <w:tcW w:type="dxa" w:w="3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MDS-700 reverses cash/clearing; MDS-200 restores open balances.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Cash remittance</w:t>
            </w:r>
          </w:p>
        </w:tc>
        <w:tc>
          <w:tcPr>
            <w:tcW w:type="dxa" w:w="3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Record custody and accountable reconciliation.</w:t>
            </w:r>
          </w:p>
        </w:tc>
        <w:tc>
          <w:tcPr>
            <w:tcW w:type="dxa" w:w="3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MDS-700 posts/links transfer, deposit, or destination movement.</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Other receipt</w:t>
            </w:r>
          </w:p>
        </w:tc>
        <w:tc>
          <w:tcPr>
            <w:tcW w:type="dxa" w:w="3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Post controlled inflow evidence.</w:t>
            </w:r>
          </w:p>
        </w:tc>
        <w:tc>
          <w:tcPr>
            <w:tcW w:type="dxa" w:w="3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MDS-700 cash in; originating classification owned by configured source module.</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Customer refund</w:t>
            </w:r>
          </w:p>
        </w:tc>
        <w:tc>
          <w:tcPr>
            <w:tcW w:type="dxa" w:w="3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Provide source/eligibility reference only.</w:t>
            </w:r>
          </w:p>
        </w:tc>
        <w:tc>
          <w:tcPr>
            <w:tcW w:type="dxa" w:w="3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MDS-500 executes outgoing payment; MDS-700 records cash out.</w:t>
            </w:r>
          </w:p>
        </w:tc>
      </w:tr>
    </w:tbl>
    <w:p>
      <w:pPr>
        <w:spacing w:after="0"/>
      </w:pPr>
    </w:p>
    <w:p>
      <w:pPr>
        <w:pStyle w:val="Heading2"/>
      </w:pPr>
      <w:r>
        <w:t>12.2 API and Event Contract Principles</w:t>
      </w:r>
    </w:p>
    <w:p>
      <w:pPr>
        <w:numPr>
          <w:ilvl w:val="0"/>
          <w:numId w:val="10"/>
        </w:numPr>
        <w:spacing w:after="80" w:line="300" w:lineRule="auto"/>
      </w:pPr>
      <w:r>
        <w:rPr>
          <w:rFonts w:ascii="Calibri" w:hAnsi="Calibri" w:eastAsia="Calibri"/>
          <w:color w:val="111827"/>
          <w:sz w:val="21"/>
        </w:rPr>
        <w:t>Every write requires authenticated company context, permission, validation, idempotency, and audit correlation.</w:t>
      </w:r>
    </w:p>
    <w:p>
      <w:pPr>
        <w:numPr>
          <w:ilvl w:val="0"/>
          <w:numId w:val="10"/>
        </w:numPr>
        <w:spacing w:after="80" w:line="300" w:lineRule="auto"/>
      </w:pPr>
      <w:r>
        <w:rPr>
          <w:rFonts w:ascii="Calibri" w:hAnsi="Calibri" w:eastAsia="Calibri"/>
          <w:color w:val="111827"/>
          <w:sz w:val="21"/>
        </w:rPr>
        <w:t>Posting returns durable receipt, application, cash-effect, and transaction identities plus conclusive or verifiable status.</w:t>
      </w:r>
    </w:p>
    <w:p>
      <w:pPr>
        <w:numPr>
          <w:ilvl w:val="0"/>
          <w:numId w:val="10"/>
        </w:numPr>
        <w:spacing w:after="80" w:line="300" w:lineRule="auto"/>
      </w:pPr>
      <w:r>
        <w:rPr>
          <w:rFonts w:ascii="Calibri" w:hAnsi="Calibri" w:eastAsia="Calibri"/>
          <w:color w:val="111827"/>
          <w:sz w:val="21"/>
        </w:rPr>
        <w:t>Open-item queries disclose as-of basis, available balance, currency, status, version, paging, and scope needed for safe application.</w:t>
      </w:r>
    </w:p>
    <w:p>
      <w:pPr>
        <w:numPr>
          <w:ilvl w:val="0"/>
          <w:numId w:val="10"/>
        </w:numPr>
        <w:spacing w:after="80" w:line="300" w:lineRule="auto"/>
      </w:pPr>
      <w:r>
        <w:rPr>
          <w:rFonts w:ascii="Calibri" w:hAnsi="Calibri" w:eastAsia="Calibri"/>
          <w:color w:val="111827"/>
          <w:sz w:val="21"/>
        </w:rPr>
        <w:t>Events carry stable business/event identity, version, occurrence/commit time, company scope, source, and relationship references.</w:t>
      </w:r>
    </w:p>
    <w:p>
      <w:pPr>
        <w:numPr>
          <w:ilvl w:val="0"/>
          <w:numId w:val="10"/>
        </w:numPr>
        <w:spacing w:after="80" w:line="300" w:lineRule="auto"/>
      </w:pPr>
      <w:r>
        <w:rPr>
          <w:rFonts w:ascii="Calibri" w:hAnsi="Calibri" w:eastAsia="Calibri"/>
          <w:color w:val="111827"/>
          <w:sz w:val="21"/>
        </w:rPr>
        <w:t>External provider callbacks require signature/authenticity validation, replay protection, mapped account/method, and duplicate-safe processing.</w:t>
      </w:r>
    </w:p>
    <w:p>
      <w:pPr>
        <w:numPr>
          <w:ilvl w:val="0"/>
          <w:numId w:val="10"/>
        </w:numPr>
        <w:spacing w:after="80" w:line="300" w:lineRule="auto"/>
      </w:pPr>
      <w:r>
        <w:rPr>
          <w:rFonts w:ascii="Calibri" w:hAnsi="Calibri" w:eastAsia="Calibri"/>
          <w:color w:val="111827"/>
          <w:sz w:val="21"/>
        </w:rPr>
        <w:t>Consumers tolerate duplicate and out-of-order delivery according to approved event/version contracts.</w:t>
      </w:r>
    </w:p>
    <w:p>
      <w:pPr>
        <w:numPr>
          <w:ilvl w:val="0"/>
          <w:numId w:val="10"/>
        </w:numPr>
        <w:spacing w:after="80" w:line="300" w:lineRule="auto"/>
      </w:pPr>
      <w:r>
        <w:rPr>
          <w:rFonts w:ascii="Calibri" w:hAnsi="Calibri" w:eastAsia="Calibri"/>
          <w:color w:val="111827"/>
          <w:sz w:val="21"/>
        </w:rPr>
        <w:t>External consumers receive only authorized fields and cannot infer access from possession of a receipt or payment identifier.</w:t>
      </w:r>
    </w:p>
    <w:p>
      <w:pPr>
        <w:pStyle w:val="Heading1"/>
      </w:pPr>
      <w:r>
        <w:t>13. Reports and Analytics</w:t>
      </w:r>
    </w:p>
    <w:p>
      <w:r>
        <w:rPr>
          <w:rFonts w:ascii="Calibri" w:hAnsi="Calibri" w:eastAsia="Calibri"/>
          <w:color w:val="111827"/>
        </w:rPr>
        <w:t>MDS-300 owns the business meaning and source data of collection and receipt outputs. MDS-900 owns the shared report catalog, viewer, formatting, export, scheduling, favorites, and cross-module analytics.</w:t>
      </w:r>
    </w:p>
    <w:tbl>
      <w:tblPr>
        <w:tblW w:type="dxa" w:w="9360"/>
        <w:jc w:val="left"/>
        <w:tblLayout w:type="fixed"/>
        <w:tblLook w:firstColumn="1" w:firstRow="1" w:lastColumn="0" w:lastRow="0" w:noHBand="0" w:noVBand="1" w:val="04A0"/>
        <w:tblInd w:w="120" w:type="dxa"/>
      </w:tblPr>
      <w:tblGrid>
        <w:gridCol w:w="2600"/>
        <w:gridCol w:w="4900"/>
        <w:gridCol w:w="1860"/>
      </w:tblGrid>
      <w:tr>
        <w:trPr>
          <w:cantSplit/>
          <w:tblHeader w:val="true"/>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Output</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Purpose / minimum basis</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Primary owner</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Daily Collections Report</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Posted receipts, reversals, net collections, count, payer/customer, method, account, and user by business date.</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Receipt Register</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Receipt number, date/time, payer, amount, method, account, reference, status, user, and related source.</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Collection History</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Customer receipts and applications with source/open-item relationships and status.</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Customer Ledger</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Chronological charges, adjustments, receipts, applications, running balance, and source links.</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 projection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Payment Application Report</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Receipt-to-open-item allocation, application date, amount, reversal, and remaining balances.</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Unapplied / Advance Receipts</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Available customer money, age, source, last activity, reason, and authorized next action.</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Voided / Reversed Receipts</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Original receipt, correction type, reason, authority, downstream effects, and dates.</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Payment Method Summary</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Collection value/count by cash, check, transfer, card, e-wallet, or configured method.</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Collections by Customer / Collector</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Value, frequency, aging context, assignment, and performance within authorized scope.</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Cash Remittance Register</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Expected, submitted, verified, destination, references, verifier, status, and variance.</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Remittance Variance Report</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Shortage/overage, cause, evidence, owner, approval, recovery, and resolution.</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Other Receipts Register</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Type, counterparty, purpose, source, classification, amount, method, account, approval, and status.</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Receivables Movement / Aging</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Combines MDS-200 charges and MDS-300 settlement for matching as-of scope.</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 / MDS-900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Cash Position / Cash Flow</w:t>
            </w:r>
          </w:p>
        </w:tc>
        <w:tc>
          <w:tcPr>
            <w:tcW w:type="dxa" w:w="4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Combines cash movements and classified business sources across modules.</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MDS-700 / MDS-900</w:t>
            </w:r>
          </w:p>
        </w:tc>
      </w:tr>
    </w:tbl>
    <w:p>
      <w:pPr>
        <w:spacing w:after="0"/>
      </w:pPr>
    </w:p>
    <w:p>
      <w:pPr>
        <w:pStyle w:val="Heading2"/>
      </w:pPr>
      <w:r>
        <w:t>13.1 Metric Rules</w:t>
      </w:r>
    </w:p>
    <w:p>
      <w:pPr>
        <w:numPr>
          <w:ilvl w:val="0"/>
          <w:numId w:val="10"/>
        </w:numPr>
        <w:spacing w:after="80" w:line="300" w:lineRule="auto"/>
      </w:pPr>
      <w:r>
        <w:rPr>
          <w:rFonts w:ascii="Calibri" w:hAnsi="Calibri" w:eastAsia="Calibri"/>
          <w:color w:val="111827"/>
          <w:sz w:val="21"/>
        </w:rPr>
        <w:t>Gross Collections, Net Collections, Applied Amount, Unapplied Amount, Collection Rate, Receipt Count, Remittance Variance, and Method Mix require versioned definitions.</w:t>
      </w:r>
    </w:p>
    <w:p>
      <w:pPr>
        <w:numPr>
          <w:ilvl w:val="0"/>
          <w:numId w:val="10"/>
        </w:numPr>
        <w:spacing w:after="80" w:line="300" w:lineRule="auto"/>
      </w:pPr>
      <w:r>
        <w:rPr>
          <w:rFonts w:ascii="Calibri" w:hAnsi="Calibri" w:eastAsia="Calibri"/>
          <w:color w:val="111827"/>
          <w:sz w:val="21"/>
        </w:rPr>
        <w:t>Every output identifies period/as-of basis, company/branch scope, included statuses, currency, sign convention, and rounding.</w:t>
      </w:r>
    </w:p>
    <w:p>
      <w:pPr>
        <w:numPr>
          <w:ilvl w:val="0"/>
          <w:numId w:val="10"/>
        </w:numPr>
        <w:spacing w:after="80" w:line="300" w:lineRule="auto"/>
      </w:pPr>
      <w:r>
        <w:rPr>
          <w:rFonts w:ascii="Calibri" w:hAnsi="Calibri" w:eastAsia="Calibri"/>
          <w:color w:val="111827"/>
          <w:sz w:val="21"/>
        </w:rPr>
        <w:t>Posted, pending, failed, voided, reversed, refunded, remitted, and uncleared amounts shall not be combined without explicit definition.</w:t>
      </w:r>
    </w:p>
    <w:p>
      <w:pPr>
        <w:numPr>
          <w:ilvl w:val="0"/>
          <w:numId w:val="10"/>
        </w:numPr>
        <w:spacing w:after="80" w:line="300" w:lineRule="auto"/>
      </w:pPr>
      <w:r>
        <w:rPr>
          <w:rFonts w:ascii="Calibri" w:hAnsi="Calibri" w:eastAsia="Calibri"/>
          <w:color w:val="111827"/>
          <w:sz w:val="21"/>
        </w:rPr>
        <w:t>Customer Ledger and settlement reports reconcile to MDS-200 open items and MDS-300 applications at the same as-of point.</w:t>
      </w:r>
    </w:p>
    <w:p>
      <w:pPr>
        <w:numPr>
          <w:ilvl w:val="0"/>
          <w:numId w:val="10"/>
        </w:numPr>
        <w:spacing w:after="80" w:line="300" w:lineRule="auto"/>
      </w:pPr>
      <w:r>
        <w:rPr>
          <w:rFonts w:ascii="Calibri" w:hAnsi="Calibri" w:eastAsia="Calibri"/>
          <w:color w:val="111827"/>
          <w:sz w:val="21"/>
        </w:rPr>
        <w:t>Dashboard cards and report totals drill down with matching scope or disclose the reason for a difference.</w:t>
      </w:r>
    </w:p>
    <w:p>
      <w:pPr>
        <w:pStyle w:val="Heading1"/>
        <w:pageBreakBefore/>
      </w:pPr>
      <w:r>
        <w:t>14. Notifications and Tasks</w:t>
      </w:r>
    </w:p>
    <w:tbl>
      <w:tblPr>
        <w:tblW w:type="dxa" w:w="9360"/>
        <w:jc w:val="left"/>
        <w:tblLayout w:type="fixed"/>
        <w:tblLook w:firstColumn="1" w:firstRow="1" w:lastColumn="0" w:lastRow="0" w:noHBand="0" w:noVBand="1" w:val="04A0"/>
        <w:tblInd w:w="120" w:type="dxa"/>
      </w:tblPr>
      <w:tblGrid>
        <w:gridCol w:w="2600"/>
        <w:gridCol w:w="4300"/>
        <w:gridCol w:w="2460"/>
      </w:tblGrid>
      <w:tr>
        <w:trPr>
          <w:cantSplit/>
          <w:tblHeader w:val="true"/>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Condition</w:t>
            </w:r>
          </w:p>
        </w:tc>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Initial treatment</w:t>
            </w:r>
          </w:p>
        </w:tc>
        <w:tc>
          <w:tcPr>
            <w:tcW w:type="dxa" w:w="2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Destination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Receivable due soon / today</w:t>
            </w:r>
          </w:p>
        </w:tc>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Needs Attention or reminder based on configured threshold.</w:t>
            </w:r>
          </w:p>
        </w:tc>
        <w:tc>
          <w:tcPr>
            <w:tcW w:type="dxa" w:w="2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Customer/open-item collection context.</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Receivable overdue</w:t>
            </w:r>
          </w:p>
        </w:tc>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Prioritize by age, amount, customer, promise, dispute, and policy.</w:t>
            </w:r>
          </w:p>
        </w:tc>
        <w:tc>
          <w:tcPr>
            <w:tcW w:type="dxa" w:w="2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Collection action or Customer Ledger.</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Unapplied receipt aging</w:t>
            </w:r>
          </w:p>
        </w:tc>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Attention after configured age or amount threshold.</w:t>
            </w:r>
          </w:p>
        </w:tc>
        <w:tc>
          <w:tcPr>
            <w:tcW w:type="dxa" w:w="2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Receipt application.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Promise to pay due / missed</w:t>
            </w:r>
          </w:p>
        </w:tc>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Assigned task with customer, amount, owner, and next action.</w:t>
            </w:r>
          </w:p>
        </w:tc>
        <w:tc>
          <w:tcPr>
            <w:tcW w:type="dxa" w:w="2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Collection activity.</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Payment instrument pending / failed</w:t>
            </w:r>
          </w:p>
        </w:tc>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Inform responsible user; failed items require controlled recovery.</w:t>
            </w:r>
          </w:p>
        </w:tc>
        <w:tc>
          <w:tcPr>
            <w:tcW w:type="dxa" w:w="2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Receipt/instrument status.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Receipt posting uncertain / failed</w:t>
            </w:r>
          </w:p>
        </w:tc>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Immediate actionable error; never show false completion.</w:t>
            </w:r>
          </w:p>
        </w:tc>
        <w:tc>
          <w:tcPr>
            <w:tcW w:type="dxa" w:w="2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Transaction status/recovery.</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Remittance due / unsubmitted</w:t>
            </w:r>
          </w:p>
        </w:tc>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Task to accountable cashier/collector and authorized supervisor.</w:t>
            </w:r>
          </w:p>
        </w:tc>
        <w:tc>
          <w:tcPr>
            <w:tcW w:type="dxa" w:w="2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Remittance preparation.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Remittance variance</w:t>
            </w:r>
          </w:p>
        </w:tc>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Priority task with expected/actual totals, evidence, owner, and resolution due date.</w:t>
            </w:r>
          </w:p>
        </w:tc>
        <w:tc>
          <w:tcPr>
            <w:tcW w:type="dxa" w:w="2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Variance detail.</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Other Receipt approval / classification exception</w:t>
            </w:r>
          </w:p>
        </w:tc>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Review task with source, amount, type, and supporting evidence.</w:t>
            </w:r>
          </w:p>
        </w:tc>
        <w:tc>
          <w:tcPr>
            <w:tcW w:type="dxa" w:w="2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Other Receipt review.</w:t>
            </w:r>
          </w:p>
        </w:tc>
      </w:tr>
    </w:tbl>
    <w:p>
      <w:pPr>
        <w:spacing w:after="0"/>
      </w:pPr>
    </w:p>
    <w:p>
      <w:pPr>
        <w:numPr>
          <w:ilvl w:val="0"/>
          <w:numId w:val="10"/>
        </w:numPr>
        <w:spacing w:after="80" w:line="300" w:lineRule="auto"/>
      </w:pPr>
      <w:r>
        <w:rPr>
          <w:rFonts w:ascii="Calibri" w:hAnsi="Calibri" w:eastAsia="Calibri"/>
          <w:color w:val="111827"/>
          <w:sz w:val="21"/>
        </w:rPr>
        <w:t>Notification informs; Needs Attention surfaces a condition; Action Center carries an assigned or authorized task.</w:t>
      </w:r>
    </w:p>
    <w:p>
      <w:pPr>
        <w:numPr>
          <w:ilvl w:val="0"/>
          <w:numId w:val="10"/>
        </w:numPr>
        <w:spacing w:after="80" w:line="300" w:lineRule="auto"/>
      </w:pPr>
      <w:r>
        <w:rPr>
          <w:rFonts w:ascii="Calibri" w:hAnsi="Calibri" w:eastAsia="Calibri"/>
          <w:color w:val="111827"/>
          <w:sz w:val="21"/>
        </w:rPr>
        <w:t>Counts reconcile and resolve after the authoritative condition changes.</w:t>
      </w:r>
    </w:p>
    <w:p>
      <w:pPr>
        <w:numPr>
          <w:ilvl w:val="0"/>
          <w:numId w:val="10"/>
        </w:numPr>
        <w:spacing w:after="80" w:line="300" w:lineRule="auto"/>
      </w:pPr>
      <w:r>
        <w:rPr>
          <w:rFonts w:ascii="Calibri" w:hAnsi="Calibri" w:eastAsia="Calibri"/>
          <w:color w:val="111827"/>
          <w:sz w:val="21"/>
        </w:rPr>
        <w:t>Recipients respect company, branch, role, assignment, customer privacy, and amount visibility.</w:t>
      </w:r>
    </w:p>
    <w:p>
      <w:pPr>
        <w:numPr>
          <w:ilvl w:val="0"/>
          <w:numId w:val="10"/>
        </w:numPr>
        <w:spacing w:after="80" w:line="300" w:lineRule="auto"/>
      </w:pPr>
      <w:r>
        <w:rPr>
          <w:rFonts w:ascii="Calibri" w:hAnsi="Calibri" w:eastAsia="Calibri"/>
          <w:color w:val="111827"/>
          <w:sz w:val="21"/>
        </w:rPr>
        <w:t>External email, SMS, messaging, or push delivery requires configuration, consent, content, failure, and opt-out controls where applicable.</w:t>
      </w:r>
    </w:p>
    <w:p>
      <w:pPr>
        <w:pStyle w:val="Heading1"/>
        <w:pageBreakBefore/>
      </w:pPr>
      <w:r>
        <w:t>15. Security and Access</w:t>
      </w:r>
    </w:p>
    <w:tbl>
      <w:tblPr>
        <w:tblW w:type="dxa" w:w="9360"/>
        <w:jc w:val="left"/>
        <w:tblLayout w:type="fixed"/>
        <w:tblLook w:firstColumn="1" w:firstRow="1" w:lastColumn="0" w:lastRow="0" w:noHBand="0" w:noVBand="1" w:val="04A0"/>
        <w:tblInd w:w="120" w:type="dxa"/>
      </w:tblPr>
      <w:tblGrid>
        <w:gridCol w:w="2800"/>
        <w:gridCol w:w="6560"/>
      </w:tblGrid>
      <w:tr>
        <w:trPr>
          <w:cantSplit/>
          <w:tblHeader w:val="true"/>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Role</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Typical permitted scope</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Business Owner</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Broad authorized receipt, collection, remittance, report, approval, and correction visibility within company scope.</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Cashier</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Create/post permitted receipts, accept assigned methods/accounts, issue copies, and prepare own remittance.</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Collector</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View assigned customers/open items, record collections and activity, and submit accountable remittance.</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Collection Supervisor</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Assign follow-up, approve thresholds, verify remittances, review variances, and authorize corrections within scope.</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Bookkeeper / Finance User</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Review applications, ledgers, unapplied money, other receipts, reconciliation, reports, and authorized corrections.</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Cash Custodian / Treasurer</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Receive/verify remittance and manage authorized destination-account handoff without altering source receipts.</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System Administrator</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Configure technical access and settings without automatically receiving business approval or custody authority.</w:t>
            </w:r>
          </w:p>
        </w:tc>
      </w:tr>
      <w:tr>
        <w:trPr>
          <w:cantSplit/>
        </w:trPr>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Auditor / Read-Only</w:t>
            </w:r>
          </w:p>
        </w:tc>
        <w:tc>
          <w:tcPr>
            <w:tcW w:type="dxa" w:w="65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View authorized receipts, document chains, ledgers, reports, and audit evidence without modification.</w:t>
            </w:r>
          </w:p>
        </w:tc>
      </w:tr>
    </w:tbl>
    <w:p>
      <w:pPr>
        <w:spacing w:after="0"/>
      </w:pPr>
    </w:p>
    <w:p>
      <w:pPr>
        <w:pStyle w:val="Heading2"/>
      </w:pPr>
      <w:r>
        <w:t>15.1 Permission Catalog</w:t>
      </w:r>
    </w:p>
    <w:tbl>
      <w:tblPr>
        <w:tblW w:type="dxa" w:w="9360"/>
        <w:jc w:val="left"/>
        <w:tblLayout w:type="fixed"/>
        <w:tblLook w:firstColumn="1" w:firstRow="1" w:lastColumn="0" w:lastRow="0" w:noHBand="0" w:noVBand="1" w:val="04A0"/>
        <w:tblInd w:w="120" w:type="dxa"/>
      </w:tblPr>
      <w:tblGrid>
        <w:gridCol w:w="2500"/>
        <w:gridCol w:w="6860"/>
      </w:tblGrid>
      <w:tr>
        <w:trPr>
          <w:cantSplit/>
          <w:tblHeader w:val="true"/>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Permission group</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Initial permissions</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Receipts</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View Receipt; Create Receipt; Edit Draft; Submit; Approve; Post; Print; Reprint; Export.</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Applications</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View Open Items; Apply Payment; Override Allocation Rule; Unapply; Reapply; View Unapplied Balance.</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Corrections</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Void Eligible Receipt; Reverse Posted Receipt; Handle Failed Instrument; Backdate; Post to Restricted Period.</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Collections</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View Customer Ledger; View Assigned Customers; Record Activity; Manage Promise; Manage Dispute; Escalate.</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Remittance</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Prepare Own Remittance; Prepare Others' Remittance; Submit; Verify; Accept; Record Variance; Resolve Variance.</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Other Receipts</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Create; Select Restricted Type; Approve; Post; Reverse; View Source Classification.</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Reporting</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View Collection Reports; View Cross-Branch; View Cash Account; Export Protected Data.</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Administration</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Configure Collection Policy; Map External Payment; View Audit; Recover Failed Transaction.</w:t>
            </w:r>
          </w:p>
        </w:tc>
      </w:tr>
    </w:tbl>
    <w:p>
      <w:pPr>
        <w:spacing w:after="0"/>
      </w:pPr>
    </w:p>
    <w:p>
      <w:pPr>
        <w:numPr>
          <w:ilvl w:val="0"/>
          <w:numId w:val="10"/>
        </w:numPr>
        <w:spacing w:after="80" w:line="300" w:lineRule="auto"/>
      </w:pPr>
      <w:r>
        <w:rPr>
          <w:rFonts w:ascii="Calibri" w:hAnsi="Calibri" w:eastAsia="Calibri"/>
          <w:color w:val="111827"/>
          <w:sz w:val="21"/>
        </w:rPr>
        <w:t>Server-side enforcement is authoritative; UI hiding is supplementary.</w:t>
      </w:r>
    </w:p>
    <w:p>
      <w:pPr>
        <w:numPr>
          <w:ilvl w:val="0"/>
          <w:numId w:val="10"/>
        </w:numPr>
        <w:spacing w:after="80" w:line="300" w:lineRule="auto"/>
      </w:pPr>
      <w:r>
        <w:rPr>
          <w:rFonts w:ascii="Calibri" w:hAnsi="Calibri" w:eastAsia="Calibri"/>
          <w:color w:val="111827"/>
          <w:sz w:val="21"/>
        </w:rPr>
        <w:t>Tenant/company, branch, cashier/collector assignment, customer scope, amount, method, account, field, export, print, API, and deep-link restrictions apply consistently.</w:t>
      </w:r>
    </w:p>
    <w:p>
      <w:pPr>
        <w:numPr>
          <w:ilvl w:val="0"/>
          <w:numId w:val="10"/>
        </w:numPr>
        <w:spacing w:after="80" w:line="300" w:lineRule="auto"/>
      </w:pPr>
      <w:r>
        <w:rPr>
          <w:rFonts w:ascii="Calibri" w:hAnsi="Calibri" w:eastAsia="Calibri"/>
          <w:color w:val="111827"/>
          <w:sz w:val="21"/>
        </w:rPr>
        <w:t>Receipt creation, cash custody, remittance verification, variance approval, and technical administration should be separated where practical.</w:t>
      </w:r>
    </w:p>
    <w:p>
      <w:pPr>
        <w:numPr>
          <w:ilvl w:val="0"/>
          <w:numId w:val="10"/>
        </w:numPr>
        <w:spacing w:after="80" w:line="300" w:lineRule="auto"/>
      </w:pPr>
      <w:r>
        <w:rPr>
          <w:rFonts w:ascii="Calibri" w:hAnsi="Calibri" w:eastAsia="Calibri"/>
          <w:color w:val="111827"/>
          <w:sz w:val="21"/>
        </w:rPr>
        <w:t>Sensitive customer contact, bank/provider reference, check, account, note, attachment, and collection activity data shall be minimized and logged.</w:t>
      </w:r>
    </w:p>
    <w:p>
      <w:pPr>
        <w:numPr>
          <w:ilvl w:val="0"/>
          <w:numId w:val="10"/>
        </w:numPr>
        <w:spacing w:after="80" w:line="300" w:lineRule="auto"/>
      </w:pPr>
      <w:r>
        <w:rPr>
          <w:rFonts w:ascii="Calibri" w:hAnsi="Calibri" w:eastAsia="Calibri"/>
          <w:color w:val="111827"/>
          <w:sz w:val="21"/>
        </w:rPr>
        <w:t>Permission or company-context changes invalidate incompatible cached or open-screen data.</w:t>
      </w:r>
    </w:p>
    <w:p>
      <w:pPr>
        <w:pStyle w:val="Heading1"/>
      </w:pPr>
      <w:r>
        <w:t>16. Data Entities and Ownership</w:t>
      </w:r>
    </w:p>
    <w:tbl>
      <w:tblPr>
        <w:tblW w:type="dxa" w:w="9360"/>
        <w:jc w:val="left"/>
        <w:tblLayout w:type="fixed"/>
        <w:tblLook w:firstColumn="1" w:firstRow="1" w:lastColumn="0" w:lastRow="0" w:noHBand="0" w:noVBand="1" w:val="04A0"/>
        <w:tblInd w:w="120" w:type="dxa"/>
      </w:tblPr>
      <w:tblGrid>
        <w:gridCol w:w="2350"/>
        <w:gridCol w:w="4740"/>
        <w:gridCol w:w="2270"/>
      </w:tblGrid>
      <w:tr>
        <w:trPr>
          <w:cantSplit/>
          <w:tblHeader w:val="true"/>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Entity</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Purpose</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Ownership</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Receipt</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Header identity, payer, dates, type, status, total, source, account context, and audit.</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Receipt Tender</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Payment method, amount, instrument/provider reference, clearing status, and destination context.</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 MDS-700 cash effect</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Payment Application</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Receipt-to-open-item allocation, amount, effective date, status, and reversal chain.</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Customer Unapplied Balance</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Available receipt value not yet allocated to an open item.</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Collection Activity</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Assignment, contact, promise, dispute, notes, next action, and outcome.</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Cash Remittance</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Accountable scope, expected amount, submitted amount, destination, evidence, verifier, and status.</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Remittance Line / Variance</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Tender/source detail, expected/actual amount, difference, reason, owner, and resolution.</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Other Receipt</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Controlled non-customer inflow, counterparty, purpose, type, classification, source, and approval.</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 receipt; source meaning by configured owner</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Customer Ledger Projection</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Integrated customer charges, adjustments, receipts, applications, and running balance.</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 governed projection</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Receivable Open Item</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Customer charge, due date, available balance, and settlement/due/dispute state.</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Customer Refund</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Outgoing payment returning money to a customer.</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MDS-500</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Cash Movement / Balance</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Cash in/out, transfer, deposit, clearing, reconciliation, and running balance.</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MDS-700</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Customer / Account / Method / Reference</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Authoritative operational master records.</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MDS-1000</w:t>
            </w:r>
          </w:p>
        </w:tc>
      </w:tr>
      <w:tr>
        <w:trPr>
          <w:cantSplit/>
        </w:trPr>
        <w:tc>
          <w:tcPr>
            <w:tcW w:type="dxa" w:w="23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Collection Configuration</w:t>
            </w:r>
          </w:p>
        </w:tc>
        <w:tc>
          <w:tcPr>
            <w:tcW w:type="dxa" w:w="47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Numbering, policy, approval, labels, clearing, remittance, localization, and integration settings.</w:t>
            </w:r>
          </w:p>
        </w:tc>
        <w:tc>
          <w:tcPr>
            <w:tcW w:type="dxa" w:w="227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MDS-1100</w:t>
            </w:r>
          </w:p>
        </w:tc>
      </w:tr>
    </w:tbl>
    <w:p>
      <w:pPr>
        <w:spacing w:after="0"/>
      </w:pPr>
    </w:p>
    <w:p>
      <w:pPr>
        <w:pStyle w:val="Heading2"/>
      </w:pPr>
      <w:r>
        <w:t>16.1 Receipt and Application Balance Contract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4F8FC" w:val="clear"/>
          </w:tcPr>
          <w:p>
            <w:pPr>
              <w:spacing w:after="0"/>
            </w:pPr>
            <w:r>
              <w:rPr>
                <w:rFonts w:ascii="Calibri" w:hAnsi="Calibri" w:eastAsia="Calibri"/>
                <w:b/>
                <w:color w:val="1D4ED8"/>
                <w:sz w:val="19"/>
              </w:rPr>
              <w:t xml:space="preserve">RECEIPT ALLOCATION  </w:t>
            </w:r>
            <w:r>
              <w:rPr>
                <w:rFonts w:ascii="Calibri" w:hAnsi="Calibri" w:eastAsia="Calibri"/>
                <w:b/>
                <w:color w:val="0B2545"/>
                <w:sz w:val="20"/>
              </w:rPr>
              <w:t>Available Receipt Amount = Posted Receipt Amount − Valid Reversed/Refunded Receipt Effects. Application Total + Unapplied Amount = Available Receipt Amount.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FF7E6" w:val="clear"/>
          </w:tcPr>
          <w:p>
            <w:pPr>
              <w:spacing w:after="0"/>
            </w:pPr>
            <w:r>
              <w:rPr>
                <w:rFonts w:ascii="Calibri" w:hAnsi="Calibri" w:eastAsia="Calibri"/>
                <w:b/>
                <w:color w:val="F59E0B"/>
                <w:sz w:val="19"/>
              </w:rPr>
              <w:t xml:space="preserve">RECEIVABLE SETTLEMENT  </w:t>
            </w:r>
            <w:r>
              <w:rPr>
                <w:rFonts w:ascii="Calibri" w:hAnsi="Calibri" w:eastAsia="Calibri"/>
                <w:b/>
                <w:color w:val="0B2545"/>
                <w:sz w:val="20"/>
              </w:rPr>
              <w:t>MDS-200 Open Balance is reduced only by valid MDS-300 applications, not merely by receipt entry, remittance, receipt printing, or an unconfirmed external payment.</w:t>
            </w:r>
          </w:p>
        </w:tc>
      </w:tr>
    </w:tbl>
    <w:p>
      <w:pPr>
        <w:spacing w:after="0"/>
      </w:pPr>
    </w:p>
    <w:p>
      <w:pPr>
        <w:numPr>
          <w:ilvl w:val="0"/>
          <w:numId w:val="10"/>
        </w:numPr>
        <w:spacing w:after="80" w:line="300" w:lineRule="auto"/>
      </w:pPr>
      <w:r>
        <w:rPr>
          <w:rFonts w:ascii="Calibri" w:hAnsi="Calibri" w:eastAsia="Calibri"/>
          <w:color w:val="111827"/>
          <w:sz w:val="21"/>
        </w:rPr>
        <w:t>Amounts use governed decimal precision, currency, exchange-rate, rounding, and sign conventions.</w:t>
      </w:r>
    </w:p>
    <w:p>
      <w:pPr>
        <w:numPr>
          <w:ilvl w:val="0"/>
          <w:numId w:val="10"/>
        </w:numPr>
        <w:spacing w:after="80" w:line="300" w:lineRule="auto"/>
      </w:pPr>
      <w:r>
        <w:rPr>
          <w:rFonts w:ascii="Calibri" w:hAnsi="Calibri" w:eastAsia="Calibri"/>
          <w:color w:val="111827"/>
          <w:sz w:val="21"/>
        </w:rPr>
        <w:t>A receipt can fund several applications; an open item can receive several applications.</w:t>
      </w:r>
    </w:p>
    <w:p>
      <w:pPr>
        <w:numPr>
          <w:ilvl w:val="0"/>
          <w:numId w:val="10"/>
        </w:numPr>
        <w:spacing w:after="80" w:line="300" w:lineRule="auto"/>
      </w:pPr>
      <w:r>
        <w:rPr>
          <w:rFonts w:ascii="Calibri" w:hAnsi="Calibri" w:eastAsia="Calibri"/>
          <w:color w:val="111827"/>
          <w:sz w:val="21"/>
        </w:rPr>
        <w:t>Application reversal restores both the available receipt amount and the affected open-item balance without changing the original receipt.</w:t>
      </w:r>
    </w:p>
    <w:p>
      <w:pPr>
        <w:numPr>
          <w:ilvl w:val="0"/>
          <w:numId w:val="10"/>
        </w:numPr>
        <w:spacing w:after="80" w:line="300" w:lineRule="auto"/>
      </w:pPr>
      <w:r>
        <w:rPr>
          <w:rFonts w:ascii="Calibri" w:hAnsi="Calibri" w:eastAsia="Calibri"/>
          <w:color w:val="111827"/>
          <w:sz w:val="21"/>
        </w:rPr>
        <w:t>Receipt reversal may require application reversal and MDS-700 cash reversal as one governed correction.</w:t>
      </w:r>
    </w:p>
    <w:p>
      <w:pPr>
        <w:numPr>
          <w:ilvl w:val="0"/>
          <w:numId w:val="10"/>
        </w:numPr>
        <w:spacing w:after="80" w:line="300" w:lineRule="auto"/>
      </w:pPr>
      <w:r>
        <w:rPr>
          <w:rFonts w:ascii="Calibri" w:hAnsi="Calibri" w:eastAsia="Calibri"/>
          <w:color w:val="111827"/>
          <w:sz w:val="21"/>
        </w:rPr>
        <w:t>Historical as-of reporting requires effective dates, status versions, and preserved source sequence.</w:t>
      </w:r>
    </w:p>
    <w:p>
      <w:pPr>
        <w:numPr>
          <w:ilvl w:val="0"/>
          <w:numId w:val="10"/>
        </w:numPr>
        <w:spacing w:after="80" w:line="300" w:lineRule="auto"/>
      </w:pPr>
      <w:r>
        <w:rPr>
          <w:rFonts w:ascii="Calibri" w:hAnsi="Calibri" w:eastAsia="Calibri"/>
          <w:color w:val="111827"/>
          <w:sz w:val="21"/>
        </w:rPr>
        <w:t>Projection repair must be possible from authoritative documents/events without changing business meaning.</w:t>
      </w:r>
    </w:p>
    <w:p>
      <w:pPr>
        <w:pStyle w:val="Heading2"/>
      </w:pPr>
      <w:r>
        <w:t>16.2 Remittance Reconciliation Contract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4F8FC" w:val="clear"/>
          </w:tcPr>
          <w:p>
            <w:pPr>
              <w:spacing w:after="0"/>
            </w:pPr>
            <w:r>
              <w:rPr>
                <w:rFonts w:ascii="Calibri" w:hAnsi="Calibri" w:eastAsia="Calibri"/>
                <w:b/>
                <w:color w:val="1D4ED8"/>
                <w:sz w:val="19"/>
              </w:rPr>
              <w:t xml:space="preserve">CONCEPTUAL REMITTANCE  </w:t>
            </w:r>
            <w:r>
              <w:rPr>
                <w:rFonts w:ascii="Calibri" w:hAnsi="Calibri" w:eastAsia="Calibri"/>
                <w:b/>
                <w:color w:val="0B2545"/>
                <w:sz w:val="20"/>
              </w:rPr>
              <w:t>Expected Remittance = Accountable Posted Receipts − Prior Valid Remittances − Authorized Reversals/Adjustments. Variance = Actual Submitted Amount − Expected Remittance.</w:t>
            </w:r>
          </w:p>
        </w:tc>
      </w:tr>
    </w:tbl>
    <w:p>
      <w:pPr>
        <w:spacing w:after="0"/>
      </w:pPr>
    </w:p>
    <w:p>
      <w:pPr>
        <w:numPr>
          <w:ilvl w:val="0"/>
          <w:numId w:val="10"/>
        </w:numPr>
        <w:spacing w:after="80" w:line="300" w:lineRule="auto"/>
      </w:pPr>
      <w:r>
        <w:rPr>
          <w:rFonts w:ascii="Calibri" w:hAnsi="Calibri" w:eastAsia="Calibri"/>
          <w:color w:val="111827"/>
          <w:sz w:val="21"/>
        </w:rPr>
        <w:t>Scope identifies cashier/collector, branch, period, currency, method/tender, and destination.</w:t>
      </w:r>
    </w:p>
    <w:p>
      <w:pPr>
        <w:numPr>
          <w:ilvl w:val="0"/>
          <w:numId w:val="10"/>
        </w:numPr>
        <w:spacing w:after="80" w:line="300" w:lineRule="auto"/>
      </w:pPr>
      <w:r>
        <w:rPr>
          <w:rFonts w:ascii="Calibri" w:hAnsi="Calibri" w:eastAsia="Calibri"/>
          <w:color w:val="111827"/>
          <w:sz w:val="21"/>
        </w:rPr>
        <w:t>The formula is method-aware: cash, check, transfer, card, and e-wallet may have different custody and settlement treatment.</w:t>
      </w:r>
    </w:p>
    <w:p>
      <w:pPr>
        <w:numPr>
          <w:ilvl w:val="0"/>
          <w:numId w:val="10"/>
        </w:numPr>
        <w:spacing w:after="80" w:line="300" w:lineRule="auto"/>
      </w:pPr>
      <w:r>
        <w:rPr>
          <w:rFonts w:ascii="Calibri" w:hAnsi="Calibri" w:eastAsia="Calibri"/>
          <w:color w:val="111827"/>
          <w:sz w:val="21"/>
        </w:rPr>
        <w:t>Receipt, provider settlement, bank deposit, and cash remittance are related but not interchangeable evidence.</w:t>
      </w:r>
    </w:p>
    <w:p>
      <w:pPr>
        <w:numPr>
          <w:ilvl w:val="0"/>
          <w:numId w:val="10"/>
        </w:numPr>
        <w:spacing w:after="80" w:line="300" w:lineRule="auto"/>
      </w:pPr>
      <w:r>
        <w:rPr>
          <w:rFonts w:ascii="Calibri" w:hAnsi="Calibri" w:eastAsia="Calibri"/>
          <w:color w:val="111827"/>
          <w:sz w:val="21"/>
        </w:rPr>
        <w:t>A shortage or overage remains visible until an authorized resolution; the system shall not alter receipt totals to make the variance disappear.</w:t>
      </w:r>
    </w:p>
    <w:p>
      <w:pPr>
        <w:numPr>
          <w:ilvl w:val="0"/>
          <w:numId w:val="10"/>
        </w:numPr>
        <w:spacing w:after="80" w:line="300" w:lineRule="auto"/>
      </w:pPr>
      <w:r>
        <w:rPr>
          <w:rFonts w:ascii="Calibri" w:hAnsi="Calibri" w:eastAsia="Calibri"/>
          <w:color w:val="111827"/>
          <w:sz w:val="21"/>
        </w:rPr>
        <w:t>Verifier identity, segregation of duties, supporting count/deposit evidence, and MDS-700 movement reference are retained.</w:t>
      </w:r>
    </w:p>
    <w:p>
      <w:pPr>
        <w:pStyle w:val="Heading2"/>
      </w:pPr>
      <w:r>
        <w:t>16.3 Retention, Privacy, and Integrity</w:t>
      </w:r>
    </w:p>
    <w:tbl>
      <w:tblPr>
        <w:tblW w:type="dxa" w:w="9360"/>
        <w:jc w:val="left"/>
        <w:tblLayout w:type="fixed"/>
        <w:tblLook w:firstColumn="1" w:firstRow="1" w:lastColumn="0" w:lastRow="0" w:noHBand="0" w:noVBand="1" w:val="04A0"/>
        <w:tblInd w:w="120" w:type="dxa"/>
      </w:tblPr>
      <w:tblGrid>
        <w:gridCol w:w="2400"/>
        <w:gridCol w:w="6960"/>
      </w:tblGrid>
      <w:tr>
        <w:trPr>
          <w:cantSplit/>
          <w:tblHeader w:val="true"/>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Control area</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Requirement</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Posted evidence</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Receipts, applications, remittances, and corrections follow approved legal, tax, accounting, contractual, and operational retention policy.</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Data-subject request</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Distinguish removable personal data from business evidence that must be retained, restricted, or pseudonymized.</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Payment data</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Do not store prohibited card credentials or secrets; tokenize/mask provider and account information according to approved standards.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Attachments</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Inherit tenant, record, permission, malware, export, and retention controls.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Derived data</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Search indexes, ledger/report projections, caches, and AI features shall not widen access beyond source records.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Integrity constraints</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Prevent orphan applications, duplicate numbers/references, cross-tenant links, invalid currency, over-application, and forced remittance balance.</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Recovery evidence</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Repair preserves source identity, prior state, reason, authority, time, and reconciled business meaning.</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4F8FC" w:val="clear"/>
          </w:tcPr>
          <w:p>
            <w:pPr>
              <w:spacing w:after="0"/>
            </w:pPr>
            <w:r>
              <w:rPr>
                <w:rFonts w:ascii="Calibri" w:hAnsi="Calibri" w:eastAsia="Calibri"/>
                <w:b/>
                <w:color w:val="1D4ED8"/>
                <w:sz w:val="19"/>
              </w:rPr>
              <w:t xml:space="preserve">INTEGRITY RULE  </w:t>
            </w:r>
            <w:r>
              <w:rPr>
                <w:rFonts w:ascii="Calibri" w:hAnsi="Calibri" w:eastAsia="Calibri"/>
                <w:b/>
                <w:color w:val="0B2545"/>
                <w:sz w:val="20"/>
              </w:rPr>
              <w:t>Retention, privacy action, projection repair, technical recovery, or provider reconciliation shall not silently rewrite the financial meaning of a posted receipt.</w:t>
            </w:r>
          </w:p>
        </w:tc>
      </w:tr>
    </w:tbl>
    <w:p>
      <w:pPr>
        <w:spacing w:after="0"/>
      </w:pPr>
    </w:p>
    <w:p>
      <w:pPr>
        <w:pageBreakBefore/>
        <w:spacing w:before="920" w:after="100"/>
      </w:pPr>
      <w:r>
        <w:rPr>
          <w:rFonts w:ascii="Calibri" w:hAnsi="Calibri" w:eastAsia="Calibri"/>
          <w:b/>
          <w:color w:val="F59E0B"/>
          <w:sz w:val="20"/>
        </w:rPr>
        <w:t>PART IV</w:t>
      </w:r>
    </w:p>
    <w:p>
      <w:pPr>
        <w:spacing w:after="160"/>
      </w:pPr>
      <w:r>
        <w:rPr>
          <w:rFonts w:ascii="Calibri" w:hAnsi="Calibri" w:eastAsia="Calibri"/>
          <w:b/>
          <w:color w:val="0B2545"/>
          <w:sz w:val="50"/>
        </w:rPr>
        <w:t>Product, Quality, and Evolution</w:t>
      </w:r>
    </w:p>
    <w:p>
      <w:pPr>
        <w:spacing w:after="360"/>
        <w:pBdr>
          <w:bottom w:val="single" w:sz="8" w:space="5" w:color="E8EEF5"/>
        </w:pBdr>
      </w:pPr>
      <w:r>
        <w:rPr>
          <w:rFonts w:ascii="Calibri" w:hAnsi="Calibri" w:eastAsia="Calibri"/>
          <w:color w:val="5B6573"/>
          <w:sz w:val="24"/>
        </w:rPr>
        <w:t>Edition behavior, user experience, non-functional requirements, AI controls, future expansion, and success.</w:t>
      </w:r>
    </w:p>
    <w:p>
      <w:pPr>
        <w:pStyle w:val="Heading1"/>
      </w:pPr>
      <w:r>
        <w:t>17. Edition Availability</w:t>
      </w:r>
    </w:p>
    <w:p>
      <w:r>
        <w:rPr>
          <w:rFonts w:ascii="Calibri" w:hAnsi="Calibri" w:eastAsia="Calibri"/>
          <w:color w:val="111827"/>
        </w:rPr>
        <w:t>The same governed architecture and data model shall support SimpleBIZ Free, paid SimpleBIZ One editions, and future ERP editions. The matrix is a design baseline; final packaging is controlled by the approved Product Editions Strategy.</w:t>
      </w:r>
    </w:p>
    <w:tbl>
      <w:tblPr>
        <w:tblW w:type="dxa" w:w="9360"/>
        <w:jc w:val="left"/>
        <w:tblLayout w:type="fixed"/>
        <w:tblLook w:firstColumn="1" w:firstRow="1" w:lastColumn="0" w:lastRow="0" w:noHBand="0" w:noVBand="1" w:val="04A0"/>
        <w:tblInd w:w="120" w:type="dxa"/>
      </w:tblPr>
      <w:tblGrid>
        <w:gridCol w:w="3200"/>
        <w:gridCol w:w="1400"/>
        <w:gridCol w:w="1500"/>
        <w:gridCol w:w="1400"/>
        <w:gridCol w:w="1860"/>
      </w:tblGrid>
      <w:tr>
        <w:trPr>
          <w:cantSplit/>
          <w:tblHeader w:val="true"/>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Capability</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Free</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Startup</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Pro</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Advanced / ERP</w:t>
            </w:r>
          </w:p>
        </w:tc>
      </w:tr>
      <w:tr>
        <w:trPr>
          <w:cantSplit/>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3"/>
              </w:rPr>
              <w:t>Basic cash-sale receipt and receipt history</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Included</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Included</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Included</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Included</w:t>
            </w:r>
          </w:p>
        </w:tc>
      </w:tr>
      <w:tr>
        <w:trPr>
          <w:cantSplit/>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3"/>
              </w:rPr>
              <w:t>Basic customer collections and applications</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Limited / product decision</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Included</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Included</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Included</w:t>
            </w:r>
          </w:p>
        </w:tc>
      </w:tr>
      <w:tr>
        <w:trPr>
          <w:cantSplit/>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3"/>
              </w:rPr>
              <w:t>Partial and multiple-invoice application</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Basic</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Included</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Included</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Included</w:t>
            </w:r>
          </w:p>
        </w:tc>
      </w:tr>
      <w:tr>
        <w:trPr>
          <w:cantSplit/>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3"/>
              </w:rPr>
              <w:t>Advance / unapplied receipt</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Limited</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Included</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Included</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Advanced</w:t>
            </w:r>
          </w:p>
        </w:tc>
      </w:tr>
      <w:tr>
        <w:trPr>
          <w:cantSplit/>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3"/>
              </w:rPr>
              <w:t>Customer Ledger</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Basic</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Included</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Included</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Advanced</w:t>
            </w:r>
          </w:p>
        </w:tc>
      </w:tr>
      <w:tr>
        <w:trPr>
          <w:cantSplit/>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3"/>
              </w:rPr>
              <w:t>Cash remittance</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Basic / single user</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Included</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Multi-user</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Multi-branch/custody</w:t>
            </w:r>
          </w:p>
        </w:tc>
      </w:tr>
      <w:tr>
        <w:trPr>
          <w:cantSplit/>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3"/>
              </w:rPr>
              <w:t>Other Receipts</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Basic types</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Included</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Included</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Advanced classification</w:t>
            </w:r>
          </w:p>
        </w:tc>
      </w:tr>
      <w:tr>
        <w:trPr>
          <w:cantSplit/>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3"/>
              </w:rPr>
              <w:t>Approval and segregation of duties</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Not included</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Basic</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Included</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Advanced</w:t>
            </w:r>
          </w:p>
        </w:tc>
      </w:tr>
      <w:tr>
        <w:trPr>
          <w:cantSplit/>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3"/>
              </w:rPr>
              <w:t>Online payment / bank matching</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Not included</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Optional</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Included / optional</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Advanced</w:t>
            </w:r>
          </w:p>
        </w:tc>
      </w:tr>
      <w:tr>
        <w:trPr>
          <w:cantSplit/>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3"/>
              </w:rPr>
              <w:t>Advanced collections and remittance reports</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Basic</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Basic</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Included</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Advanced</w:t>
            </w:r>
          </w:p>
        </w:tc>
      </w:tr>
      <w:tr>
        <w:trPr>
          <w:cantSplit/>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3"/>
              </w:rPr>
              <w:t>Dunning, collector assignment, enterprise collections</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Not included</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Not included</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Optional</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ERP</w:t>
            </w:r>
          </w:p>
        </w:tc>
      </w:tr>
      <w:tr>
        <w:trPr>
          <w:cantSplit/>
        </w:trPr>
        <w:tc>
          <w:tcPr>
            <w:tcW w:type="dxa" w:w="3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3"/>
              </w:rPr>
              <w:t>AI-assisted matching and prioritization</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Optional safe assistance</w:t>
            </w:r>
          </w:p>
        </w:tc>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Optional</w:t>
            </w:r>
          </w:p>
        </w:tc>
        <w:tc>
          <w:tcPr>
            <w:tcW w:type="dxa" w:w="1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Optional</w:t>
            </w:r>
          </w:p>
        </w:tc>
        <w:tc>
          <w:tcPr>
            <w:tcW w:type="dxa" w:w="1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3"/>
              </w:rPr>
              <w:t>Advanced governed assistance</w:t>
            </w:r>
          </w:p>
        </w:tc>
      </w:tr>
    </w:tbl>
    <w:p>
      <w:pPr>
        <w:spacing w:after="0"/>
      </w:pPr>
    </w:p>
    <w:p>
      <w:pPr>
        <w:numPr>
          <w:ilvl w:val="0"/>
          <w:numId w:val="10"/>
        </w:numPr>
        <w:spacing w:after="80" w:line="300" w:lineRule="auto"/>
      </w:pPr>
      <w:r>
        <w:rPr>
          <w:rFonts w:ascii="Calibri" w:hAnsi="Calibri" w:eastAsia="Calibri"/>
          <w:color w:val="111827"/>
          <w:sz w:val="21"/>
        </w:rPr>
        <w:t>A locked capability is explained clearly and shall not erase or corrupt existing records.</w:t>
      </w:r>
    </w:p>
    <w:p>
      <w:pPr>
        <w:numPr>
          <w:ilvl w:val="0"/>
          <w:numId w:val="10"/>
        </w:numPr>
        <w:spacing w:after="80" w:line="300" w:lineRule="auto"/>
      </w:pPr>
      <w:r>
        <w:rPr>
          <w:rFonts w:ascii="Calibri" w:hAnsi="Calibri" w:eastAsia="Calibri"/>
          <w:color w:val="111827"/>
          <w:sz w:val="21"/>
        </w:rPr>
        <w:t>Upgrade activates capability through entitlement without a second module implementation.</w:t>
      </w:r>
    </w:p>
    <w:p>
      <w:pPr>
        <w:numPr>
          <w:ilvl w:val="0"/>
          <w:numId w:val="10"/>
        </w:numPr>
        <w:spacing w:after="80" w:line="300" w:lineRule="auto"/>
      </w:pPr>
      <w:r>
        <w:rPr>
          <w:rFonts w:ascii="Calibri" w:hAnsi="Calibri" w:eastAsia="Calibri"/>
          <w:color w:val="111827"/>
          <w:sz w:val="21"/>
        </w:rPr>
        <w:t>Downgrade preserves historical view/export according to policy while restricting new advanced actions.</w:t>
      </w:r>
    </w:p>
    <w:p>
      <w:pPr>
        <w:numPr>
          <w:ilvl w:val="0"/>
          <w:numId w:val="10"/>
        </w:numPr>
        <w:spacing w:after="80" w:line="300" w:lineRule="auto"/>
      </w:pPr>
      <w:r>
        <w:rPr>
          <w:rFonts w:ascii="Calibri" w:hAnsi="Calibri" w:eastAsia="Calibri"/>
          <w:color w:val="111827"/>
          <w:sz w:val="21"/>
        </w:rPr>
        <w:t>API enforcement is authoritative and matches UI entitlement behavior.</w:t>
      </w:r>
    </w:p>
    <w:p>
      <w:pPr>
        <w:pStyle w:val="Heading2"/>
        <w:pageBreakBefore/>
      </w:pPr>
      <w:r>
        <w:t>17.1 Product Experience Requirements</w:t>
      </w:r>
    </w:p>
    <w:p>
      <w:pPr>
        <w:numPr>
          <w:ilvl w:val="0"/>
          <w:numId w:val="10"/>
        </w:numPr>
        <w:spacing w:after="80" w:line="300" w:lineRule="auto"/>
      </w:pPr>
      <w:r>
        <w:rPr>
          <w:rFonts w:ascii="Calibri" w:hAnsi="Calibri" w:eastAsia="Calibri"/>
          <w:color w:val="111827"/>
          <w:sz w:val="21"/>
        </w:rPr>
        <w:t>Use plain SME language: Receive Payment, Apply to Invoice, Unapplied Amount, Cash Remittance, and Other Receipt.</w:t>
      </w:r>
    </w:p>
    <w:p>
      <w:pPr>
        <w:numPr>
          <w:ilvl w:val="0"/>
          <w:numId w:val="10"/>
        </w:numPr>
        <w:spacing w:after="80" w:line="300" w:lineRule="auto"/>
      </w:pPr>
      <w:r>
        <w:rPr>
          <w:rFonts w:ascii="Calibri" w:hAnsi="Calibri" w:eastAsia="Calibri"/>
          <w:color w:val="111827"/>
          <w:sz w:val="21"/>
        </w:rPr>
        <w:t>Keep payer, amount received, amount applied, unapplied amount, method, account, and posting result visible at decision points.</w:t>
      </w:r>
    </w:p>
    <w:p>
      <w:pPr>
        <w:numPr>
          <w:ilvl w:val="0"/>
          <w:numId w:val="10"/>
        </w:numPr>
        <w:spacing w:after="80" w:line="300" w:lineRule="auto"/>
      </w:pPr>
      <w:r>
        <w:rPr>
          <w:rFonts w:ascii="Calibri" w:hAnsi="Calibri" w:eastAsia="Calibri"/>
          <w:color w:val="111827"/>
          <w:sz w:val="21"/>
        </w:rPr>
        <w:t>Use progressive disclosure for split tender, instrument details, currency, fees, source classification, remittance, and advanced references.</w:t>
      </w:r>
    </w:p>
    <w:p>
      <w:pPr>
        <w:numPr>
          <w:ilvl w:val="0"/>
          <w:numId w:val="10"/>
        </w:numPr>
        <w:spacing w:after="80" w:line="300" w:lineRule="auto"/>
      </w:pPr>
      <w:r>
        <w:rPr>
          <w:rFonts w:ascii="Calibri" w:hAnsi="Calibri" w:eastAsia="Calibri"/>
          <w:color w:val="111827"/>
          <w:sz w:val="21"/>
        </w:rPr>
        <w:t>Provide immediate field validation, safe draft recovery, duplicate protection, and conclusive posting feedback.</w:t>
      </w:r>
    </w:p>
    <w:p>
      <w:pPr>
        <w:numPr>
          <w:ilvl w:val="0"/>
          <w:numId w:val="10"/>
        </w:numPr>
        <w:spacing w:after="80" w:line="300" w:lineRule="auto"/>
      </w:pPr>
      <w:r>
        <w:rPr>
          <w:rFonts w:ascii="Calibri" w:hAnsi="Calibri" w:eastAsia="Calibri"/>
          <w:color w:val="111827"/>
          <w:sz w:val="21"/>
        </w:rPr>
        <w:t>Support keyboard and touch interaction for high-frequency cashier work and responsive operation across approved viewports.</w:t>
      </w:r>
    </w:p>
    <w:p>
      <w:pPr>
        <w:numPr>
          <w:ilvl w:val="0"/>
          <w:numId w:val="10"/>
        </w:numPr>
        <w:spacing w:after="80" w:line="300" w:lineRule="auto"/>
      </w:pPr>
      <w:r>
        <w:rPr>
          <w:rFonts w:ascii="Calibri" w:hAnsi="Calibri" w:eastAsia="Calibri"/>
          <w:color w:val="111827"/>
          <w:sz w:val="21"/>
        </w:rPr>
        <w:t>Preserve return context when navigating among customer, open item, receipt, ledger, remittance, cash account, refund, or report.</w:t>
      </w:r>
    </w:p>
    <w:p>
      <w:pPr>
        <w:numPr>
          <w:ilvl w:val="0"/>
          <w:numId w:val="10"/>
        </w:numPr>
        <w:spacing w:after="80" w:line="300" w:lineRule="auto"/>
      </w:pPr>
      <w:r>
        <w:rPr>
          <w:rFonts w:ascii="Calibri" w:hAnsi="Calibri" w:eastAsia="Calibri"/>
          <w:color w:val="111827"/>
          <w:sz w:val="21"/>
        </w:rPr>
        <w:t>Show locked, unavailable, missing-setup, unauthorized, stale, partial, pending, failed, reversed, and error states distinctly.</w:t>
      </w:r>
    </w:p>
    <w:p>
      <w:pPr>
        <w:numPr>
          <w:ilvl w:val="0"/>
          <w:numId w:val="10"/>
        </w:numPr>
        <w:spacing w:after="80" w:line="300" w:lineRule="auto"/>
      </w:pPr>
      <w:r>
        <w:rPr>
          <w:rFonts w:ascii="Calibri" w:hAnsi="Calibri" w:eastAsia="Calibri"/>
          <w:color w:val="111827"/>
          <w:sz w:val="21"/>
        </w:rPr>
        <w:t>Make receipt copies readable, printable, share-preparable, and accessible without exposing unnecessary protected data.</w:t>
      </w:r>
    </w:p>
    <w:p>
      <w:pPr>
        <w:pStyle w:val="Heading1"/>
      </w:pPr>
      <w:r>
        <w:t>18. Non-Functional Requirements</w:t>
      </w:r>
    </w:p>
    <w:tbl>
      <w:tblPr>
        <w:tblW w:type="dxa" w:w="9360"/>
        <w:jc w:val="left"/>
        <w:tblLayout w:type="fixed"/>
        <w:tblLook w:firstColumn="1" w:firstRow="1" w:lastColumn="0" w:lastRow="0" w:noHBand="0" w:noVBand="1" w:val="04A0"/>
        <w:tblInd w:w="120" w:type="dxa"/>
      </w:tblPr>
      <w:tblGrid>
        <w:gridCol w:w="2600"/>
        <w:gridCol w:w="6760"/>
      </w:tblGrid>
      <w:tr>
        <w:trPr>
          <w:cantSplit/>
          <w:tblHeader w:val="true"/>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NFR ID / Area</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Baseline requirement</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MDS-300-NFR-001 Performance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Common receipt entry, customer/open-item search, allocation, and list filtering shall feel immediate under normal supported conditions.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MDS-300-NFR-002 Posting</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Show progress after approximately 300 ms and target a conclusive ordinary posting result within approximately 2 seconds under normal supported conditions.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MDS-300-NFR-003 Reliability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Posting, external callback, retry, application, remittance, void, and reversal shall be atomic, idempotent, recoverable, and status-verifiable.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MDS-300-NFR-004 Scalability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Support increasing companies, branches, cashiers, customers, receipts, applications, providers, and integrations without changing ownership.</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MDS-300-NFR-005 Security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Apply authenticated, authorized, tenant-scoped, validated, encrypted, masked/tokenized, and auditable handling.</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MDS-300-NFR-006 Usability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 target SME user shall record a basic customer payment with minimal training and no accounting terminology requirement.</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MDS-300-NFR-007 Accessibility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Core workflows meet approved keyboard, focus, label, status announcement, contrast, zoom, and assistive-technology standards.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MDS-300-NFR-008 Maintainability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Use modular services, documented contracts, migrations, testable rules, stable identifiers, and clear source ownership.</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MDS-300-NFR-009 Localization</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Support configurable currency, receipt labels/numbering, tax references, dates, names/addresses, language, and payment methods.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MDS-300-NFR-010 Observability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Correlate request, receipt, application, cash effect, provider, remittance, report, and audit records without exposing protected payloads.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MDS-300-NFR-011 Data integrity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Receipt, tender, application, open-item, cash, remittance, other-receipt, and reporting effects shall reconcile.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MDS-300-NFR-012 Availability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Preserve safe drafts, distinguish outage from rejection, and provide tested recovery for interrupted or uncertain work.</w:t>
            </w:r>
          </w:p>
        </w:tc>
      </w:tr>
    </w:tbl>
    <w:p>
      <w:pPr>
        <w:spacing w:after="0"/>
      </w:pPr>
    </w:p>
    <w:p>
      <w:pPr>
        <w:pStyle w:val="Heading2"/>
      </w:pPr>
      <w:r>
        <w:t>18.1 Testing and Quality Assurance</w:t>
      </w:r>
    </w:p>
    <w:tbl>
      <w:tblPr>
        <w:tblW w:type="dxa" w:w="9360"/>
        <w:jc w:val="left"/>
        <w:tblLayout w:type="fixed"/>
        <w:tblLook w:firstColumn="1" w:firstRow="1" w:lastColumn="0" w:lastRow="0" w:noHBand="0" w:noVBand="1" w:val="04A0"/>
        <w:tblInd w:w="120" w:type="dxa"/>
      </w:tblPr>
      <w:tblGrid>
        <w:gridCol w:w="2400"/>
        <w:gridCol w:w="6960"/>
      </w:tblGrid>
      <w:tr>
        <w:trPr>
          <w:cantSplit/>
          <w:tblHeader w:val="true"/>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Test area</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Minimum coverage</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Amounts</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Tender, application, unapplied, change, fee, currency, exchange, rounding, zero/negative, and overpayment.</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Receipt types</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Paid-now sale, customer collection, partial, multi-invoice, advance/unapplied, split tender, and Other Receipt.</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Applications</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One-to-one, one-to-many, many-to-one, concurrent balance change, reapplication, reversal, and over-application prevention.</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Methods/providers</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Cash, check, transfer, card, e-wallet, pending, cleared, failed, returned, webhook replay, and duplicate reference.</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Posting</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Success, validation rejection, approval, repeated click, timeout, retry, concurrent change, and cross-module rollback.</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Corrections/refund</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Void, receipt reversal, application reversal, failed instrument, refund handoff, and closed/remitted period.</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Remittance</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Expected/actual, prior remittance, mixed tenders, shortage, overage, missing evidence, verification, and resolution.</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Access</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Role, tenant, branch, assignment, amount, method/account, direct URL, receipt URL, API, print, export, and cached screen.</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Integration</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MDS-200 settlement, MDS-500 refund, MDS-700 cash, Dashboard/report reconciliation, and external payment callbacks.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UX/accessibility</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Loading, empty, missing setup, locked, unauthorized, stale, partial, failed, mobile, tablet, desktop, keyboard, and screen reader.</w:t>
            </w:r>
          </w:p>
        </w:tc>
      </w:tr>
    </w:tbl>
    <w:p>
      <w:pPr>
        <w:spacing w:after="0"/>
      </w:pPr>
    </w:p>
    <w:p>
      <w:pPr>
        <w:pStyle w:val="Heading2"/>
      </w:pPr>
      <w:r>
        <w:t>18.2 Observability and Operational Health</w:t>
      </w:r>
    </w:p>
    <w:p>
      <w:pPr>
        <w:numPr>
          <w:ilvl w:val="0"/>
          <w:numId w:val="10"/>
        </w:numPr>
        <w:spacing w:after="80" w:line="300" w:lineRule="auto"/>
      </w:pPr>
      <w:r>
        <w:rPr>
          <w:rFonts w:ascii="Calibri" w:hAnsi="Calibri" w:eastAsia="Calibri"/>
          <w:color w:val="111827"/>
          <w:sz w:val="21"/>
        </w:rPr>
        <w:t>Metrics cover posting latency, rejection, transaction failure, duplicate prevention, provider callback, application conflict, event backlog, projection lag, remittance variance, and report reconciliation.</w:t>
      </w:r>
    </w:p>
    <w:p>
      <w:pPr>
        <w:numPr>
          <w:ilvl w:val="0"/>
          <w:numId w:val="10"/>
        </w:numPr>
        <w:spacing w:after="80" w:line="300" w:lineRule="auto"/>
      </w:pPr>
      <w:r>
        <w:rPr>
          <w:rFonts w:ascii="Calibri" w:hAnsi="Calibri" w:eastAsia="Calibri"/>
          <w:color w:val="111827"/>
          <w:sz w:val="21"/>
        </w:rPr>
        <w:t>Logs distinguish business rejection, authorization failure, dependency failure, rollback, uncertain state, external-provider mismatch, and unexpected defect.</w:t>
      </w:r>
    </w:p>
    <w:p>
      <w:pPr>
        <w:numPr>
          <w:ilvl w:val="0"/>
          <w:numId w:val="10"/>
        </w:numPr>
        <w:spacing w:after="80" w:line="300" w:lineRule="auto"/>
      </w:pPr>
      <w:r>
        <w:rPr>
          <w:rFonts w:ascii="Calibri" w:hAnsi="Calibri" w:eastAsia="Calibri"/>
          <w:color w:val="111827"/>
          <w:sz w:val="21"/>
        </w:rPr>
        <w:t>Support tools locate a transaction by correlation, receipt, application, provider, remittance, document, or event identity without exposing unrelated tenant data.</w:t>
      </w:r>
    </w:p>
    <w:p>
      <w:pPr>
        <w:numPr>
          <w:ilvl w:val="0"/>
          <w:numId w:val="10"/>
        </w:numPr>
        <w:spacing w:after="80" w:line="300" w:lineRule="auto"/>
      </w:pPr>
      <w:r>
        <w:rPr>
          <w:rFonts w:ascii="Calibri" w:hAnsi="Calibri" w:eastAsia="Calibri"/>
          <w:color w:val="111827"/>
          <w:sz w:val="21"/>
        </w:rPr>
        <w:t>Operational alerts identify affected module/service, time, severity, safe scope, recovery owner, and runbook destination.</w:t>
      </w:r>
    </w:p>
    <w:p>
      <w:pPr>
        <w:numPr>
          <w:ilvl w:val="0"/>
          <w:numId w:val="10"/>
        </w:numPr>
        <w:spacing w:after="80" w:line="300" w:lineRule="auto"/>
      </w:pPr>
      <w:r>
        <w:rPr>
          <w:rFonts w:ascii="Calibri" w:hAnsi="Calibri" w:eastAsia="Calibri"/>
          <w:color w:val="111827"/>
          <w:sz w:val="21"/>
        </w:rPr>
        <w:t>Reconciliation jobs detect but do not silently overwrite inconsistent receipt, application, open-item, cash, remittance, or reporting effects.</w:t>
      </w:r>
    </w:p>
    <w:p>
      <w:pPr>
        <w:pStyle w:val="Heading2"/>
      </w:pPr>
      <w:r>
        <w:t>18.3 AI-Ready Design and Human Control</w:t>
      </w:r>
    </w:p>
    <w:p>
      <w:r>
        <w:rPr>
          <w:rFonts w:ascii="Calibri" w:hAnsi="Calibri" w:eastAsia="Calibri"/>
          <w:color w:val="111827"/>
        </w:rPr>
        <w:t>MDS-300 shall produce structured, permission-aware, traceable collection data suitable for future AI assistance. AI is supplementary and is not required for correct receipt processing.</w:t>
      </w:r>
    </w:p>
    <w:tbl>
      <w:tblPr>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Potential assistance</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Required control</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Payment matching</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Suggest customer/open-item matches from amount/reference/context; user verifies or an approved deterministic rule applies.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Collection prioritization</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Recommend follow-up using authorized data and disclose key drivers; do not discriminate unlawfully.</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Remittance anomaly</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Flag unusual shortage, overage, timing, tender, reversal, or user pattern with explainable evidence.</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Other Receipt classification</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Suggest type/source based on evidence; authorized user confirms before posting.</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Draft communication</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Prepare receipt or collection follow-up text without sending until an authorized user confirms.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Forecasting</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Identify source period, model/version, assumptions, uncertainty, and non-authoritative status.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Automated action</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No silent posting, application, void, reversal, variance write-off, refund, or customer communication without approved policy and authority.</w:t>
            </w:r>
          </w:p>
        </w:tc>
      </w:tr>
    </w:tbl>
    <w:p>
      <w:pPr>
        <w:spacing w:after="0"/>
      </w:pPr>
    </w:p>
    <w:p>
      <w:pPr>
        <w:numPr>
          <w:ilvl w:val="0"/>
          <w:numId w:val="10"/>
        </w:numPr>
        <w:spacing w:after="80" w:line="300" w:lineRule="auto"/>
      </w:pPr>
      <w:r>
        <w:rPr>
          <w:rFonts w:ascii="Calibri" w:hAnsi="Calibri" w:eastAsia="Calibri"/>
          <w:color w:val="111827"/>
          <w:sz w:val="21"/>
        </w:rPr>
        <w:t>AI inherits the acting user's permissions, company context, field restrictions, and retention policy.</w:t>
      </w:r>
    </w:p>
    <w:p>
      <w:pPr>
        <w:numPr>
          <w:ilvl w:val="0"/>
          <w:numId w:val="10"/>
        </w:numPr>
        <w:spacing w:after="80" w:line="300" w:lineRule="auto"/>
      </w:pPr>
      <w:r>
        <w:rPr>
          <w:rFonts w:ascii="Calibri" w:hAnsi="Calibri" w:eastAsia="Calibri"/>
          <w:color w:val="111827"/>
          <w:sz w:val="21"/>
        </w:rPr>
        <w:t>Material AI-assisted decisions retain source references, relevant context, model/service identity where required, user confirmation, and result.</w:t>
      </w:r>
    </w:p>
    <w:p>
      <w:pPr>
        <w:numPr>
          <w:ilvl w:val="0"/>
          <w:numId w:val="10"/>
        </w:numPr>
        <w:spacing w:after="80" w:line="300" w:lineRule="auto"/>
      </w:pPr>
      <w:r>
        <w:rPr>
          <w:rFonts w:ascii="Calibri" w:hAnsi="Calibri" w:eastAsia="Calibri"/>
          <w:color w:val="111827"/>
          <w:sz w:val="21"/>
        </w:rPr>
        <w:t>Missing, stale, low-quality, or insufficient data is disclosed rather than fabricated.</w:t>
      </w:r>
    </w:p>
    <w:p>
      <w:pPr>
        <w:numPr>
          <w:ilvl w:val="0"/>
          <w:numId w:val="10"/>
        </w:numPr>
        <w:spacing w:after="80" w:line="300" w:lineRule="auto"/>
      </w:pPr>
      <w:r>
        <w:rPr>
          <w:rFonts w:ascii="Calibri" w:hAnsi="Calibri" w:eastAsia="Calibri"/>
          <w:color w:val="111827"/>
          <w:sz w:val="21"/>
        </w:rPr>
        <w:t>The module remains fully usable and correct when AI is disabled or unavailable.</w:t>
      </w:r>
    </w:p>
    <w:p>
      <w:pPr>
        <w:pStyle w:val="Heading1"/>
      </w:pPr>
      <w:r>
        <w:t>19. Future ERP Expansion</w:t>
      </w:r>
    </w:p>
    <w:tbl>
      <w:tblPr>
        <w:tblW w:type="dxa" w:w="9360"/>
        <w:jc w:val="left"/>
        <w:tblLayout w:type="fixed"/>
        <w:tblLook w:firstColumn="1" w:firstRow="1" w:lastColumn="0" w:lastRow="0" w:noHBand="0" w:noVBand="1" w:val="04A0"/>
        <w:tblInd w:w="120" w:type="dxa"/>
      </w:tblPr>
      <w:tblGrid>
        <w:gridCol w:w="2300"/>
        <w:gridCol w:w="4000"/>
        <w:gridCol w:w="3060"/>
      </w:tblGrid>
      <w:tr>
        <w:trPr>
          <w:cantSplit/>
          <w:tblHeader w:val="true"/>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Capability</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Future direction</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Design protection now</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Online payment links</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Customer pays through invoice/statement link and provider callback.</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Stable external identity, secure token, idempotency, expiry, and source linkage.</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Automated bank matching</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Match bank-feed credits to customers, receipts, and open items.</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Separate suggestion, bank evidence, receipt posting, and human/approved-rule confirmation.</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Enterprise lockbox</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Bulk bank remittance files and high-volume application.</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Batch identity, line-level status, exception queue, and reconciliation.</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Dunning and collections</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Strategies, stages, promises, disputes, escalation, agencies, and legal handoff.</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Separate due, dispute, activity, assignment, and settlement states.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Deposits and customer credits</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Deposits, retainers, prepaid balances, wallet/credit usage, expiry rules.</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Explicit unapplied balance and application/refund chain.</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Multi-currency collection</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Settlement currency, rates, fees, gains/losses, and cross-currency allocation.</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Preserve currency/rate/value dates and source ownership.</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Multi-entity / shared service</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Central collection for several entities, branches, brands, or franchises.</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Explicit legal owner, collecting entity, due-to/from, and cash-account scope.</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Advanced remittance</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Routes, field collectors, tills, deposits, armored pickup, and custody checkpoints.</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Custody events, verifier controls, tender detail, and MDS-700 linkage.</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Provider ecosystem</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Cards, wallets, QR, gateways, open banking, and marketplace settlement.</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Adapter contracts, provider identity, clearing status, fees, and reconciliation.</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AI collection advisor</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Matching, priority, promise risk, anomaly, and communication assistance.</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Permission-safe, explainable, human-controlled, auditable assistance.</w:t>
            </w:r>
          </w:p>
        </w:tc>
      </w:tr>
    </w:tbl>
    <w:p>
      <w:pPr>
        <w:spacing w:after="0"/>
      </w:pPr>
    </w:p>
    <w:p>
      <w:pPr>
        <w:pStyle w:val="Heading1"/>
      </w:pPr>
      <w:r>
        <w:t>20. Success Indicators</w:t>
      </w:r>
    </w:p>
    <w:tbl>
      <w:tblPr>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Indicator</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Desired evidence</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Time to receipt</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 target SME user records a basic customer payment quickly with minimal training.</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First-time correctness</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Low rework and clear prevention of customer, amount, application, method, account, and duplicate errors.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Receipt trust</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Every issued receipt has one durable identity and reconciles to tender, application, cash, and audit evidence.</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Settlement trust</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Open balances and customer ledgers reconcile to valid applications at matching as-of scope.</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Transaction integrity</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No duplicate or hidden partial receipt, application, cash, or open-item effect under tested failure/retry.</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Remittance accountability</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Expected, actual, variance, evidence, custody, and resolution remain explainable.</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Actionability</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Due, overdue, unapplied, failed, and variance conditions reach the correct user and destination.</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Performance</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Common entry, posting, history, ledger, and inquiry operations meet approved response targets.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Adoption</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Users rely on Collections &amp; Receipts instead of parallel receipt books or informal ledgers where digital use is intended.</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Extensibility</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New methods, providers, editions, and ERP capabilities activate without creating a second collection architecture.</w:t>
            </w:r>
          </w:p>
        </w:tc>
      </w:tr>
    </w:tbl>
    <w:p>
      <w:pPr>
        <w:spacing w:after="0"/>
      </w:pPr>
    </w:p>
    <w:p>
      <w:pPr>
        <w:pStyle w:val="Heading2"/>
        <w:pageBreakBefore/>
      </w:pPr>
      <w:r>
        <w:t>20.1 Module Acceptance Criteria</w:t>
      </w:r>
    </w:p>
    <w:p>
      <w:r>
        <w:rPr>
          <w:rFonts w:ascii="Calibri" w:hAnsi="Calibri" w:eastAsia="Calibri"/>
          <w:color w:val="111827"/>
        </w:rPr>
        <w:t>MDS-300 is considered implemented only when the product can demonstrate that:</w:t>
      </w:r>
    </w:p>
    <w:p>
      <w:pPr>
        <w:numPr>
          <w:ilvl w:val="0"/>
          <w:numId w:val="10"/>
        </w:numPr>
        <w:spacing w:after="80" w:line="300" w:lineRule="auto"/>
      </w:pPr>
      <w:r>
        <w:rPr>
          <w:rFonts w:ascii="Calibri" w:hAnsi="Calibri" w:eastAsia="Calibri"/>
          <w:color w:val="111827"/>
          <w:sz w:val="21"/>
        </w:rPr>
        <w:t>An authorized user can post a basic customer collection and issue one durable receipt.</w:t>
      </w:r>
    </w:p>
    <w:p>
      <w:pPr>
        <w:numPr>
          <w:ilvl w:val="0"/>
          <w:numId w:val="10"/>
        </w:numPr>
        <w:spacing w:after="80" w:line="300" w:lineRule="auto"/>
      </w:pPr>
      <w:r>
        <w:rPr>
          <w:rFonts w:ascii="Calibri" w:hAnsi="Calibri" w:eastAsia="Calibri"/>
          <w:color w:val="111827"/>
          <w:sz w:val="21"/>
        </w:rPr>
        <w:t>One receipt can be partially or fully applied to one or more valid MDS-200 open items.</w:t>
      </w:r>
    </w:p>
    <w:p>
      <w:pPr>
        <w:numPr>
          <w:ilvl w:val="0"/>
          <w:numId w:val="10"/>
        </w:numPr>
        <w:spacing w:after="80" w:line="300" w:lineRule="auto"/>
      </w:pPr>
      <w:r>
        <w:rPr>
          <w:rFonts w:ascii="Calibri" w:hAnsi="Calibri" w:eastAsia="Calibri"/>
          <w:color w:val="111827"/>
          <w:sz w:val="21"/>
        </w:rPr>
        <w:t>A remaining amount is retained explicitly as advance/unapplied customer money.</w:t>
      </w:r>
    </w:p>
    <w:p>
      <w:pPr>
        <w:numPr>
          <w:ilvl w:val="0"/>
          <w:numId w:val="10"/>
        </w:numPr>
        <w:spacing w:after="80" w:line="300" w:lineRule="auto"/>
      </w:pPr>
      <w:r>
        <w:rPr>
          <w:rFonts w:ascii="Calibri" w:hAnsi="Calibri" w:eastAsia="Calibri"/>
          <w:color w:val="111827"/>
          <w:sz w:val="21"/>
        </w:rPr>
        <w:t>MDS-200 settlement and MDS-700 cash effects reconcile to the receipt/application chain exactly once.</w:t>
      </w:r>
    </w:p>
    <w:p>
      <w:pPr>
        <w:numPr>
          <w:ilvl w:val="0"/>
          <w:numId w:val="10"/>
        </w:numPr>
        <w:spacing w:after="80" w:line="300" w:lineRule="auto"/>
      </w:pPr>
      <w:r>
        <w:rPr>
          <w:rFonts w:ascii="Calibri" w:hAnsi="Calibri" w:eastAsia="Calibri"/>
          <w:color w:val="111827"/>
          <w:sz w:val="21"/>
        </w:rPr>
        <w:t>Receipt, application, payment-instrument, remittance, and receivable statuses remain distinct and correct.</w:t>
      </w:r>
    </w:p>
    <w:p>
      <w:pPr>
        <w:numPr>
          <w:ilvl w:val="0"/>
          <w:numId w:val="10"/>
        </w:numPr>
        <w:spacing w:after="80" w:line="300" w:lineRule="auto"/>
      </w:pPr>
      <w:r>
        <w:rPr>
          <w:rFonts w:ascii="Calibri" w:hAnsi="Calibri" w:eastAsia="Calibri"/>
          <w:color w:val="111827"/>
          <w:sz w:val="21"/>
        </w:rPr>
        <w:t>A posted receipt cannot be physically deleted or silently edited; void/reversal preserves the complete chain.</w:t>
      </w:r>
    </w:p>
    <w:p>
      <w:pPr>
        <w:numPr>
          <w:ilvl w:val="0"/>
          <w:numId w:val="10"/>
        </w:numPr>
        <w:spacing w:after="80" w:line="300" w:lineRule="auto"/>
      </w:pPr>
      <w:r>
        <w:rPr>
          <w:rFonts w:ascii="Calibri" w:hAnsi="Calibri" w:eastAsia="Calibri"/>
          <w:color w:val="111827"/>
          <w:sz w:val="21"/>
        </w:rPr>
        <w:t>Failed instruments restore settlement and cash effects without losing the original evidence.</w:t>
      </w:r>
    </w:p>
    <w:p>
      <w:pPr>
        <w:numPr>
          <w:ilvl w:val="0"/>
          <w:numId w:val="10"/>
        </w:numPr>
        <w:spacing w:after="80" w:line="300" w:lineRule="auto"/>
      </w:pPr>
      <w:r>
        <w:rPr>
          <w:rFonts w:ascii="Calibri" w:hAnsi="Calibri" w:eastAsia="Calibri"/>
          <w:color w:val="111827"/>
          <w:sz w:val="21"/>
        </w:rPr>
        <w:t>Cash remittance identifies accountable receipts and exposes rather than hides shortage or overage.</w:t>
      </w:r>
    </w:p>
    <w:p>
      <w:pPr>
        <w:numPr>
          <w:ilvl w:val="0"/>
          <w:numId w:val="10"/>
        </w:numPr>
        <w:spacing w:after="80" w:line="300" w:lineRule="auto"/>
      </w:pPr>
      <w:r>
        <w:rPr>
          <w:rFonts w:ascii="Calibri" w:hAnsi="Calibri" w:eastAsia="Calibri"/>
          <w:color w:val="111827"/>
          <w:sz w:val="21"/>
        </w:rPr>
        <w:t>Other Receipts require governed source classification and cannot settle customer receivables.</w:t>
      </w:r>
    </w:p>
    <w:p>
      <w:pPr>
        <w:numPr>
          <w:ilvl w:val="0"/>
          <w:numId w:val="10"/>
        </w:numPr>
        <w:spacing w:after="80" w:line="300" w:lineRule="auto"/>
      </w:pPr>
      <w:r>
        <w:rPr>
          <w:rFonts w:ascii="Calibri" w:hAnsi="Calibri" w:eastAsia="Calibri"/>
          <w:color w:val="111827"/>
          <w:sz w:val="21"/>
        </w:rPr>
        <w:t>Duplicate, retry, timeout, concurrent, webhook, and cross-module failure scenarios preserve one conclusive result.</w:t>
      </w:r>
    </w:p>
    <w:p>
      <w:pPr>
        <w:numPr>
          <w:ilvl w:val="0"/>
          <w:numId w:val="10"/>
        </w:numPr>
        <w:spacing w:after="80" w:line="300" w:lineRule="auto"/>
      </w:pPr>
      <w:r>
        <w:rPr>
          <w:rFonts w:ascii="Calibri" w:hAnsi="Calibri" w:eastAsia="Calibri"/>
          <w:color w:val="111827"/>
          <w:sz w:val="21"/>
        </w:rPr>
        <w:t>Customer Ledger, reports, Dashboard, receivables, cash accounts, remittances, and audit evidence reconcile for matching scope.</w:t>
      </w:r>
    </w:p>
    <w:p>
      <w:pPr>
        <w:numPr>
          <w:ilvl w:val="0"/>
          <w:numId w:val="10"/>
        </w:numPr>
        <w:spacing w:after="80" w:line="300" w:lineRule="auto"/>
      </w:pPr>
      <w:r>
        <w:rPr>
          <w:rFonts w:ascii="Calibri" w:hAnsi="Calibri" w:eastAsia="Calibri"/>
          <w:color w:val="111827"/>
          <w:sz w:val="21"/>
        </w:rPr>
        <w:t>Role, tenant, branch, assignment, amount, method/account, print/export, deep-link, API, and entitlement controls pass.</w:t>
      </w:r>
    </w:p>
    <w:p>
      <w:pPr>
        <w:numPr>
          <w:ilvl w:val="0"/>
          <w:numId w:val="10"/>
        </w:numPr>
        <w:spacing w:after="80" w:line="300" w:lineRule="auto"/>
      </w:pPr>
      <w:r>
        <w:rPr>
          <w:rFonts w:ascii="Calibri" w:hAnsi="Calibri" w:eastAsia="Calibri"/>
          <w:color w:val="111827"/>
          <w:sz w:val="21"/>
        </w:rPr>
        <w:t>The workspace meets responsive, accessibility, localization, privacy, and safe-state requirements.</w:t>
      </w:r>
    </w:p>
    <w:p>
      <w:pPr>
        <w:numPr>
          <w:ilvl w:val="0"/>
          <w:numId w:val="10"/>
        </w:numPr>
        <w:spacing w:after="80" w:line="300" w:lineRule="auto"/>
      </w:pPr>
      <w:r>
        <w:rPr>
          <w:rFonts w:ascii="Calibri" w:hAnsi="Calibri" w:eastAsia="Calibri"/>
          <w:color w:val="111827"/>
          <w:sz w:val="21"/>
        </w:rPr>
        <w:t>The complete non-AI workflow remains correct and usable.</w:t>
      </w:r>
    </w:p>
    <w:p>
      <w:pPr>
        <w:pageBreakBefore/>
        <w:spacing w:before="920" w:after="100"/>
      </w:pPr>
      <w:r>
        <w:rPr>
          <w:rFonts w:ascii="Calibri" w:hAnsi="Calibri" w:eastAsia="Calibri"/>
          <w:b/>
          <w:color w:val="F59E0B"/>
          <w:sz w:val="20"/>
        </w:rPr>
        <w:t>PART V</w:t>
      </w:r>
    </w:p>
    <w:p>
      <w:pPr>
        <w:spacing w:after="160"/>
      </w:pPr>
      <w:r>
        <w:rPr>
          <w:rFonts w:ascii="Calibri" w:hAnsi="Calibri" w:eastAsia="Calibri"/>
          <w:b/>
          <w:color w:val="0B2545"/>
          <w:sz w:val="50"/>
        </w:rPr>
        <w:t>Formal Design Authority</w:t>
      </w:r>
    </w:p>
    <w:p>
      <w:pPr>
        <w:spacing w:after="360"/>
        <w:pBdr>
          <w:bottom w:val="single" w:sz="8" w:space="5" w:color="E8EEF5"/>
        </w:pBdr>
      </w:pPr>
      <w:r>
        <w:rPr>
          <w:rFonts w:ascii="Calibri" w:hAnsi="Calibri" w:eastAsia="Calibri"/>
          <w:color w:val="5B6573"/>
          <w:sz w:val="24"/>
        </w:rPr>
        <w:t>The definitive statement of MDS-300 purpose, ownership, control, and integration.</w:t>
      </w:r>
    </w:p>
    <w:p>
      <w:pPr>
        <w:pStyle w:val="Heading1"/>
      </w:pPr>
      <w:r>
        <w:t>21. Module Design Statement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4F8FC" w:val="clear"/>
          </w:tcPr>
          <w:p>
            <w:pPr>
              <w:spacing w:after="0"/>
            </w:pPr>
            <w:r>
              <w:rPr>
                <w:rFonts w:ascii="Calibri" w:hAnsi="Calibri" w:eastAsia="Calibri"/>
                <w:b/>
                <w:color w:val="1D4ED8"/>
                <w:sz w:val="19"/>
              </w:rPr>
              <w:t xml:space="preserve">MDS-300 DESIGN STATEMENT  </w:t>
            </w:r>
            <w:r>
              <w:rPr>
                <w:rFonts w:ascii="Calibri" w:hAnsi="Calibri" w:eastAsia="Calibri"/>
                <w:b/>
                <w:color w:val="0B2545"/>
                <w:sz w:val="20"/>
              </w:rPr>
              <w:t>The SimpleBIZ One Collections &amp; Receipts module is the authoritative source for money received from a payer and how that money was applied. It owns payment receipts, receipt tenders, payment applications, advance and unapplied customer money, receipt corrections, customer collection activity, the governed Customer Ledger projection, cash remittances, remittance variances, and controlled Other Receipts. It shall provide a simple user experience while preserving amount, payer, method, source, allocation, approval, status, correction, security, and audit. Sales and receivables remain owned by MDS-200; outgoing refunds by MDS-500; cash movements and balances by MDS-700; and shared registries, settings, and consolidated reports by their respective modules.</w:t>
            </w:r>
          </w:p>
        </w:tc>
      </w:tr>
    </w:tbl>
    <w:p>
      <w:pPr>
        <w:spacing w:after="0"/>
      </w:pPr>
    </w:p>
    <w:p>
      <w:r>
        <w:rPr>
          <w:rFonts w:ascii="Calibri" w:hAnsi="Calibri" w:eastAsia="Calibri"/>
          <w:color w:val="111827"/>
        </w:rPr>
        <w:t>This statement controls later UI, API, database, test, report, integration, and AI designs. A proposed feature that creates a competing receipt, application, receivable, customer ledger, cash balance, remittance, registry, configuration, or reporting source requires explicit architectural review.</w:t>
      </w:r>
    </w:p>
    <w:p>
      <w:pPr>
        <w:pageBreakBefore/>
        <w:spacing w:before="920" w:after="100"/>
      </w:pPr>
      <w:r>
        <w:rPr>
          <w:rFonts w:ascii="Calibri" w:hAnsi="Calibri" w:eastAsia="Calibri"/>
          <w:b/>
          <w:color w:val="F59E0B"/>
          <w:sz w:val="20"/>
        </w:rPr>
        <w:t>PART VI</w:t>
      </w:r>
    </w:p>
    <w:p>
      <w:pPr>
        <w:spacing w:after="160"/>
      </w:pPr>
      <w:r>
        <w:rPr>
          <w:rFonts w:ascii="Calibri" w:hAnsi="Calibri" w:eastAsia="Calibri"/>
          <w:b/>
          <w:color w:val="0B2545"/>
          <w:sz w:val="50"/>
        </w:rPr>
        <w:t>Appendices</w:t>
      </w:r>
    </w:p>
    <w:p>
      <w:pPr>
        <w:spacing w:after="360"/>
        <w:pBdr>
          <w:bottom w:val="single" w:sz="8" w:space="5" w:color="E8EEF5"/>
        </w:pBdr>
      </w:pPr>
      <w:r>
        <w:rPr>
          <w:rFonts w:ascii="Calibri" w:hAnsi="Calibri" w:eastAsia="Calibri"/>
          <w:color w:val="5B6573"/>
          <w:sz w:val="24"/>
        </w:rPr>
        <w:t>Ownership, status, event, traceability, UI, legacy-continuity, and review reference catalogs.</w:t>
      </w:r>
    </w:p>
    <w:p>
      <w:pPr>
        <w:pStyle w:val="Heading1"/>
      </w:pPr>
      <w:r>
        <w:t>Appendix A — Functional Ownership Matrix</w:t>
      </w:r>
    </w:p>
    <w:tbl>
      <w:tblPr>
        <w:tblW w:type="dxa" w:w="9360"/>
        <w:jc w:val="left"/>
        <w:tblLayout w:type="fixed"/>
        <w:tblLook w:firstColumn="1" w:firstRow="1" w:lastColumn="0" w:lastRow="0" w:noHBand="0" w:noVBand="1" w:val="04A0"/>
        <w:tblInd w:w="120" w:type="dxa"/>
      </w:tblPr>
      <w:tblGrid>
        <w:gridCol w:w="2600"/>
        <w:gridCol w:w="2860"/>
        <w:gridCol w:w="3900"/>
      </w:tblGrid>
      <w:tr>
        <w:trPr>
          <w:cantSplit/>
          <w:tblHeader w:val="true"/>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Capability</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Authoritative owner</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Permitted MDS-300 entry/display</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Sale / customer charge</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Related source, paid-now orchestration, and drill-down.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Receivable / due date / aging</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Open-item selection, due/overdue attention, and resulting settlement.</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Customer collection</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Primary action and history.</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Payment receipt / tender</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Primary record and configured output.</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Payment application</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Primary action, available amount, and reversal.</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Advance / unapplied customer money</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Balance, later application, or refund handoff.</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Customer Ledger projection</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Primary ledger view using MDS-200 source charges.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Cash remittance / variance</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Primary preparation, submission, verification, and history.</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Cash-account movement / balance</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MDS-700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Select/link account and show posted effect; no competing balance.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Customer refund execution</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MDS-500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Initiate authorized handoff and show resulting payment status.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Other Receipt evidence</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Primary action; source meaning remains with configured owner.</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Customer / account / method / reference</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MDS-1000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Select or contextual quick-create where authorized.</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Collection settings / roles</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MDS-1100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Consume/enforce and link to authorized setup.</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Cash flow / P&amp;L / cross-module analysis</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MDS-900</w:t>
            </w:r>
          </w:p>
        </w:tc>
        <w:tc>
          <w:tcPr>
            <w:tcW w:type="dxa" w:w="3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Report shortcut and drill-down context.</w:t>
            </w:r>
          </w:p>
        </w:tc>
      </w:tr>
    </w:tbl>
    <w:p>
      <w:pPr>
        <w:spacing w:after="0"/>
      </w:pPr>
    </w:p>
    <w:p>
      <w:pPr>
        <w:pStyle w:val="Heading1"/>
      </w:pPr>
      <w:r>
        <w:t>Appendix B — Document and Status Catalog</w:t>
      </w:r>
    </w:p>
    <w:tbl>
      <w:tblPr>
        <w:tblW w:type="dxa" w:w="9360"/>
        <w:jc w:val="left"/>
        <w:tblLayout w:type="fixed"/>
        <w:tblLook w:firstColumn="1" w:firstRow="1" w:lastColumn="0" w:lastRow="0" w:noHBand="0" w:noVBand="1" w:val="04A0"/>
        <w:tblInd w:w="120" w:type="dxa"/>
      </w:tblPr>
      <w:tblGrid>
        <w:gridCol w:w="2300"/>
        <w:gridCol w:w="4950"/>
        <w:gridCol w:w="2110"/>
      </w:tblGrid>
      <w:tr>
        <w:trPr>
          <w:cantSplit/>
          <w:tblHeader w:val="true"/>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Document / record</w:t>
            </w:r>
          </w:p>
        </w:tc>
        <w:tc>
          <w:tcPr>
            <w:tcW w:type="dxa" w:w="49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Lifecycle status</w:t>
            </w:r>
          </w:p>
        </w:tc>
        <w:tc>
          <w:tcPr>
            <w:tcW w:type="dxa" w:w="21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Independent amount effect?</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Payment Receipt</w:t>
            </w:r>
          </w:p>
        </w:tc>
        <w:tc>
          <w:tcPr>
            <w:tcW w:type="dxa" w:w="49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Draft; For Approval; Approved; Posted; Voided; Reversed; Failed</w:t>
            </w:r>
          </w:p>
        </w:tc>
        <w:tc>
          <w:tcPr>
            <w:tcW w:type="dxa" w:w="21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Yes, when posted.</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Receipt Tender</w:t>
            </w:r>
          </w:p>
        </w:tc>
        <w:tc>
          <w:tcPr>
            <w:tcW w:type="dxa" w:w="49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Pending; Confirmed; Cleared; Failed; Returned; Reversed</w:t>
            </w:r>
          </w:p>
        </w:tc>
        <w:tc>
          <w:tcPr>
            <w:tcW w:type="dxa" w:w="21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Supports receipt/cash effect according to method.</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Payment Application</w:t>
            </w:r>
          </w:p>
        </w:tc>
        <w:tc>
          <w:tcPr>
            <w:tcW w:type="dxa" w:w="49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Unapplied; Partially Applied; Fully Applied; Reversed</w:t>
            </w:r>
          </w:p>
        </w:tc>
        <w:tc>
          <w:tcPr>
            <w:tcW w:type="dxa" w:w="21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Yes, reduces/restores MDS-200 open balance.</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Advance / Unapplied Balance</w:t>
            </w:r>
          </w:p>
        </w:tc>
        <w:tc>
          <w:tcPr>
            <w:tcW w:type="dxa" w:w="49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Available; Partially Applied; Fully Applied; Refunded; Reversed</w:t>
            </w:r>
          </w:p>
        </w:tc>
        <w:tc>
          <w:tcPr>
            <w:tcW w:type="dxa" w:w="21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Represents customer money available for later action.</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Cash Remittance</w:t>
            </w:r>
          </w:p>
        </w:tc>
        <w:tc>
          <w:tcPr>
            <w:tcW w:type="dxa" w:w="49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Draft; Submitted; Verified; With Variance; Accepted; Rejected; Reversed</w:t>
            </w:r>
          </w:p>
        </w:tc>
        <w:tc>
          <w:tcPr>
            <w:tcW w:type="dxa" w:w="21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Custody/reconciliation; cash movement remains MDS-700.</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Remittance Variance</w:t>
            </w:r>
          </w:p>
        </w:tc>
        <w:tc>
          <w:tcPr>
            <w:tcW w:type="dxa" w:w="49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Open; Under Review; Explained; Approved; Recovered; Written Off; Reversed</w:t>
            </w:r>
          </w:p>
        </w:tc>
        <w:tc>
          <w:tcPr>
            <w:tcW w:type="dxa" w:w="21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No silent receipt effect.</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Other Receipt</w:t>
            </w:r>
          </w:p>
        </w:tc>
        <w:tc>
          <w:tcPr>
            <w:tcW w:type="dxa" w:w="49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Draft; For Approval; Approved; Posted; Cancelled; Reversed; Failed</w:t>
            </w:r>
          </w:p>
        </w:tc>
        <w:tc>
          <w:tcPr>
            <w:tcW w:type="dxa" w:w="21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Yes to cash inflow; source meaning by configured owner.</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Collection Activity</w:t>
            </w:r>
          </w:p>
        </w:tc>
        <w:tc>
          <w:tcPr>
            <w:tcW w:type="dxa" w:w="49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Planned; Due; Contacted; Promise; Disputed; Escalated; Resolved; Cancelled</w:t>
            </w:r>
          </w:p>
        </w:tc>
        <w:tc>
          <w:tcPr>
            <w:tcW w:type="dxa" w:w="21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No.</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Customer Refund</w:t>
            </w:r>
          </w:p>
        </w:tc>
        <w:tc>
          <w:tcPr>
            <w:tcW w:type="dxa" w:w="49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Defined by MDS-500</w:t>
            </w:r>
          </w:p>
        </w:tc>
        <w:tc>
          <w:tcPr>
            <w:tcW w:type="dxa" w:w="21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Outgoing effect; not owned by MDS-300.</w:t>
            </w:r>
          </w:p>
        </w:tc>
      </w:tr>
    </w:tbl>
    <w:p>
      <w:pPr>
        <w:spacing w:after="0"/>
      </w:pPr>
    </w:p>
    <w:p>
      <w:pPr>
        <w:pStyle w:val="Heading1"/>
      </w:pPr>
      <w:r>
        <w:t>Appendix C — Event Subscriber Matrix</w:t>
      </w:r>
    </w:p>
    <w:tbl>
      <w:tblPr>
        <w:tblW w:type="dxa" w:w="9360"/>
        <w:jc w:val="left"/>
        <w:tblLayout w:type="fixed"/>
        <w:tblLook w:firstColumn="1" w:firstRow="1" w:lastColumn="0" w:lastRow="0" w:noHBand="0" w:noVBand="1" w:val="04A0"/>
        <w:tblInd w:w="120" w:type="dxa"/>
      </w:tblPr>
      <w:tblGrid>
        <w:gridCol w:w="3300"/>
        <w:gridCol w:w="6060"/>
      </w:tblGrid>
      <w:tr>
        <w:trPr>
          <w:cantSplit/>
          <w:tblHeader w:val="true"/>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MDS-300 event</w:t>
            </w:r>
          </w:p>
        </w:tc>
        <w:tc>
          <w:tcPr>
            <w:tcW w:type="dxa" w:w="6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Initial subscribers / effects</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Receipt Posted</w:t>
            </w:r>
          </w:p>
        </w:tc>
        <w:tc>
          <w:tcPr>
            <w:tcW w:type="dxa" w:w="6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MDS-700 cash effect; Customer Ledger; Dashboard; reports; Recent Activity; audit.</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Payment Applied</w:t>
            </w:r>
          </w:p>
        </w:tc>
        <w:tc>
          <w:tcPr>
            <w:tcW w:type="dxa" w:w="6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MDS-200 open balance/settlement; Customer Ledger; aging; attention resolution; reports.</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Advance / Unapplied Created</w:t>
            </w:r>
          </w:p>
        </w:tc>
        <w:tc>
          <w:tcPr>
            <w:tcW w:type="dxa" w:w="6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Customer Ledger; attention; Dashboard/report; later application/refund context.</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Application Reversed</w:t>
            </w:r>
          </w:p>
        </w:tc>
        <w:tc>
          <w:tcPr>
            <w:tcW w:type="dxa" w:w="6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MDS-200 restores open balance; ledger/report/attention refresh.</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Receipt Reversed / Instrument Failed</w:t>
            </w:r>
          </w:p>
        </w:tc>
        <w:tc>
          <w:tcPr>
            <w:tcW w:type="dxa" w:w="6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MDS-700 cash/clearing reversal; MDS-200 settlement restoration; notifications/activity.</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Remittance Submitted / Verified</w:t>
            </w:r>
          </w:p>
        </w:tc>
        <w:tc>
          <w:tcPr>
            <w:tcW w:type="dxa" w:w="6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MDS-700 custody/account link; supervisor/custodian task; reports/activity.</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Remittance Variance</w:t>
            </w:r>
          </w:p>
        </w:tc>
        <w:tc>
          <w:tcPr>
            <w:tcW w:type="dxa" w:w="6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Needs Attention; Action Center; authorized notification; variance report.</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Other Receipt Posted</w:t>
            </w:r>
          </w:p>
        </w:tc>
        <w:tc>
          <w:tcPr>
            <w:tcW w:type="dxa" w:w="6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MDS-700 cash in; configured source owner; reports/activity/audit.</w:t>
            </w:r>
          </w:p>
        </w:tc>
      </w:tr>
      <w:tr>
        <w:trPr>
          <w:cantSplit/>
        </w:trPr>
        <w:tc>
          <w:tcPr>
            <w:tcW w:type="dxa" w:w="3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Collection Activity Recorded</w:t>
            </w:r>
          </w:p>
        </w:tc>
        <w:tc>
          <w:tcPr>
            <w:tcW w:type="dxa" w:w="6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Assignment/promise/dispute attention; authorized timeline; Dashboard context.</w:t>
            </w:r>
          </w:p>
        </w:tc>
      </w:tr>
    </w:tbl>
    <w:p>
      <w:pPr>
        <w:spacing w:after="0"/>
      </w:pPr>
    </w:p>
    <w:p>
      <w:pPr>
        <w:pStyle w:val="Heading1"/>
      </w:pPr>
      <w:r>
        <w:t>Appendix D — Requirement Traceability Summary</w:t>
      </w:r>
    </w:p>
    <w:tbl>
      <w:tblPr>
        <w:tblW w:type="dxa" w:w="9360"/>
        <w:jc w:val="left"/>
        <w:tblLayout w:type="fixed"/>
        <w:tblLook w:firstColumn="1" w:firstRow="1" w:lastColumn="0" w:lastRow="0" w:noHBand="0" w:noVBand="1" w:val="04A0"/>
        <w:tblInd w:w="120" w:type="dxa"/>
      </w:tblPr>
      <w:tblGrid>
        <w:gridCol w:w="3100"/>
        <w:gridCol w:w="6260"/>
      </w:tblGrid>
      <w:tr>
        <w:trPr>
          <w:cantSplit/>
          <w:tblHeader w:val="true"/>
        </w:trPr>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MDS area</w:t>
            </w:r>
          </w:p>
        </w:tc>
        <w:tc>
          <w:tcPr>
            <w:tcW w:type="dxa" w:w="6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Required downstream evidence</w:t>
            </w:r>
          </w:p>
        </w:tc>
      </w:tr>
      <w:tr>
        <w:trPr>
          <w:cantSplit/>
        </w:trPr>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Workspace hierarchy</w:t>
            </w:r>
          </w:p>
        </w:tc>
        <w:tc>
          <w:tcPr>
            <w:tcW w:type="dxa" w:w="6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UID-300, WF-COL-001, UI-COL-001, and SCR-COL screen specifications.</w:t>
            </w:r>
          </w:p>
        </w:tc>
      </w:tr>
      <w:tr>
        <w:trPr>
          <w:cantSplit/>
        </w:trPr>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Receipt entry and totals</w:t>
            </w:r>
          </w:p>
        </w:tc>
        <w:tc>
          <w:tcPr>
            <w:tcW w:type="dxa" w:w="6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MDD/DBS entities, API validation/calculation contract, UI states, and TST amount cases.</w:t>
            </w:r>
          </w:p>
        </w:tc>
      </w:tr>
      <w:tr>
        <w:trPr>
          <w:cantSplit/>
        </w:trPr>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Posting and duplicate protection</w:t>
            </w:r>
          </w:p>
        </w:tc>
        <w:tc>
          <w:tcPr>
            <w:tcW w:type="dxa" w:w="6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Core transaction template, idempotency/provider identity, rollback/retry tests, and status verification.</w:t>
            </w:r>
          </w:p>
        </w:tc>
      </w:tr>
      <w:tr>
        <w:trPr>
          <w:cantSplit/>
        </w:trPr>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Payment application</w:t>
            </w:r>
          </w:p>
        </w:tc>
        <w:tc>
          <w:tcPr>
            <w:tcW w:type="dxa" w:w="6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Open-item query/version contract, allocation model, concurrency control, and settlement reconciliation tests.</w:t>
            </w:r>
          </w:p>
        </w:tc>
      </w:tr>
      <w:tr>
        <w:trPr>
          <w:cantSplit/>
        </w:trPr>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Unapplied / advance money</w:t>
            </w:r>
          </w:p>
        </w:tc>
        <w:tc>
          <w:tcPr>
            <w:tcW w:type="dxa" w:w="6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Customer-credit data model, application/refund chain, aging/attention, and balance tests.</w:t>
            </w:r>
          </w:p>
        </w:tc>
      </w:tr>
      <w:tr>
        <w:trPr>
          <w:cantSplit/>
        </w:trPr>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Void/reversal/failed instrument</w:t>
            </w:r>
          </w:p>
        </w:tc>
        <w:tc>
          <w:tcPr>
            <w:tcW w:type="dxa" w:w="6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Permission/approval matrix, effect reversal contract, customer/open-item restoration, and audit tests.</w:t>
            </w:r>
          </w:p>
        </w:tc>
      </w:tr>
      <w:tr>
        <w:trPr>
          <w:cantSplit/>
        </w:trPr>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Cash remittance and variance</w:t>
            </w:r>
          </w:p>
        </w:tc>
        <w:tc>
          <w:tcPr>
            <w:tcW w:type="dxa" w:w="6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Accountable-scope query, custody workflow, MDS-700 linkage, segregation, and variance-resolution tests.</w:t>
            </w:r>
          </w:p>
        </w:tc>
      </w:tr>
      <w:tr>
        <w:trPr>
          <w:cantSplit/>
        </w:trPr>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Other Receipts</w:t>
            </w:r>
          </w:p>
        </w:tc>
        <w:tc>
          <w:tcPr>
            <w:tcW w:type="dxa" w:w="6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Governed type catalog, source-owner routing, classification, approval, and bypass-prevention tests.</w:t>
            </w:r>
          </w:p>
        </w:tc>
      </w:tr>
      <w:tr>
        <w:trPr>
          <w:cantSplit/>
        </w:trPr>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Security/privacy</w:t>
            </w:r>
          </w:p>
        </w:tc>
        <w:tc>
          <w:tcPr>
            <w:tcW w:type="dxa" w:w="6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Access matrix, field/record scope, receipt URL, payment-data rules, export/print/share, and security tests.</w:t>
            </w:r>
          </w:p>
        </w:tc>
      </w:tr>
      <w:tr>
        <w:trPr>
          <w:cantSplit/>
        </w:trPr>
        <w:tc>
          <w:tcPr>
            <w:tcW w:type="dxa" w:w="3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Edition and AI behavior</w:t>
            </w:r>
          </w:p>
        </w:tc>
        <w:tc>
          <w:tcPr>
            <w:tcW w:type="dxa" w:w="6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Entitlement keys, locked-state/API enforcement, human control, audit, and non-AI fallback tests.</w:t>
            </w:r>
          </w:p>
        </w:tc>
      </w:tr>
    </w:tbl>
    <w:p>
      <w:pPr>
        <w:spacing w:after="0"/>
      </w:pPr>
    </w:p>
    <w:p>
      <w:pPr>
        <w:pStyle w:val="Heading1"/>
      </w:pPr>
      <w:r>
        <w:t>Appendix E — Current UI Baseline</w:t>
      </w:r>
    </w:p>
    <w:p>
      <w:pPr>
        <w:numPr>
          <w:ilvl w:val="0"/>
          <w:numId w:val="10"/>
        </w:numPr>
        <w:spacing w:after="80" w:line="300" w:lineRule="auto"/>
      </w:pPr>
      <w:r>
        <w:rPr>
          <w:rFonts w:ascii="Calibri" w:hAnsi="Calibri" w:eastAsia="Calibri"/>
          <w:color w:val="111827"/>
          <w:sz w:val="21"/>
        </w:rPr>
        <w:t>Official workspace name: Collections &amp; Receipts.</w:t>
      </w:r>
    </w:p>
    <w:p>
      <w:pPr>
        <w:numPr>
          <w:ilvl w:val="0"/>
          <w:numId w:val="10"/>
        </w:numPr>
        <w:spacing w:after="80" w:line="300" w:lineRule="auto"/>
      </w:pPr>
      <w:r>
        <w:rPr>
          <w:rFonts w:ascii="Calibri" w:hAnsi="Calibri" w:eastAsia="Calibri"/>
          <w:color w:val="111827"/>
          <w:sz w:val="21"/>
        </w:rPr>
        <w:t>The action-oriented workspace may expose Collections, Customer Ledger, Receipt History, Cash Remittance, and Other Receipts as prominent capabilities.</w:t>
      </w:r>
    </w:p>
    <w:p>
      <w:pPr>
        <w:numPr>
          <w:ilvl w:val="0"/>
          <w:numId w:val="10"/>
        </w:numPr>
        <w:spacing w:after="80" w:line="300" w:lineRule="auto"/>
      </w:pPr>
      <w:r>
        <w:rPr>
          <w:rFonts w:ascii="Calibri" w:hAnsi="Calibri" w:eastAsia="Calibri"/>
          <w:color w:val="111827"/>
          <w:sz w:val="21"/>
        </w:rPr>
        <w:t>Needs Attention, Records &amp; Ledgers, Reports, Recent Activity, and related shortcuts use reusable Core patterns.</w:t>
      </w:r>
    </w:p>
    <w:p>
      <w:pPr>
        <w:numPr>
          <w:ilvl w:val="0"/>
          <w:numId w:val="10"/>
        </w:numPr>
        <w:spacing w:after="80" w:line="300" w:lineRule="auto"/>
      </w:pPr>
      <w:r>
        <w:rPr>
          <w:rFonts w:ascii="Calibri" w:hAnsi="Calibri" w:eastAsia="Calibri"/>
          <w:color w:val="111827"/>
          <w:sz w:val="21"/>
        </w:rPr>
        <w:t>A customer collection may start from Sales, Customer Ledger, Dashboard, billing statement, due/overdue attention, or the Collections workspace through Multiple UI Entry Points.</w:t>
      </w:r>
    </w:p>
    <w:p>
      <w:pPr>
        <w:numPr>
          <w:ilvl w:val="0"/>
          <w:numId w:val="10"/>
        </w:numPr>
        <w:spacing w:after="80" w:line="300" w:lineRule="auto"/>
      </w:pPr>
      <w:r>
        <w:rPr>
          <w:rFonts w:ascii="Calibri" w:hAnsi="Calibri" w:eastAsia="Calibri"/>
          <w:color w:val="111827"/>
          <w:sz w:val="21"/>
        </w:rPr>
        <w:t>The UI should make Amount Received, Amount Applied, Unapplied Amount, Method, Cash Account, and Posting Result unmistakable.</w:t>
      </w:r>
    </w:p>
    <w:p>
      <w:pPr>
        <w:numPr>
          <w:ilvl w:val="0"/>
          <w:numId w:val="10"/>
        </w:numPr>
        <w:spacing w:after="80" w:line="300" w:lineRule="auto"/>
      </w:pPr>
      <w:r>
        <w:rPr>
          <w:rFonts w:ascii="Calibri" w:hAnsi="Calibri" w:eastAsia="Calibri"/>
          <w:color w:val="111827"/>
          <w:sz w:val="21"/>
        </w:rPr>
        <w:t>Receipt, application, remittance, and cash-account destinations may appear together while preserving separate functional ownership.</w:t>
      </w:r>
    </w:p>
    <w:p>
      <w:pPr>
        <w:numPr>
          <w:ilvl w:val="0"/>
          <w:numId w:val="10"/>
        </w:numPr>
        <w:spacing w:after="80" w:line="300" w:lineRule="auto"/>
      </w:pPr>
      <w:r>
        <w:rPr>
          <w:rFonts w:ascii="Calibri" w:hAnsi="Calibri" w:eastAsia="Calibri"/>
          <w:color w:val="111827"/>
          <w:sz w:val="21"/>
        </w:rPr>
        <w:t>Exact card placement, iconography, spacing, breakpoints, and screen interactions remain governed by UID/WF/UI/SCR artifacts.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4F8FC" w:val="clear"/>
          </w:tcPr>
          <w:p>
            <w:pPr>
              <w:spacing w:after="0"/>
            </w:pPr>
            <w:r>
              <w:rPr>
                <w:rFonts w:ascii="Calibri" w:hAnsi="Calibri" w:eastAsia="Calibri"/>
                <w:b/>
                <w:color w:val="1D4ED8"/>
                <w:sz w:val="19"/>
              </w:rPr>
              <w:t xml:space="preserve">UI OWNERSHIP RULE  </w:t>
            </w:r>
            <w:r>
              <w:rPr>
                <w:rFonts w:ascii="Calibri" w:hAnsi="Calibri" w:eastAsia="Calibri"/>
                <w:b/>
                <w:color w:val="0B2545"/>
                <w:sz w:val="20"/>
              </w:rPr>
              <w:t>A shortcut changes where the user starts—not which module owns the record, rule, permission, transaction, audit trail, application, or cash balance.</w:t>
            </w:r>
          </w:p>
        </w:tc>
      </w:tr>
    </w:tbl>
    <w:p>
      <w:pPr>
        <w:spacing w:after="0"/>
      </w:pPr>
    </w:p>
    <w:p>
      <w:pPr>
        <w:pStyle w:val="Heading1"/>
      </w:pPr>
      <w:r>
        <w:t>Appendix F — Legacy Functional Continuity</w:t>
      </w:r>
    </w:p>
    <w:p>
      <w:r>
        <w:rPr>
          <w:rFonts w:ascii="Calibri" w:hAnsi="Calibri" w:eastAsia="Calibri"/>
          <w:color w:val="111827"/>
        </w:rPr>
        <w:t>The legacy SimpleBIZ SME Tools screens are historical functional evidence. They demonstrate enduring SME concepts but do not govern the modern web architecture or visual design.</w:t>
      </w:r>
    </w:p>
    <w:tbl>
      <w:tblPr>
        <w:tblW w:type="dxa" w:w="9360"/>
        <w:jc w:val="left"/>
        <w:tblLayout w:type="fixed"/>
        <w:tblLook w:firstColumn="1" w:firstRow="1" w:lastColumn="0" w:lastRow="0" w:noHBand="0" w:noVBand="1" w:val="04A0"/>
        <w:tblInd w:w="120" w:type="dxa"/>
      </w:tblPr>
      <w:tblGrid>
        <w:gridCol w:w="2900"/>
        <w:gridCol w:w="6460"/>
      </w:tblGrid>
      <w:tr>
        <w:trPr>
          <w:cantSplit/>
          <w:tblHeader w:val="true"/>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Legacy capability</w:t>
            </w:r>
          </w:p>
        </w:tc>
        <w:tc>
          <w:tcPr>
            <w:tcW w:type="dxa" w:w="6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Modern disposition</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Receipts &amp; Collection Management</w:t>
            </w:r>
          </w:p>
        </w:tc>
        <w:tc>
          <w:tcPr>
            <w:tcW w:type="dxa" w:w="6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Elevated into standalone MDS-300 Collections &amp; Receipts.</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Cash Sales inside Receipts &amp; Collection</w:t>
            </w:r>
          </w:p>
        </w:tc>
        <w:tc>
          <w:tcPr>
            <w:tcW w:type="dxa" w:w="6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Sale remains MDS-200; payment receipt/application is MDS-300; cash balance is MDS-700.</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Collections from Receivables</w:t>
            </w:r>
          </w:p>
        </w:tc>
        <w:tc>
          <w:tcPr>
            <w:tcW w:type="dxa" w:w="6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Customer Collection and Payment Application against MDS-200 open items.</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Other Receipts</w:t>
            </w:r>
          </w:p>
        </w:tc>
        <w:tc>
          <w:tcPr>
            <w:tcW w:type="dxa" w:w="6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Controlled Other Receipt with governed type, source ownership, classification, approval, and evidence.</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Collection History / Other Receipts History</w:t>
            </w:r>
          </w:p>
        </w:tc>
        <w:tc>
          <w:tcPr>
            <w:tcW w:type="dxa" w:w="6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Searchable Receipt, Application, Other Receipt, and correction histories.</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A/R Customer Ledger</w:t>
            </w:r>
          </w:p>
        </w:tc>
        <w:tc>
          <w:tcPr>
            <w:tcW w:type="dxa" w:w="6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MDS-300 governed Customer Ledger projection using MDS-200 charges.</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Unassigned Collection History</w:t>
            </w:r>
          </w:p>
        </w:tc>
        <w:tc>
          <w:tcPr>
            <w:tcW w:type="dxa" w:w="6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Explicit Unapplied / Advance Receipt availability and later application/refund chain.</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Cash Remittance / Daily Receipts &amp; Remittance</w:t>
            </w:r>
          </w:p>
        </w:tc>
        <w:tc>
          <w:tcPr>
            <w:tcW w:type="dxa" w:w="6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MDS-300 accountable remittance and variance with MDS-700 cash movement.</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Fixed report buttons</w:t>
            </w:r>
          </w:p>
        </w:tc>
        <w:tc>
          <w:tcPr>
            <w:tcW w:type="dxa" w:w="6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Module-owned report definitions and MDS-900 centralized viewing/export/analytics.</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Desktop single-entry navigation</w:t>
            </w:r>
          </w:p>
        </w:tc>
        <w:tc>
          <w:tcPr>
            <w:tcW w:type="dxa" w:w="6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Responsive workspaces, global navigation, and Multiple UI Entry Points.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FF7E6" w:val="clear"/>
          </w:tcPr>
          <w:p>
            <w:pPr>
              <w:spacing w:after="0"/>
            </w:pPr>
            <w:r>
              <w:rPr>
                <w:rFonts w:ascii="Calibri" w:hAnsi="Calibri" w:eastAsia="Calibri"/>
                <w:b/>
                <w:color w:val="F59E0B"/>
                <w:sz w:val="19"/>
              </w:rPr>
              <w:t xml:space="preserve">CONTINUITY PRINCIPLE  </w:t>
            </w:r>
            <w:r>
              <w:rPr>
                <w:rFonts w:ascii="Calibri" w:hAnsi="Calibri" w:eastAsia="Calibri"/>
                <w:b/>
                <w:color w:val="0B2545"/>
                <w:sz w:val="20"/>
              </w:rPr>
              <w:t>Preserve the business lesson; redesign the interface, architecture, controls, and integration for the modern SimpleBIZ One platform.</w:t>
            </w:r>
          </w:p>
        </w:tc>
      </w:tr>
    </w:tbl>
    <w:p>
      <w:pPr>
        <w:spacing w:after="0"/>
      </w:pPr>
    </w:p>
    <w:p>
      <w:pPr>
        <w:pStyle w:val="Heading1"/>
      </w:pPr>
      <w:r>
        <w:t>Appendix G — Review Checklist</w:t>
      </w:r>
    </w:p>
    <w:tbl>
      <w:tblPr>
        <w:tblW w:type="dxa" w:w="9360"/>
        <w:jc w:val="left"/>
        <w:tblLayout w:type="fixed"/>
        <w:tblLook w:firstColumn="1" w:firstRow="1" w:lastColumn="0" w:lastRow="0" w:noHBand="0" w:noVBand="1" w:val="04A0"/>
        <w:tblInd w:w="120" w:type="dxa"/>
      </w:tblPr>
      <w:tblGrid>
        <w:gridCol w:w="4200"/>
        <w:gridCol w:w="5160"/>
      </w:tblGrid>
      <w:tr>
        <w:trPr>
          <w:cantSplit/>
          <w:tblHeader w:val="true"/>
        </w:trPr>
        <w:tc>
          <w:tcPr>
            <w:tcW w:type="dxa" w:w="4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Review question</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Expected evidence</w:t>
            </w:r>
          </w:p>
        </w:tc>
      </w:tr>
      <w:tr>
        <w:trPr>
          <w:cantSplit/>
        </w:trPr>
        <w:tc>
          <w:tcPr>
            <w:tcW w:type="dxa" w:w="4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Is money received recorded once?</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One authoritative receipt with tender, provider/reference, cash effect, and duplicate protection.</w:t>
            </w:r>
          </w:p>
        </w:tc>
      </w:tr>
      <w:tr>
        <w:trPr>
          <w:cantSplit/>
        </w:trPr>
        <w:tc>
          <w:tcPr>
            <w:tcW w:type="dxa" w:w="4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Is application ownership clear?</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MDS-300 application; MDS-200 open item; no competing receivable or cash balance.</w:t>
            </w:r>
          </w:p>
        </w:tc>
      </w:tr>
      <w:tr>
        <w:trPr>
          <w:cantSplit/>
        </w:trPr>
        <w:tc>
          <w:tcPr>
            <w:tcW w:type="dxa" w:w="4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Can every receipt amount be explained?</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Tender total, application total, unapplied amount, fees/change, currency, and correction effects.</w:t>
            </w:r>
          </w:p>
        </w:tc>
      </w:tr>
      <w:tr>
        <w:trPr>
          <w:cantSplit/>
        </w:trPr>
        <w:tc>
          <w:tcPr>
            <w:tcW w:type="dxa" w:w="4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Are corrections controlled?</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Source link, reason, permission/approval, audit, effective date, and downstream reversal.</w:t>
            </w:r>
          </w:p>
        </w:tc>
      </w:tr>
      <w:tr>
        <w:trPr>
          <w:cantSplit/>
        </w:trPr>
        <w:tc>
          <w:tcPr>
            <w:tcW w:type="dxa" w:w="4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Does the Customer Ledger reconcile?</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MDS-200 charges plus valid MDS-300 applications equal the displayed balance for matching scope.</w:t>
            </w:r>
          </w:p>
        </w:tc>
      </w:tr>
      <w:tr>
        <w:trPr>
          <w:cantSplit/>
        </w:trPr>
        <w:tc>
          <w:tcPr>
            <w:tcW w:type="dxa" w:w="4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Is unapplied money visible?</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Customer-specific available balance, age, source, later application/refund, and status.</w:t>
            </w:r>
          </w:p>
        </w:tc>
      </w:tr>
      <w:tr>
        <w:trPr>
          <w:cantSplit/>
        </w:trPr>
        <w:tc>
          <w:tcPr>
            <w:tcW w:type="dxa" w:w="4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Does remittance preserve accountability?</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Expected, actual, destination, custody, evidence, verifier, variance, and resolution.</w:t>
            </w:r>
          </w:p>
        </w:tc>
      </w:tr>
      <w:tr>
        <w:trPr>
          <w:cantSplit/>
        </w:trPr>
        <w:tc>
          <w:tcPr>
            <w:tcW w:type="dxa" w:w="4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Can Other Receipts bypass proper sources?</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No; governed type and routing/classification checks are enforced.</w:t>
            </w:r>
          </w:p>
        </w:tc>
      </w:tr>
      <w:tr>
        <w:trPr>
          <w:cantSplit/>
        </w:trPr>
        <w:tc>
          <w:tcPr>
            <w:tcW w:type="dxa" w:w="4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Do cash and refunds remain authoritative elsewhere?</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MDS-700 cash ledger/balance and MDS-500 outgoing refund evidence.</w:t>
            </w:r>
          </w:p>
        </w:tc>
      </w:tr>
      <w:tr>
        <w:trPr>
          <w:cantSplit/>
        </w:trPr>
        <w:tc>
          <w:tcPr>
            <w:tcW w:type="dxa" w:w="4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Are failure and retry conclusive?</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No hidden partial success, duplicates, false settlement, or ambiguous completion.</w:t>
            </w:r>
          </w:p>
        </w:tc>
      </w:tr>
      <w:tr>
        <w:trPr>
          <w:cantSplit/>
        </w:trPr>
        <w:tc>
          <w:tcPr>
            <w:tcW w:type="dxa" w:w="4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Are UI entry points safe?</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Same capability, server permission, validation, transaction, and audit regardless of entry point.</w:t>
            </w:r>
          </w:p>
        </w:tc>
      </w:tr>
      <w:tr>
        <w:trPr>
          <w:cantSplit/>
        </w:trPr>
        <w:tc>
          <w:tcPr>
            <w:tcW w:type="dxa" w:w="4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Is the design accessible and future-ready?</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Responsive/accessibility tests plus controlled provider, ERP, and AI extension points.</w:t>
            </w:r>
          </w:p>
        </w:tc>
      </w:tr>
    </w:tbl>
    <w:p>
      <w:pPr>
        <w:spacing w:after="0"/>
      </w:pPr>
    </w:p>
    <w:sectPr w:rsidR="00FC693F" w:rsidRPr="0006063C" w:rsidSect="00034616">
      <w:headerReference w:type="default" r:id="rId9"/>
      <w:footerReference w:type="default" r:id="rId10"/>
      <w:pgSz w:w="12240" w:h="15840"/>
      <w:pgMar w:top="1152"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Calibri" w:hAnsi="Calibri" w:eastAsia="Calibri"/>
        <w:color w:val="5B6573"/>
        <w:sz w:val="17"/>
      </w:rPr>
      <w:t>SimpleBIZ Systems</w:t>
    </w:r>
    <w:r>
      <w:rPr>
        <w:rFonts w:ascii="Calibri" w:hAnsi="Calibri" w:eastAsia="Calibri"/>
        <w:color w:val="5B6573"/>
        <w:sz w:val="17"/>
      </w:rPr>
      <w:tab/>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 w:pos="9360" w:val="right"/>
      </w:tabs>
      <w:spacing w:after="0"/>
    </w:pPr>
    <w:r>
      <w:rPr>
        <w:rFonts w:ascii="Calibri" w:hAnsi="Calibri" w:eastAsia="Calibri"/>
        <w:b/>
        <w:color w:val="0B2545"/>
        <w:sz w:val="17"/>
      </w:rPr>
      <w:t>SimpleBIZ  |  Module Design Specification</w:t>
    </w:r>
    <w:r>
      <w:rPr>
        <w:rFonts w:ascii="Calibri" w:hAnsi="Calibri" w:eastAsia="Calibri"/>
        <w:color w:val="5B6573"/>
        <w:sz w:val="17"/>
      </w:rPr>
      <w:tab/>
      <w:t>MDS-300  |  v1.0  |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4">
    <w:abstractNumId w:val="13"/>
  </w:num>
  <w:abstractNum w:abstractNumId="14">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5">
    <w:abstractNumId w:val="14"/>
  </w:num>
  <w:abstractNum w:abstractNumId="15">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6">
    <w:abstractNumId w:val="15"/>
  </w:num>
  <w:abstractNum w:abstractNumId="16">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7">
    <w:abstractNumId w:val="16"/>
  </w:num>
  <w:abstractNum w:abstractNumId="17">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spacing w:after="120" w:line="283"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20"/>
    </w:pPr>
    <w:rPr>
      <w:rFonts w:ascii="Calibri" w:hAnsi="Calibri"/>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MDS-300 Collections &amp; Receipts Module Design Specification v1.0</dc:title>
  <dc:subject>SimpleBIZ One Collections &amp; Receipts module design</dc:subject>
  <dc:creator>SimpleBIZ Systems</dc:creator>
  <cp:keywords>SimpleBIZ, MDS-300, Collections, Receipts, Payment Application, Customer Ledger, Cash Remittance, Other Receipts</cp:keywords>
  <dc:description>Version 1.2 — For Review — 30 July 2026</dc:description>
  <cp:lastModifiedBy/>
  <cp:revision>1</cp:revision>
  <dcterms:created xsi:type="dcterms:W3CDTF">2013-12-23T23:15:00Z</dcterms:created>
  <dcterms:modified xsi:type="dcterms:W3CDTF">2013-12-23T23:15:00Z</dcterms:modified>
  <cp:category/>
</cp:coreProperties>
</file>