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pPr>
      <w:r>
        <w:rPr>
          <w:rFonts w:ascii="Inter" w:hAnsi="Inter" w:eastAsia="Inter"/>
          <w:b/>
          <w:color w:val="667485"/>
          <w:sz w:val="19"/>
        </w:rPr>
        <w:t>SimpleBIZ  |  SIMPLEBIZ ONE</w:t>
      </w:r>
    </w:p>
    <w:p>
      <w:pPr>
        <w:spacing w:before="440" w:after="0"/>
      </w:pPr>
      <w:r>
        <w:rPr>
          <w:rFonts w:ascii="Inter Display" w:hAnsi="Inter Display" w:eastAsia="Inter Display"/>
          <w:b/>
          <w:color w:val="2F78B7"/>
          <w:sz w:val="46"/>
        </w:rPr>
        <w:t>MDS-400</w:t>
      </w:r>
    </w:p>
    <w:p>
      <w:pPr>
        <w:spacing w:before="60" w:after="80"/>
      </w:pPr>
      <w:r>
        <w:rPr>
          <w:rFonts w:ascii="Inter Display" w:hAnsi="Inter Display" w:eastAsia="Inter Display"/>
          <w:b/>
          <w:color w:val="1A2D44"/>
          <w:sz w:val="62"/>
        </w:rPr>
        <w:t>Purchases &amp; Payables</w:t>
      </w:r>
    </w:p>
    <w:p>
      <w:pPr>
        <w:spacing w:after="240"/>
      </w:pPr>
      <w:r>
        <w:rPr>
          <w:rFonts w:ascii="Inter Display" w:hAnsi="Inter Display" w:eastAsia="Inter Display"/>
          <w:b/>
          <w:color w:val="1A2D44"/>
          <w:sz w:val="40"/>
        </w:rPr>
        <w:t>Module Design Specification</w:t>
      </w:r>
    </w:p>
    <w:p>
      <w:pPr>
        <w:spacing w:after="440"/>
      </w:pPr>
      <w:r>
        <w:rPr>
          <w:rFonts w:ascii="Inter" w:hAnsi="Inter" w:eastAsia="Inter"/>
          <w:color w:val="667485"/>
          <w:sz w:val="23"/>
        </w:rPr>
        <w:t>The governed design for buying goods and services, controlling supplier documents, recognizing payables, managing due dates and supplier balances, and preserving complete purchase-side traceability.</w:t>
      </w:r>
    </w:p>
    <w:tbl>
      <w:tblPr>
        <w:tblW w:type="auto" w:w="0"/>
        <w:jc w:val="left"/>
        <w:tblLayout w:type="fixed"/>
        <w:tblLook w:firstColumn="1" w:firstRow="1" w:lastColumn="0" w:lastRow="0" w:noHBand="0" w:noVBand="1" w:val="04A0"/>
      </w:tblPr>
      <w:tblGrid>
        <w:gridCol w:w="5131"/>
        <w:gridCol w:w="5131"/>
      </w:tblGrid>
      <w:tr>
        <w:trPr>
          <w:cantSplit/>
        </w:trPr>
        <w:tc>
          <w:tcPr>
            <w:tcW w:type="dxa" w:w="2268"/>
            <w:shd w:fill="E7F0F8"/>
            <w:tcMar>
              <w:top w:w="75" w:type="dxa"/>
              <w:start w:w="100" w:type="dxa"/>
              <w:bottom w:w="75" w:type="dxa"/>
              <w:end w:w="100" w:type="dxa"/>
            </w:tcMar>
            <w:tcBorders>
              <w:top w:val="single" w:sz="3" w:color="B9C8D5"/>
              <w:left w:val="single" w:sz="3" w:color="B9C8D5"/>
              <w:bottom w:val="single" w:sz="3" w:color="B9C8D5"/>
              <w:right w:val="single" w:sz="3" w:color="B9C8D5"/>
            </w:tcBorders>
          </w:tcPr>
          <w:p>
            <w:pPr>
              <w:spacing w:after="0"/>
            </w:pPr>
            <w:r>
              <w:rPr>
                <w:rFonts w:ascii="Inter" w:hAnsi="Inter" w:eastAsia="Inter"/>
                <w:b/>
                <w:color w:val="1A2D44"/>
                <w:sz w:val="17"/>
              </w:rPr>
              <w:t>Version</w:t>
            </w:r>
          </w:p>
        </w:tc>
        <w:tc>
          <w:tcPr>
            <w:tcW w:type="dxa" w:w="4819"/>
            <w:tcMar>
              <w:top w:w="75" w:type="dxa"/>
              <w:start w:w="100" w:type="dxa"/>
              <w:bottom w:w="75" w:type="dxa"/>
              <w:end w:w="100" w:type="dxa"/>
            </w:tcMar>
            <w:tcBorders>
              <w:top w:val="single" w:sz="3" w:color="B9C8D5"/>
              <w:left w:val="single" w:sz="3" w:color="B9C8D5"/>
              <w:bottom w:val="single" w:sz="3" w:color="B9C8D5"/>
              <w:right w:val="single" w:sz="3" w:color="B9C8D5"/>
            </w:tcBorders>
          </w:tcPr>
          <w:p>
            <w:pPr>
              <w:spacing w:after="0"/>
            </w:pPr>
            <w:r>
              <w:rPr>
                <w:rFonts w:ascii="Inter" w:hAnsi="Inter" w:eastAsia="Inter"/>
                <w:color w:val="172033"/>
                <w:sz w:val="17"/>
              </w:rPr>
              <w:t>1.1</w:t>
            </w:r>
          </w:p>
        </w:tc>
      </w:tr>
      <w:tr>
        <w:trPr>
          <w:cantSplit/>
        </w:trPr>
        <w:tc>
          <w:tcPr>
            <w:tcW w:type="dxa" w:w="2268"/>
            <w:shd w:fill="E7F0F8"/>
            <w:tcMar>
              <w:top w:w="75" w:type="dxa"/>
              <w:start w:w="100" w:type="dxa"/>
              <w:bottom w:w="75" w:type="dxa"/>
              <w:end w:w="100" w:type="dxa"/>
            </w:tcMar>
            <w:tcBorders>
              <w:top w:val="single" w:sz="3" w:color="B9C8D5"/>
              <w:left w:val="single" w:sz="3" w:color="B9C8D5"/>
              <w:bottom w:val="single" w:sz="3" w:color="B9C8D5"/>
              <w:right w:val="single" w:sz="3" w:color="B9C8D5"/>
            </w:tcBorders>
          </w:tcPr>
          <w:p>
            <w:pPr>
              <w:spacing w:after="0"/>
            </w:pPr>
            <w:r>
              <w:rPr>
                <w:rFonts w:ascii="Inter" w:hAnsi="Inter" w:eastAsia="Inter"/>
                <w:b/>
                <w:color w:val="1A2D44"/>
                <w:sz w:val="17"/>
              </w:rPr>
              <w:t>Status</w:t>
            </w:r>
          </w:p>
        </w:tc>
        <w:tc>
          <w:tcPr>
            <w:tcW w:type="dxa" w:w="4819"/>
            <w:tcMar>
              <w:top w:w="75" w:type="dxa"/>
              <w:start w:w="100" w:type="dxa"/>
              <w:bottom w:w="75" w:type="dxa"/>
              <w:end w:w="100" w:type="dxa"/>
            </w:tcMar>
            <w:tcBorders>
              <w:top w:val="single" w:sz="3" w:color="B9C8D5"/>
              <w:left w:val="single" w:sz="3" w:color="B9C8D5"/>
              <w:bottom w:val="single" w:sz="3" w:color="B9C8D5"/>
              <w:right w:val="single" w:sz="3" w:color="B9C8D5"/>
            </w:tcBorders>
          </w:tcPr>
          <w:p>
            <w:pPr>
              <w:spacing w:after="0"/>
            </w:pPr>
            <w:r>
              <w:rPr>
                <w:rFonts w:ascii="Inter" w:hAnsi="Inter" w:eastAsia="Inter"/>
                <w:color w:val="172033"/>
                <w:sz w:val="17"/>
              </w:rPr>
              <w:t>For Review</w:t>
            </w:r>
          </w:p>
        </w:tc>
      </w:tr>
      <w:tr>
        <w:trPr>
          <w:cantSplit/>
        </w:trPr>
        <w:tc>
          <w:tcPr>
            <w:tcW w:type="dxa" w:w="2268"/>
            <w:shd w:fill="E7F0F8"/>
            <w:tcMar>
              <w:top w:w="75" w:type="dxa"/>
              <w:start w:w="100" w:type="dxa"/>
              <w:bottom w:w="75" w:type="dxa"/>
              <w:end w:w="100" w:type="dxa"/>
            </w:tcMar>
            <w:tcBorders>
              <w:top w:val="single" w:sz="3" w:color="B9C8D5"/>
              <w:left w:val="single" w:sz="3" w:color="B9C8D5"/>
              <w:bottom w:val="single" w:sz="3" w:color="B9C8D5"/>
              <w:right w:val="single" w:sz="3" w:color="B9C8D5"/>
            </w:tcBorders>
          </w:tcPr>
          <w:p>
            <w:pPr>
              <w:spacing w:after="0"/>
            </w:pPr>
            <w:r>
              <w:rPr>
                <w:rFonts w:ascii="Inter" w:hAnsi="Inter" w:eastAsia="Inter"/>
                <w:b/>
                <w:color w:val="1A2D44"/>
                <w:sz w:val="17"/>
              </w:rPr>
              <w:t>Date</w:t>
            </w:r>
          </w:p>
        </w:tc>
        <w:tc>
          <w:tcPr>
            <w:tcW w:type="dxa" w:w="4819"/>
            <w:tcMar>
              <w:top w:w="75" w:type="dxa"/>
              <w:start w:w="100" w:type="dxa"/>
              <w:bottom w:w="75" w:type="dxa"/>
              <w:end w:w="100" w:type="dxa"/>
            </w:tcMar>
            <w:tcBorders>
              <w:top w:val="single" w:sz="3" w:color="B9C8D5"/>
              <w:left w:val="single" w:sz="3" w:color="B9C8D5"/>
              <w:bottom w:val="single" w:sz="3" w:color="B9C8D5"/>
              <w:right w:val="single" w:sz="3" w:color="B9C8D5"/>
            </w:tcBorders>
          </w:tcPr>
          <w:p>
            <w:pPr>
              <w:spacing w:after="0"/>
            </w:pPr>
            <w:r>
              <w:rPr>
                <w:rFonts w:ascii="Inter" w:hAnsi="Inter" w:eastAsia="Inter"/>
                <w:color w:val="172033"/>
                <w:sz w:val="17"/>
              </w:rPr>
              <w:t>30 July 2026</w:t>
            </w:r>
          </w:p>
        </w:tc>
      </w:tr>
      <w:tr>
        <w:trPr>
          <w:cantSplit/>
        </w:trPr>
        <w:tc>
          <w:tcPr>
            <w:tcW w:type="dxa" w:w="2268"/>
            <w:shd w:fill="E7F0F8"/>
            <w:tcMar>
              <w:top w:w="75" w:type="dxa"/>
              <w:start w:w="100" w:type="dxa"/>
              <w:bottom w:w="75" w:type="dxa"/>
              <w:end w:w="100" w:type="dxa"/>
            </w:tcMar>
            <w:tcBorders>
              <w:top w:val="single" w:sz="3" w:color="B9C8D5"/>
              <w:left w:val="single" w:sz="3" w:color="B9C8D5"/>
              <w:bottom w:val="single" w:sz="3" w:color="B9C8D5"/>
              <w:right w:val="single" w:sz="3" w:color="B9C8D5"/>
            </w:tcBorders>
          </w:tcPr>
          <w:p>
            <w:pPr>
              <w:spacing w:after="0"/>
            </w:pPr>
            <w:r>
              <w:rPr>
                <w:rFonts w:ascii="Inter" w:hAnsi="Inter" w:eastAsia="Inter"/>
                <w:b/>
                <w:color w:val="1A2D44"/>
                <w:sz w:val="17"/>
              </w:rPr>
              <w:t>Product</w:t>
            </w:r>
          </w:p>
        </w:tc>
        <w:tc>
          <w:tcPr>
            <w:tcW w:type="dxa" w:w="4819"/>
            <w:tcMar>
              <w:top w:w="75" w:type="dxa"/>
              <w:start w:w="100" w:type="dxa"/>
              <w:bottom w:w="75" w:type="dxa"/>
              <w:end w:w="100" w:type="dxa"/>
            </w:tcMar>
            <w:tcBorders>
              <w:top w:val="single" w:sz="3" w:color="B9C8D5"/>
              <w:left w:val="single" w:sz="3" w:color="B9C8D5"/>
              <w:bottom w:val="single" w:sz="3" w:color="B9C8D5"/>
              <w:right w:val="single" w:sz="3" w:color="B9C8D5"/>
            </w:tcBorders>
          </w:tcPr>
          <w:p>
            <w:pPr>
              <w:spacing w:after="0"/>
            </w:pPr>
            <w:r>
              <w:rPr>
                <w:rFonts w:ascii="Inter" w:hAnsi="Inter" w:eastAsia="Inter"/>
                <w:color w:val="172033"/>
                <w:sz w:val="17"/>
              </w:rPr>
              <w:t>SimpleBIZ One</w:t>
            </w:r>
          </w:p>
        </w:tc>
      </w:tr>
      <w:tr>
        <w:trPr>
          <w:cantSplit/>
        </w:trPr>
        <w:tc>
          <w:tcPr>
            <w:tcW w:type="dxa" w:w="2268"/>
            <w:shd w:fill="E7F0F8"/>
            <w:tcMar>
              <w:top w:w="75" w:type="dxa"/>
              <w:start w:w="100" w:type="dxa"/>
              <w:bottom w:w="75" w:type="dxa"/>
              <w:end w:w="100" w:type="dxa"/>
            </w:tcMar>
            <w:tcBorders>
              <w:top w:val="single" w:sz="3" w:color="B9C8D5"/>
              <w:left w:val="single" w:sz="3" w:color="B9C8D5"/>
              <w:bottom w:val="single" w:sz="3" w:color="B9C8D5"/>
              <w:right w:val="single" w:sz="3" w:color="B9C8D5"/>
            </w:tcBorders>
          </w:tcPr>
          <w:p>
            <w:pPr>
              <w:spacing w:after="0"/>
            </w:pPr>
            <w:r>
              <w:rPr>
                <w:rFonts w:ascii="Inter" w:hAnsi="Inter" w:eastAsia="Inter"/>
                <w:b/>
                <w:color w:val="1A2D44"/>
                <w:sz w:val="17"/>
              </w:rPr>
              <w:t>Classification</w:t>
            </w:r>
          </w:p>
        </w:tc>
        <w:tc>
          <w:tcPr>
            <w:tcW w:type="dxa" w:w="4819"/>
            <w:tcMar>
              <w:top w:w="75" w:type="dxa"/>
              <w:start w:w="100" w:type="dxa"/>
              <w:bottom w:w="75" w:type="dxa"/>
              <w:end w:w="100" w:type="dxa"/>
            </w:tcMar>
            <w:tcBorders>
              <w:top w:val="single" w:sz="3" w:color="B9C8D5"/>
              <w:left w:val="single" w:sz="3" w:color="B9C8D5"/>
              <w:bottom w:val="single" w:sz="3" w:color="B9C8D5"/>
              <w:right w:val="single" w:sz="3" w:color="B9C8D5"/>
            </w:tcBorders>
          </w:tcPr>
          <w:p>
            <w:pPr>
              <w:spacing w:after="0"/>
            </w:pPr>
            <w:r>
              <w:rPr>
                <w:rFonts w:ascii="Inter" w:hAnsi="Inter" w:eastAsia="Inter"/>
                <w:color w:val="172033"/>
                <w:sz w:val="17"/>
              </w:rPr>
              <w:t>Module Design Specification</w:t>
            </w:r>
          </w:p>
        </w:tc>
      </w:tr>
      <w:tr>
        <w:trPr>
          <w:cantSplit/>
        </w:trPr>
        <w:tc>
          <w:tcPr>
            <w:tcW w:type="dxa" w:w="2268"/>
            <w:shd w:fill="E7F0F8"/>
            <w:tcMar>
              <w:top w:w="75" w:type="dxa"/>
              <w:start w:w="100" w:type="dxa"/>
              <w:bottom w:w="75" w:type="dxa"/>
              <w:end w:w="100" w:type="dxa"/>
            </w:tcMar>
            <w:tcBorders>
              <w:top w:val="single" w:sz="3" w:color="B9C8D5"/>
              <w:left w:val="single" w:sz="3" w:color="B9C8D5"/>
              <w:bottom w:val="single" w:sz="3" w:color="B9C8D5"/>
              <w:right w:val="single" w:sz="3" w:color="B9C8D5"/>
            </w:tcBorders>
          </w:tcPr>
          <w:p>
            <w:pPr>
              <w:spacing w:after="0"/>
            </w:pPr>
            <w:r>
              <w:rPr>
                <w:rFonts w:ascii="Inter" w:hAnsi="Inter" w:eastAsia="Inter"/>
                <w:b/>
                <w:color w:val="1A2D44"/>
                <w:sz w:val="17"/>
              </w:rPr>
              <w:t>Prepared for</w:t>
            </w:r>
          </w:p>
        </w:tc>
        <w:tc>
          <w:tcPr>
            <w:tcW w:type="dxa" w:w="4819"/>
            <w:tcMar>
              <w:top w:w="75" w:type="dxa"/>
              <w:start w:w="100" w:type="dxa"/>
              <w:bottom w:w="75" w:type="dxa"/>
              <w:end w:w="100" w:type="dxa"/>
            </w:tcMar>
            <w:tcBorders>
              <w:top w:val="single" w:sz="3" w:color="B9C8D5"/>
              <w:left w:val="single" w:sz="3" w:color="B9C8D5"/>
              <w:bottom w:val="single" w:sz="3" w:color="B9C8D5"/>
              <w:right w:val="single" w:sz="3" w:color="B9C8D5"/>
            </w:tcBorders>
          </w:tcPr>
          <w:p>
            <w:pPr>
              <w:spacing w:after="0"/>
            </w:pPr>
            <w:r>
              <w:rPr>
                <w:rFonts w:ascii="Inter" w:hAnsi="Inter" w:eastAsia="Inter"/>
                <w:color w:val="172033"/>
                <w:sz w:val="17"/>
              </w:rPr>
              <w:t>SimpleBIZ Systems</w:t>
            </w:r>
          </w:p>
        </w:tc>
      </w:tr>
    </w:tbl>
    <w:p>
      <w:pPr>
        <w:spacing w:before="500"/>
      </w:pPr>
    </w:p>
    <w:tbl>
      <w:tblPr>
        <w:tblW w:type="auto" w:w="0"/>
        <w:jc w:val="center"/>
        <w:tblLayout w:type="fixed"/>
        <w:tblLook w:firstColumn="1" w:firstRow="1" w:lastColumn="0" w:lastRow="0" w:noHBand="0" w:noVBand="1" w:val="04A0"/>
      </w:tblPr>
      <w:tblGrid>
        <w:gridCol w:w="10262"/>
      </w:tblGrid>
      <w:tr>
        <w:trPr>
          <w:cantSplit/>
        </w:trPr>
        <w:tc>
          <w:tcPr>
            <w:tcW w:type="dxa" w:w="10205"/>
            <w:shd w:fill="E7F0F8"/>
            <w:tcMar>
              <w:top w:w="110" w:type="dxa"/>
              <w:start w:w="140" w:type="dxa"/>
              <w:bottom w:w="110" w:type="dxa"/>
              <w:end w:w="140" w:type="dxa"/>
            </w:tcMar>
            <w:tcBorders>
              <w:top w:val="single" w:sz="3" w:color="2F78B7"/>
              <w:left w:val="single" w:sz="18" w:color="2F78B7"/>
              <w:bottom w:val="single" w:sz="3" w:color="2F78B7"/>
              <w:right w:val="single" w:sz="3" w:color="2F78B7"/>
            </w:tcBorders>
          </w:tcPr>
          <w:p>
            <w:pPr>
              <w:spacing w:after="0"/>
            </w:pPr>
            <w:r>
              <w:rPr>
                <w:rFonts w:ascii="Inter" w:hAnsi="Inter" w:eastAsia="Inter"/>
                <w:b/>
                <w:color w:val="1A2D44"/>
                <w:sz w:val="17"/>
              </w:rPr>
              <w:t xml:space="preserve">PURCHASES DESIGN DIRECTIVE  </w:t>
            </w:r>
            <w:r>
              <w:rPr>
                <w:rFonts w:ascii="Inter" w:hAnsi="Inter" w:eastAsia="Inter"/>
                <w:color w:val="1A2D44"/>
                <w:sz w:val="18"/>
              </w:rPr>
              <w:t>Commit to buy once, recognize what the supplier is owed correctly, and let governed integrations handle receiving, payment, stock, cash, expense, reporting, and audit effects.</w:t>
            </w:r>
          </w:p>
        </w:tc>
      </w:tr>
    </w:tbl>
    <w:p>
      <w:pPr>
        <w:spacing w:after="0"/>
      </w:pPr>
    </w:p>
    <w:p>
      <w:r>
        <w:br w:type="page"/>
      </w:r>
    </w:p>
    <w:p>
      <w:pPr>
        <w:pStyle w:val="Heading1"/>
        <w:keepNext/>
      </w:pPr>
      <w:r>
        <w:rPr>
          <w:rFonts w:ascii="Inter Display" w:hAnsi="Inter Display" w:eastAsia="Inter Display"/>
          <w:b/>
          <w:color w:val="2F78B7"/>
          <w:sz w:val="34"/>
        </w:rPr>
        <w:t>Document Control</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2835"/>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7"/>
              </w:rPr>
              <w:t>Document control item</w:t>
            </w:r>
          </w:p>
        </w:tc>
        <w:tc>
          <w:tcPr>
            <w:tcW w:type="dxa" w:w="7370"/>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7"/>
              </w:rPr>
              <w:t>Value</w:t>
            </w:r>
          </w:p>
        </w:tc>
      </w:tr>
      <w:tr>
        <w:trPr>
          <w:cantSplit/>
        </w:trPr>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7"/>
              </w:rPr>
              <w:t>Document ID</w:t>
            </w:r>
          </w:p>
        </w:tc>
        <w:tc>
          <w:tcPr>
            <w:tcW w:type="dxa" w:w="737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7"/>
              </w:rPr>
              <w:t>MDS-400</w:t>
            </w:r>
          </w:p>
        </w:tc>
      </w:tr>
      <w:tr>
        <w:trPr>
          <w:cantSplit/>
        </w:trPr>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7"/>
              </w:rPr>
              <w:t>Document title</w:t>
            </w:r>
          </w:p>
        </w:tc>
        <w:tc>
          <w:tcPr>
            <w:tcW w:type="dxa" w:w="737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7"/>
              </w:rPr>
              <w:t>Purchases &amp; Payables Module Design Specification</w:t>
            </w:r>
          </w:p>
        </w:tc>
      </w:tr>
      <w:tr>
        <w:trPr>
          <w:cantSplit/>
        </w:trPr>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7"/>
              </w:rPr>
              <w:t>Version</w:t>
            </w:r>
          </w:p>
        </w:tc>
        <w:tc>
          <w:tcPr>
            <w:tcW w:type="dxa" w:w="737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7"/>
              </w:rPr>
              <w:t>1.1</w:t>
            </w:r>
          </w:p>
        </w:tc>
      </w:tr>
      <w:tr>
        <w:trPr>
          <w:cantSplit/>
        </w:trPr>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7"/>
              </w:rPr>
              <w:t>Status</w:t>
            </w:r>
          </w:p>
        </w:tc>
        <w:tc>
          <w:tcPr>
            <w:tcW w:type="dxa" w:w="737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7"/>
              </w:rPr>
              <w:t>For Review</w:t>
            </w:r>
          </w:p>
        </w:tc>
      </w:tr>
      <w:tr>
        <w:trPr>
          <w:cantSplit/>
        </w:trPr>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7"/>
              </w:rPr>
              <w:t>Date</w:t>
            </w:r>
          </w:p>
        </w:tc>
        <w:tc>
          <w:tcPr>
            <w:tcW w:type="dxa" w:w="737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7"/>
              </w:rPr>
              <w:t>30 July 2026</w:t>
            </w:r>
          </w:p>
        </w:tc>
      </w:tr>
      <w:tr>
        <w:trPr>
          <w:cantSplit/>
        </w:trPr>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7"/>
              </w:rPr>
              <w:t>Product</w:t>
            </w:r>
          </w:p>
        </w:tc>
        <w:tc>
          <w:tcPr>
            <w:tcW w:type="dxa" w:w="737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7"/>
              </w:rPr>
              <w:t>SimpleBIZ One</w:t>
            </w:r>
          </w:p>
        </w:tc>
      </w:tr>
      <w:tr>
        <w:trPr>
          <w:cantSplit/>
        </w:trPr>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7"/>
              </w:rPr>
              <w:t>Document family</w:t>
            </w:r>
          </w:p>
        </w:tc>
        <w:tc>
          <w:tcPr>
            <w:tcW w:type="dxa" w:w="737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7"/>
              </w:rPr>
              <w:t>Module Design Specification</w:t>
            </w:r>
          </w:p>
        </w:tc>
      </w:tr>
      <w:tr>
        <w:trPr>
          <w:cantSplit/>
        </w:trPr>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7"/>
              </w:rPr>
              <w:t>Repository location</w:t>
            </w:r>
          </w:p>
        </w:tc>
        <w:tc>
          <w:tcPr>
            <w:tcW w:type="dxa" w:w="737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7"/>
              </w:rPr>
              <w:t>03 - Architecture &amp; Design / 02 - Module Design Specifications</w:t>
            </w:r>
          </w:p>
        </w:tc>
      </w:tr>
      <w:tr>
        <w:trPr>
          <w:cantSplit/>
        </w:trPr>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7"/>
              </w:rPr>
              <w:t>Supersedes</w:t>
            </w:r>
          </w:p>
        </w:tc>
        <w:tc>
          <w:tcPr>
            <w:tcW w:type="dxa" w:w="737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7"/>
              </w:rPr>
              <w:t>MDS-300 Purchases Module Design Specification v1.0</w:t>
            </w:r>
          </w:p>
        </w:tc>
      </w:tr>
      <w:tr>
        <w:trPr>
          <w:cantSplit/>
        </w:trPr>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7"/>
              </w:rPr>
              <w:t>Prepared for</w:t>
            </w:r>
          </w:p>
        </w:tc>
        <w:tc>
          <w:tcPr>
            <w:tcW w:type="dxa" w:w="737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7"/>
              </w:rPr>
              <w:t>SimpleBIZ Systems</w:t>
            </w:r>
          </w:p>
        </w:tc>
      </w:tr>
    </w:tbl>
    <w:p>
      <w:pPr>
        <w:spacing w:after="0"/>
      </w:pPr>
    </w:p>
    <w:p>
      <w:pPr>
        <w:pStyle w:val="Heading1"/>
        <w:keepNext/>
      </w:pPr>
      <w:r>
        <w:rPr>
          <w:rFonts w:ascii="Inter Display" w:hAnsi="Inter Display" w:eastAsia="Inter Display"/>
          <w:b/>
          <w:color w:val="2F78B7"/>
          <w:sz w:val="34"/>
        </w:rPr>
        <w:t>Revision History</w:t>
      </w:r>
    </w:p>
    <w:tbl>
      <w:tblPr>
        <w:tblW w:type="auto" w:w="0"/>
        <w:jc w:val="center"/>
        <w:tblLayout w:type="fixed"/>
        <w:tblLook w:firstColumn="1" w:firstRow="1" w:lastColumn="0" w:lastRow="0" w:noHBand="0" w:noVBand="1" w:val="04A0"/>
      </w:tblPr>
      <w:tblGrid>
        <w:gridCol w:w="2565"/>
        <w:gridCol w:w="2565"/>
        <w:gridCol w:w="2565"/>
        <w:gridCol w:w="2565"/>
      </w:tblGrid>
      <w:tr>
        <w:trPr>
          <w:tblHeader w:val="true"/>
        </w:trPr>
        <w:tc>
          <w:tcPr>
            <w:tcW w:type="dxa" w:w="964"/>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6"/>
              </w:rPr>
              <w:t>Version</w:t>
            </w:r>
          </w:p>
        </w:tc>
        <w:tc>
          <w:tcPr>
            <w:tcW w:type="dxa" w:w="1531"/>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6"/>
              </w:rPr>
              <w:t>Date</w:t>
            </w:r>
          </w:p>
        </w:tc>
        <w:tc>
          <w:tcPr>
            <w:tcW w:type="dxa" w:w="5953"/>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6"/>
              </w:rPr>
              <w:t>Description</w:t>
            </w:r>
          </w:p>
        </w:tc>
        <w:tc>
          <w:tcPr>
            <w:tcW w:type="dxa" w:w="1757"/>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6"/>
              </w:rPr>
              <w:t>Status</w:t>
            </w:r>
          </w:p>
        </w:tc>
      </w:tr>
      <w:tr>
        <w:trPr>
          <w:cantSplit/>
        </w:trPr>
        <w:tc>
          <w:tcPr>
            <w:tcW w:type="dxa" w:w="96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1.0</w:t>
            </w:r>
          </w:p>
        </w:tc>
        <w:tc>
          <w:tcPr>
            <w:tcW w:type="dxa" w:w="1531"/>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13 July 2026</w:t>
            </w:r>
          </w:p>
        </w:tc>
        <w:tc>
          <w:tcPr>
            <w:tcW w:type="dxa" w:w="595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Established the initial Purchases Module design for suppliers, purchase orders, receiving, invoices, payments, returns, and ERP expansion.</w:t>
            </w:r>
          </w:p>
        </w:tc>
        <w:tc>
          <w:tcPr>
            <w:tcW w:type="dxa" w:w="175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Superseded</w:t>
            </w:r>
          </w:p>
        </w:tc>
      </w:tr>
      <w:tr>
        <w:trPr>
          <w:cantSplit/>
        </w:trPr>
        <w:tc>
          <w:tcPr>
            <w:tcW w:type="dxa" w:w="96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1.1</w:t>
            </w:r>
          </w:p>
        </w:tc>
        <w:tc>
          <w:tcPr>
            <w:tcW w:type="dxa" w:w="1531"/>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30 July 2026</w:t>
            </w:r>
          </w:p>
        </w:tc>
        <w:tc>
          <w:tcPr>
            <w:tcW w:type="dxa" w:w="595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Renumbered and recast the module as Purchases &amp; Payables; aligned it with MDS-000 v1.2, the approved 12-document MDS series, the current workspace design, Single Functional Ownership, Multiple UI Entry Points, separate Payments &amp; Disbursements, Inventory, Expenses, Master Registries, Settings, AI readiness, and future ERP growth.</w:t>
            </w:r>
          </w:p>
        </w:tc>
        <w:tc>
          <w:tcPr>
            <w:tcW w:type="dxa" w:w="175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For Review</w:t>
            </w:r>
          </w:p>
        </w:tc>
      </w:tr>
    </w:tbl>
    <w:p>
      <w:pPr>
        <w:spacing w:after="0"/>
      </w:pPr>
    </w:p>
    <w:p>
      <w:pPr>
        <w:pStyle w:val="Heading1"/>
        <w:keepNext/>
      </w:pPr>
      <w:r>
        <w:rPr>
          <w:rFonts w:ascii="Inter Display" w:hAnsi="Inter Display" w:eastAsia="Inter Display"/>
          <w:b/>
          <w:color w:val="2F78B7"/>
          <w:sz w:val="34"/>
        </w:rPr>
        <w:t>Related and Governing Documents</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2948"/>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6"/>
              </w:rPr>
              <w:t>Document</w:t>
            </w:r>
          </w:p>
        </w:tc>
        <w:tc>
          <w:tcPr>
            <w:tcW w:type="dxa" w:w="7257"/>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6"/>
              </w:rPr>
              <w:t>Relationship to MDS-400</w:t>
            </w:r>
          </w:p>
        </w:tc>
      </w:tr>
      <w:tr>
        <w:trPr>
          <w:cantSplit/>
        </w:trPr>
        <w:tc>
          <w:tcPr>
            <w:tcW w:type="dxa" w:w="294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MDS-000 v1.2</w:t>
            </w:r>
          </w:p>
        </w:tc>
        <w:tc>
          <w:tcPr>
            <w:tcW w:type="dxa" w:w="725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Governs shared architecture, transaction lifecycle, ownership, security, audit, events, entitlements, error handling, and quality.</w:t>
            </w:r>
          </w:p>
        </w:tc>
      </w:tr>
      <w:tr>
        <w:trPr>
          <w:cantSplit/>
        </w:trPr>
        <w:tc>
          <w:tcPr>
            <w:tcW w:type="dxa" w:w="294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MDS-100 v1.1</w:t>
            </w:r>
          </w:p>
        </w:tc>
        <w:tc>
          <w:tcPr>
            <w:tcW w:type="dxa" w:w="725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Defines Dashboard attention, activity, governed metrics, and entry points into Purchases &amp; Payables.</w:t>
            </w:r>
          </w:p>
        </w:tc>
      </w:tr>
      <w:tr>
        <w:trPr>
          <w:cantSplit/>
        </w:trPr>
        <w:tc>
          <w:tcPr>
            <w:tcW w:type="dxa" w:w="294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MDS-200 / MDS-300</w:t>
            </w:r>
          </w:p>
        </w:tc>
        <w:tc>
          <w:tcPr>
            <w:tcW w:type="dxa" w:w="725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Provide sales-side and collection-side records that may influence returns, supplier reimbursements, and cross-module activity but do not own purchase obligations.</w:t>
            </w:r>
          </w:p>
        </w:tc>
      </w:tr>
      <w:tr>
        <w:trPr>
          <w:cantSplit/>
        </w:trPr>
        <w:tc>
          <w:tcPr>
            <w:tcW w:type="dxa" w:w="294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UID-000 v1.3</w:t>
            </w:r>
          </w:p>
        </w:tc>
        <w:tc>
          <w:tcPr>
            <w:tcW w:type="dxa" w:w="725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Governs the application shell, workspace hierarchy, Multiple UI Entry Points, accessibility, responsive behavior, and common components.</w:t>
            </w:r>
          </w:p>
        </w:tc>
      </w:tr>
      <w:tr>
        <w:trPr>
          <w:cantSplit/>
        </w:trPr>
        <w:tc>
          <w:tcPr>
            <w:tcW w:type="dxa" w:w="294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UID-400 / WF-PUR-001 / UI-PUR-001</w:t>
            </w:r>
          </w:p>
        </w:tc>
        <w:tc>
          <w:tcPr>
            <w:tcW w:type="dxa" w:w="725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Define the detailed Purchases &amp; Payables interface, wireframe, and current visual baseline.</w:t>
            </w:r>
          </w:p>
        </w:tc>
      </w:tr>
      <w:tr>
        <w:trPr>
          <w:cantSplit/>
        </w:trPr>
        <w:tc>
          <w:tcPr>
            <w:tcW w:type="dxa" w:w="294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MDS-500 / MDS-600 / MDS-700 / MDS-800</w:t>
            </w:r>
          </w:p>
        </w:tc>
        <w:tc>
          <w:tcPr>
            <w:tcW w:type="dxa" w:w="725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Own outgoing payments, authoritative stock movements, cash-account balances, and expense recognition generated or referenced by purchasing events.</w:t>
            </w:r>
          </w:p>
        </w:tc>
      </w:tr>
      <w:tr>
        <w:trPr>
          <w:cantSplit/>
        </w:trPr>
        <w:tc>
          <w:tcPr>
            <w:tcW w:type="dxa" w:w="294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MDS-900 / MDS-1000 / MDS-1100</w:t>
            </w:r>
          </w:p>
        </w:tc>
        <w:tc>
          <w:tcPr>
            <w:tcW w:type="dxa" w:w="725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Own consolidated reporting, authoritative master registries, and system configuration.</w:t>
            </w:r>
          </w:p>
        </w:tc>
      </w:tr>
      <w:tr>
        <w:trPr>
          <w:cantSplit/>
        </w:trPr>
        <w:tc>
          <w:tcPr>
            <w:tcW w:type="dxa" w:w="294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DEV-000</w:t>
            </w:r>
          </w:p>
        </w:tc>
        <w:tc>
          <w:tcPr>
            <w:tcW w:type="dxa" w:w="725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Governs the React.js, Laravel, PostgreSQL, repository, coding, testing, delivery, and AI-development implementation baseline.</w:t>
            </w:r>
          </w:p>
        </w:tc>
      </w:tr>
    </w:tbl>
    <w:p>
      <w:pPr>
        <w:spacing w:after="0"/>
      </w:pPr>
    </w:p>
    <w:p>
      <w:pPr>
        <w:pStyle w:val="Heading1"/>
        <w:keepNext/>
      </w:pPr>
      <w:r>
        <w:rPr>
          <w:rFonts w:ascii="Inter Display" w:hAnsi="Inter Display" w:eastAsia="Inter Display"/>
          <w:b/>
          <w:color w:val="2F78B7"/>
          <w:sz w:val="34"/>
        </w:rPr>
        <w:t>Contents at a Glance</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2948"/>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6"/>
              </w:rPr>
              <w:t>Part</w:t>
            </w:r>
          </w:p>
        </w:tc>
        <w:tc>
          <w:tcPr>
            <w:tcW w:type="dxa" w:w="7257"/>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6"/>
              </w:rPr>
              <w:t>Coverage</w:t>
            </w:r>
          </w:p>
        </w:tc>
      </w:tr>
      <w:tr>
        <w:trPr>
          <w:cantSplit/>
        </w:trPr>
        <w:tc>
          <w:tcPr>
            <w:tcW w:type="dxa" w:w="294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Part I — Foundation</w:t>
            </w:r>
          </w:p>
        </w:tc>
        <w:tc>
          <w:tcPr>
            <w:tcW w:type="dxa" w:w="725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Sections 1–4: introduction, purpose, scope and boundary, users, ownership, and module overview.</w:t>
            </w:r>
          </w:p>
        </w:tc>
      </w:tr>
      <w:tr>
        <w:trPr>
          <w:cantSplit/>
        </w:trPr>
        <w:tc>
          <w:tcPr>
            <w:tcW w:type="dxa" w:w="294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Part II — Functional Design</w:t>
            </w:r>
          </w:p>
        </w:tc>
        <w:tc>
          <w:tcPr>
            <w:tcW w:type="dxa" w:w="725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Sections 5–11: components, master data, documents, events, requirements, module rules, workflows, statuses, and exceptions.</w:t>
            </w:r>
          </w:p>
        </w:tc>
      </w:tr>
      <w:tr>
        <w:trPr>
          <w:cantSplit/>
        </w:trPr>
        <w:tc>
          <w:tcPr>
            <w:tcW w:type="dxa" w:w="294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Part III — Integration and Information</w:t>
            </w:r>
          </w:p>
        </w:tc>
        <w:tc>
          <w:tcPr>
            <w:tcW w:type="dxa" w:w="725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Sections 12–16: integrations, transaction effects, reports, tasks, security, entities, supplier ledger, payable balance, privacy, and integrity.</w:t>
            </w:r>
          </w:p>
        </w:tc>
      </w:tr>
      <w:tr>
        <w:trPr>
          <w:cantSplit/>
        </w:trPr>
        <w:tc>
          <w:tcPr>
            <w:tcW w:type="dxa" w:w="294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Part IV — Product, Quality, and Evolution</w:t>
            </w:r>
          </w:p>
        </w:tc>
        <w:tc>
          <w:tcPr>
            <w:tcW w:type="dxa" w:w="725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Sections 17–20: editions, user experience, non-functional requirements, testing, AI controls, ERP expansion, and success indicators.</w:t>
            </w:r>
          </w:p>
        </w:tc>
      </w:tr>
      <w:tr>
        <w:trPr>
          <w:cantSplit/>
        </w:trPr>
        <w:tc>
          <w:tcPr>
            <w:tcW w:type="dxa" w:w="294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Part V — Formal Design Authority</w:t>
            </w:r>
          </w:p>
        </w:tc>
        <w:tc>
          <w:tcPr>
            <w:tcW w:type="dxa" w:w="725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Section 21: formal module design statement.</w:t>
            </w:r>
          </w:p>
        </w:tc>
      </w:tr>
      <w:tr>
        <w:trPr>
          <w:cantSplit/>
        </w:trPr>
        <w:tc>
          <w:tcPr>
            <w:tcW w:type="dxa" w:w="294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Part VI — Appendices</w:t>
            </w:r>
          </w:p>
        </w:tc>
        <w:tc>
          <w:tcPr>
            <w:tcW w:type="dxa" w:w="725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Ownership, document/status, event, requirement, UI, legacy-continuity, and review catalogs.</w:t>
            </w:r>
          </w:p>
        </w:tc>
      </w:tr>
    </w:tbl>
    <w:p>
      <w:pPr>
        <w:spacing w:after="0"/>
      </w:pPr>
    </w:p>
    <w:p>
      <w:r>
        <w:br w:type="page"/>
      </w:r>
    </w:p>
    <w:p>
      <w:pPr>
        <w:pStyle w:val="PartTitle"/>
        <w:spacing w:before="900" w:after="80"/>
      </w:pPr>
      <w:r>
        <w:rPr>
          <w:rFonts w:ascii="Inter" w:hAnsi="Inter" w:eastAsia="Inter"/>
          <w:b/>
          <w:color w:val="667485"/>
          <w:sz w:val="20"/>
        </w:rPr>
        <w:t>PART I</w:t>
      </w:r>
    </w:p>
    <w:p>
      <w:pPr>
        <w:pStyle w:val="PartName"/>
        <w:spacing w:after="120"/>
      </w:pPr>
      <w:r>
        <w:rPr>
          <w:rFonts w:ascii="Inter Display" w:hAnsi="Inter Display" w:eastAsia="Inter Display"/>
          <w:b/>
          <w:color w:val="2F78B7"/>
          <w:sz w:val="50"/>
        </w:rPr>
        <w:t>Foundation</w:t>
      </w:r>
    </w:p>
    <w:p>
      <w:pPr>
        <w:pStyle w:val="PartSubtitle"/>
        <w:spacing w:after="0"/>
      </w:pPr>
      <w:r>
        <w:rPr>
          <w:rFonts w:ascii="Inter" w:hAnsi="Inter" w:eastAsia="Inter"/>
          <w:color w:val="667485"/>
          <w:sz w:val="22"/>
        </w:rPr>
        <w:t>Business purpose, product role, users, scope, ownership, and module boundaries.</w:t>
      </w:r>
    </w:p>
    <w:p>
      <w:pPr>
        <w:pStyle w:val="Heading1"/>
        <w:keepNext/>
      </w:pPr>
      <w:r>
        <w:rPr>
          <w:rFonts w:ascii="Inter Display" w:hAnsi="Inter Display" w:eastAsia="Inter Display"/>
          <w:b/>
          <w:color w:val="2F78B7"/>
          <w:sz w:val="34"/>
        </w:rPr>
        <w:t>1. Introduction</w:t>
      </w:r>
    </w:p>
    <w:p>
      <w:r>
        <w:rPr>
          <w:rFonts w:ascii="Inter" w:hAnsi="Inter" w:eastAsia="Inter"/>
        </w:rPr>
        <w:t>MDS-400 defines the functional and technical design of the SimpleBIZ One Purchases &amp; Payables module. It translates the Core architecture and the current user-centered workspace into a governed design for purchasing goods and services, recording supplier documents, recognizing obligations, tracking due dates, managing supplier balances, coordinating receiving, and handing authorized obligations to Payments &amp; Disbursements.</w:t>
      </w:r>
    </w:p>
    <w:p>
      <w:r>
        <w:rPr>
          <w:rFonts w:ascii="Inter" w:hAnsi="Inter" w:eastAsia="Inter"/>
        </w:rPr>
        <w:t>The module is the primary source of truth for what the business bought, from whom, under what commercial terms, what the supplier billed, and what remains owed. It does not independently own the outgoing payment transaction, the cash-account balance, the authoritative stock movement, or the final expense classification. Those responsibilities remain with Payments &amp; Disbursements, Cash Accounts, Inventory, and Expenses.</w:t>
      </w:r>
    </w:p>
    <w:tbl>
      <w:tblPr>
        <w:tblW w:type="auto" w:w="0"/>
        <w:jc w:val="center"/>
        <w:tblLayout w:type="fixed"/>
        <w:tblLook w:firstColumn="1" w:firstRow="1" w:lastColumn="0" w:lastRow="0" w:noHBand="0" w:noVBand="1" w:val="04A0"/>
      </w:tblPr>
      <w:tblGrid>
        <w:gridCol w:w="10262"/>
      </w:tblGrid>
      <w:tr>
        <w:trPr>
          <w:cantSplit/>
        </w:trPr>
        <w:tc>
          <w:tcPr>
            <w:tcW w:type="dxa" w:w="10205"/>
            <w:shd w:fill="E7F0F8"/>
            <w:tcMar>
              <w:top w:w="110" w:type="dxa"/>
              <w:start w:w="140" w:type="dxa"/>
              <w:bottom w:w="110" w:type="dxa"/>
              <w:end w:w="140" w:type="dxa"/>
            </w:tcMar>
            <w:tcBorders>
              <w:top w:val="single" w:sz="3" w:color="2F78B7"/>
              <w:left w:val="single" w:sz="18" w:color="2F78B7"/>
              <w:bottom w:val="single" w:sz="3" w:color="2F78B7"/>
              <w:right w:val="single" w:sz="3" w:color="2F78B7"/>
            </w:tcBorders>
          </w:tcPr>
          <w:p>
            <w:pPr>
              <w:spacing w:after="0"/>
            </w:pPr>
            <w:r>
              <w:rPr>
                <w:rFonts w:ascii="Inter" w:hAnsi="Inter" w:eastAsia="Inter"/>
                <w:b/>
                <w:color w:val="1A2D44"/>
                <w:sz w:val="17"/>
              </w:rPr>
              <w:t xml:space="preserve">SHORTEST PRACTICAL DISTINCTION  </w:t>
            </w:r>
            <w:r>
              <w:rPr>
                <w:rFonts w:ascii="Inter" w:hAnsi="Inter" w:eastAsia="Inter"/>
                <w:color w:val="1A2D44"/>
                <w:sz w:val="18"/>
              </w:rPr>
              <w:t>MDS-400 explains what the business bought and what it owes the supplier. MDS-500 records how the business pays and applies the outgoing money. MDS-600 owns the resulting stock movement, MDS-700 owns the cash-account balance, and MDS-800 owns the recognized expense classification.</w:t>
            </w:r>
          </w:p>
        </w:tc>
      </w:tr>
    </w:tbl>
    <w:p>
      <w:pPr>
        <w:spacing w:after="0"/>
      </w:pPr>
    </w:p>
    <w:p>
      <w:pPr>
        <w:pStyle w:val="Heading1"/>
        <w:keepNext/>
      </w:pPr>
      <w:r>
        <w:rPr>
          <w:rFonts w:ascii="Inter Display" w:hAnsi="Inter Display" w:eastAsia="Inter Display"/>
          <w:b/>
          <w:color w:val="2F78B7"/>
          <w:sz w:val="34"/>
        </w:rPr>
        <w:t>2. Purpose</w:t>
      </w:r>
    </w:p>
    <w:p>
      <w:r>
        <w:rPr>
          <w:rFonts w:ascii="Inter" w:hAnsi="Inter" w:eastAsia="Inter"/>
        </w:rPr>
        <w:t>Purchases &amp; Payables exists to help an SME acquire goods and services efficiently while maintaining a reliable account of supplier commitments and obligations.</w:t>
      </w:r>
    </w:p>
    <w:p>
      <w:pPr>
        <w:pStyle w:val="ListBullet"/>
        <w:keepLines/>
      </w:pPr>
      <w:r>
        <w:rPr>
          <w:rFonts w:ascii="Inter" w:hAnsi="Inter" w:eastAsia="Inter"/>
        </w:rPr>
        <w:t>Enable fast cash and credit purchases for inventory, services, supplies, and other authorized business needs.</w:t>
      </w:r>
    </w:p>
    <w:p>
      <w:pPr>
        <w:pStyle w:val="ListBullet"/>
        <w:keepLines/>
      </w:pPr>
      <w:r>
        <w:rPr>
          <w:rFonts w:ascii="Inter" w:hAnsi="Inter" w:eastAsia="Inter"/>
        </w:rPr>
        <w:t>Maintain a clear purchasing chain from order or direct purchase through receipt, supplier invoice, payable, adjustment, and settlement status.</w:t>
      </w:r>
    </w:p>
    <w:p>
      <w:pPr>
        <w:pStyle w:val="ListBullet"/>
        <w:keepLines/>
      </w:pPr>
      <w:r>
        <w:rPr>
          <w:rFonts w:ascii="Inter" w:hAnsi="Inter" w:eastAsia="Inter"/>
        </w:rPr>
        <w:t>Recognize supplier obligations with accurate terms, due dates, discounts, taxes, and outstanding balances.</w:t>
      </w:r>
    </w:p>
    <w:p>
      <w:pPr>
        <w:pStyle w:val="ListBullet"/>
        <w:keepLines/>
      </w:pPr>
      <w:r>
        <w:rPr>
          <w:rFonts w:ascii="Inter" w:hAnsi="Inter" w:eastAsia="Inter"/>
        </w:rPr>
        <w:t>Support streamlined SME workflows without collapsing the underlying document, event, stock, payment, and accounting responsibilities.</w:t>
      </w:r>
    </w:p>
    <w:p>
      <w:pPr>
        <w:pStyle w:val="ListBullet"/>
        <w:keepLines/>
      </w:pPr>
      <w:r>
        <w:rPr>
          <w:rFonts w:ascii="Inter" w:hAnsi="Inter" w:eastAsia="Inter"/>
        </w:rPr>
        <w:t>Coordinate inventory receipt, expense or asset classification, payment execution, cash movement, reporting, and audit effects atomically.</w:t>
      </w:r>
    </w:p>
    <w:p>
      <w:pPr>
        <w:pStyle w:val="ListBullet"/>
        <w:keepLines/>
      </w:pPr>
      <w:r>
        <w:rPr>
          <w:rFonts w:ascii="Inter" w:hAnsi="Inter" w:eastAsia="Inter"/>
        </w:rPr>
        <w:t>Provide supplier ledger, aging, due-for-payment, matching, exception, and purchase-history information.</w:t>
      </w:r>
    </w:p>
    <w:p>
      <w:pPr>
        <w:pStyle w:val="ListBullet"/>
        <w:keepLines/>
      </w:pPr>
      <w:r>
        <w:rPr>
          <w:rFonts w:ascii="Inter" w:hAnsi="Inter" w:eastAsia="Inter"/>
        </w:rPr>
        <w:t>Preserve complete traceability from source request or order through receipt, invoice, adjustment, payment application, return, and reversal.</w:t>
      </w:r>
    </w:p>
    <w:p>
      <w:pPr>
        <w:pStyle w:val="ListBullet"/>
        <w:keepLines/>
      </w:pPr>
      <w:r>
        <w:rPr>
          <w:rFonts w:ascii="Inter" w:hAnsi="Inter" w:eastAsia="Inter"/>
        </w:rPr>
        <w:t>Provide an extensible foundation for approval workflows, procurement controls, landed cost, supplier performance, and future ERP purchasing.</w:t>
      </w:r>
    </w:p>
    <w:p>
      <w:pPr>
        <w:pStyle w:val="Heading1"/>
        <w:keepNext/>
      </w:pPr>
      <w:r>
        <w:rPr>
          <w:rFonts w:ascii="Inter Display" w:hAnsi="Inter Display" w:eastAsia="Inter Display"/>
          <w:b/>
          <w:color w:val="2F78B7"/>
          <w:sz w:val="34"/>
        </w:rPr>
        <w:t>3. Scope and Boundary</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5102"/>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6"/>
              </w:rPr>
              <w:t>In scope — owned by MDS-400</w:t>
            </w:r>
          </w:p>
        </w:tc>
        <w:tc>
          <w:tcPr>
            <w:tcW w:type="dxa" w:w="5102"/>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6"/>
              </w:rPr>
              <w:t>Out of scope — authoritative owner</w:t>
            </w:r>
          </w:p>
        </w:tc>
      </w:tr>
      <w:tr>
        <w:trPr>
          <w:cantSplit/>
        </w:trPr>
        <w:tc>
          <w:tcPr>
            <w:tcW w:type="dxa" w:w="5102"/>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Cash and credit purchase records; purchase orders; supplier invoices; payable open items; due dates; supplier-side adjustments.</w:t>
            </w:r>
          </w:p>
        </w:tc>
        <w:tc>
          <w:tcPr>
            <w:tcW w:type="dxa" w:w="5102"/>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Outgoing payment initiation, approval, instrument, execution, confirmation, failure, void, refund, and allocation — MDS-500.</w:t>
            </w:r>
          </w:p>
        </w:tc>
      </w:tr>
      <w:tr>
        <w:trPr>
          <w:cantSplit/>
        </w:trPr>
        <w:tc>
          <w:tcPr>
            <w:tcW w:type="dxa" w:w="5102"/>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Purchase commitments, order quantities, commercial terms, supplier references, invoice matching, and procurement status.</w:t>
            </w:r>
          </w:p>
        </w:tc>
        <w:tc>
          <w:tcPr>
            <w:tcW w:type="dxa" w:w="5102"/>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Authoritative stock receipt, issue, transfer, quantity-on-hand, valuation, count, and availability — MDS-600.</w:t>
            </w:r>
          </w:p>
        </w:tc>
      </w:tr>
      <w:tr>
        <w:trPr>
          <w:cantSplit/>
        </w:trPr>
        <w:tc>
          <w:tcPr>
            <w:tcW w:type="dxa" w:w="5102"/>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Receiving evidence and linkage to ordered or invoiced items, including partial and exception receipt context.</w:t>
            </w:r>
          </w:p>
        </w:tc>
        <w:tc>
          <w:tcPr>
            <w:tcW w:type="dxa" w:w="5102"/>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Cash-account registry, ledger, balance, transfer, reconciliation, checkbook, and bank/e-wallet movement — MDS-700.</w:t>
            </w:r>
          </w:p>
        </w:tc>
      </w:tr>
      <w:tr>
        <w:trPr>
          <w:cantSplit/>
        </w:trPr>
        <w:tc>
          <w:tcPr>
            <w:tcW w:type="dxa" w:w="5102"/>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Supplier payable recognition, supplier ledger projection, aging, payment readiness, disputes, holds, credits, and due-for-payment queues.</w:t>
            </w:r>
          </w:p>
        </w:tc>
        <w:tc>
          <w:tcPr>
            <w:tcW w:type="dxa" w:w="5102"/>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Expense category, expense recognition, cost allocation, claims, accrual policy, and operating-expense monitoring — MDS-800.</w:t>
            </w:r>
          </w:p>
        </w:tc>
      </w:tr>
      <w:tr>
        <w:trPr>
          <w:cantSplit/>
        </w:trPr>
        <w:tc>
          <w:tcPr>
            <w:tcW w:type="dxa" w:w="5102"/>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Purchase returns, supplier debit adjustments, supplier credit adjustments, cancellation, reversal, close, and document history.</w:t>
            </w:r>
          </w:p>
        </w:tc>
        <w:tc>
          <w:tcPr>
            <w:tcW w:type="dxa" w:w="5102"/>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Authoritative suppliers, products, units, warehouses, taxes, payment terms, branches, currencies, and reference lists — MDS-1000.</w:t>
            </w:r>
          </w:p>
        </w:tc>
      </w:tr>
      <w:tr>
        <w:trPr>
          <w:cantSplit/>
        </w:trPr>
        <w:tc>
          <w:tcPr>
            <w:tcW w:type="dxa" w:w="5102"/>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Module-specific purchase rules, permissions, reports, tasks, metrics, integration contracts, and approved entry points.</w:t>
            </w:r>
          </w:p>
        </w:tc>
        <w:tc>
          <w:tcPr>
            <w:tcW w:type="dxa" w:w="5102"/>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Users, roles, numbering, approvals, tolerances, module enablement, localization, and preferences — MDS-1100.</w:t>
            </w:r>
          </w:p>
        </w:tc>
      </w:tr>
    </w:tbl>
    <w:p>
      <w:pPr>
        <w:spacing w:after="0"/>
      </w:pPr>
    </w:p>
    <w:tbl>
      <w:tblPr>
        <w:tblW w:type="auto" w:w="0"/>
        <w:jc w:val="center"/>
        <w:tblLayout w:type="fixed"/>
        <w:tblLook w:firstColumn="1" w:firstRow="1" w:lastColumn="0" w:lastRow="0" w:noHBand="0" w:noVBand="1" w:val="04A0"/>
      </w:tblPr>
      <w:tblGrid>
        <w:gridCol w:w="10262"/>
      </w:tblGrid>
      <w:tr>
        <w:trPr>
          <w:cantSplit/>
        </w:trPr>
        <w:tc>
          <w:tcPr>
            <w:tcW w:type="dxa" w:w="10205"/>
            <w:shd w:fill="E7F0F8"/>
            <w:tcMar>
              <w:top w:w="110" w:type="dxa"/>
              <w:start w:w="140" w:type="dxa"/>
              <w:bottom w:w="110" w:type="dxa"/>
              <w:end w:w="140" w:type="dxa"/>
            </w:tcMar>
            <w:tcBorders>
              <w:top w:val="single" w:sz="3" w:color="2F78B7"/>
              <w:left w:val="single" w:sz="18" w:color="2F78B7"/>
              <w:bottom w:val="single" w:sz="3" w:color="2F78B7"/>
              <w:right w:val="single" w:sz="3" w:color="2F78B7"/>
            </w:tcBorders>
          </w:tcPr>
          <w:p>
            <w:pPr>
              <w:spacing w:after="0"/>
            </w:pPr>
            <w:r>
              <w:rPr>
                <w:rFonts w:ascii="Inter" w:hAnsi="Inter" w:eastAsia="Inter"/>
                <w:b/>
                <w:color w:val="1A2D44"/>
                <w:sz w:val="17"/>
              </w:rPr>
              <w:t xml:space="preserve">BOUNDARY TEST  </w:t>
            </w:r>
            <w:r>
              <w:rPr>
                <w:rFonts w:ascii="Inter" w:hAnsi="Inter" w:eastAsia="Inter"/>
                <w:color w:val="1A2D44"/>
                <w:sz w:val="18"/>
              </w:rPr>
              <w:t>If the record explains why the business owes a supplier, it belongs to MDS-400. If it executes or confirms outgoing money, it belongs to MDS-500. If it changes stock, cash, or expense balances, the authoritative effect belongs to MDS-600, MDS-700, or MDS-800.</w:t>
            </w:r>
          </w:p>
        </w:tc>
      </w:tr>
    </w:tbl>
    <w:p>
      <w:pPr>
        <w:spacing w:after="0"/>
      </w:pPr>
    </w:p>
    <w:p>
      <w:pPr>
        <w:pStyle w:val="Heading2"/>
        <w:keepNext/>
      </w:pPr>
      <w:r>
        <w:rPr>
          <w:rFonts w:ascii="Inter" w:hAnsi="Inter" w:eastAsia="Inter"/>
          <w:b/>
          <w:color w:val="1A2D44"/>
          <w:sz w:val="25"/>
        </w:rPr>
        <w:t>3.1 Purchase Order, Receipt, Invoice, and Payment</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1814"/>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6"/>
              </w:rPr>
              <w:t>Document or event</w:t>
            </w:r>
          </w:p>
        </w:tc>
        <w:tc>
          <w:tcPr>
            <w:tcW w:type="dxa" w:w="4195"/>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6"/>
              </w:rPr>
              <w:t>Meaning</w:t>
            </w:r>
          </w:p>
        </w:tc>
        <w:tc>
          <w:tcPr>
            <w:tcW w:type="dxa" w:w="4195"/>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6"/>
              </w:rPr>
              <w:t>What it does not mean</w:t>
            </w:r>
          </w:p>
        </w:tc>
      </w:tr>
      <w:tr>
        <w:trPr>
          <w:cantSplit/>
        </w:trPr>
        <w:tc>
          <w:tcPr>
            <w:tcW w:type="dxa" w:w="181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Purchase Order</w:t>
            </w:r>
          </w:p>
        </w:tc>
        <w:tc>
          <w:tcPr>
            <w:tcW w:type="dxa" w:w="419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Authorized or proposed commitment to buy under stated terms.</w:t>
            </w:r>
          </w:p>
        </w:tc>
        <w:tc>
          <w:tcPr>
            <w:tcW w:type="dxa" w:w="419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Does not create stock, cash movement, expense, or payable by itself.</w:t>
            </w:r>
          </w:p>
        </w:tc>
      </w:tr>
      <w:tr>
        <w:trPr>
          <w:cantSplit/>
        </w:trPr>
        <w:tc>
          <w:tcPr>
            <w:tcW w:type="dxa" w:w="181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Goods Receipt</w:t>
            </w:r>
          </w:p>
        </w:tc>
        <w:tc>
          <w:tcPr>
            <w:tcW w:type="dxa" w:w="419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Evidence that goods were physically received against an eligible source.</w:t>
            </w:r>
          </w:p>
        </w:tc>
        <w:tc>
          <w:tcPr>
            <w:tcW w:type="dxa" w:w="419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Does not by itself prove the supplier invoice, payment, or final cost classification.</w:t>
            </w:r>
          </w:p>
        </w:tc>
      </w:tr>
      <w:tr>
        <w:trPr>
          <w:cantSplit/>
        </w:trPr>
        <w:tc>
          <w:tcPr>
            <w:tcW w:type="dxa" w:w="181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Supplier Invoice</w:t>
            </w:r>
          </w:p>
        </w:tc>
        <w:tc>
          <w:tcPr>
            <w:tcW w:type="dxa" w:w="419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Supplier billing that establishes or adjusts an obligation when validated and posted.</w:t>
            </w:r>
          </w:p>
        </w:tc>
        <w:tc>
          <w:tcPr>
            <w:tcW w:type="dxa" w:w="419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Does not prove goods were received or money was paid.</w:t>
            </w:r>
          </w:p>
        </w:tc>
      </w:tr>
      <w:tr>
        <w:trPr>
          <w:cantSplit/>
        </w:trPr>
        <w:tc>
          <w:tcPr>
            <w:tcW w:type="dxa" w:w="181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Supplier Payment</w:t>
            </w:r>
          </w:p>
        </w:tc>
        <w:tc>
          <w:tcPr>
            <w:tcW w:type="dxa" w:w="419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Outgoing settlement executed and owned by MDS-500.</w:t>
            </w:r>
          </w:p>
        </w:tc>
        <w:tc>
          <w:tcPr>
            <w:tcW w:type="dxa" w:w="419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Does not create the underlying purchase or supplier obligation.</w:t>
            </w:r>
          </w:p>
        </w:tc>
      </w:tr>
    </w:tbl>
    <w:p>
      <w:pPr>
        <w:spacing w:after="0"/>
      </w:pPr>
    </w:p>
    <w:p>
      <w:pPr>
        <w:pStyle w:val="Heading2"/>
        <w:keepNext/>
      </w:pPr>
      <w:r>
        <w:rPr>
          <w:rFonts w:ascii="Inter" w:hAnsi="Inter" w:eastAsia="Inter"/>
          <w:b/>
          <w:color w:val="1A2D44"/>
          <w:sz w:val="25"/>
        </w:rPr>
        <w:t>3.2 Streamlined Cash Purchase Boundary</w:t>
      </w:r>
    </w:p>
    <w:p>
      <w:r>
        <w:rPr>
          <w:rFonts w:ascii="Inter" w:hAnsi="Inter" w:eastAsia="Inter"/>
        </w:rPr>
        <w:t>SimpleBIZ may present a single New Purchase journey for a paid-now purchase. The user may enter the supplier, items or services, total, tax, evidence, payment method, and Cash Account in one guided flow. The system shall still create or link distinct governed effects:</w:t>
      </w:r>
    </w:p>
    <w:p>
      <w:pPr>
        <w:pStyle w:val="ListBullet"/>
        <w:keepLines/>
      </w:pPr>
      <w:r>
        <w:rPr>
          <w:rFonts w:ascii="Inter" w:hAnsi="Inter" w:eastAsia="Inter"/>
        </w:rPr>
        <w:t>MDS-400 purchase and supplier-document record;</w:t>
      </w:r>
    </w:p>
    <w:p>
      <w:pPr>
        <w:pStyle w:val="ListBullet"/>
        <w:keepLines/>
      </w:pPr>
      <w:r>
        <w:rPr>
          <w:rFonts w:ascii="Inter" w:hAnsi="Inter" w:eastAsia="Inter"/>
        </w:rPr>
        <w:t>MDS-500 outgoing payment and payment allocation;</w:t>
      </w:r>
    </w:p>
    <w:p>
      <w:pPr>
        <w:pStyle w:val="ListBullet"/>
        <w:keepLines/>
      </w:pPr>
      <w:r>
        <w:rPr>
          <w:rFonts w:ascii="Inter" w:hAnsi="Inter" w:eastAsia="Inter"/>
        </w:rPr>
        <w:t>MDS-600 stock receipt for inventory items;</w:t>
      </w:r>
    </w:p>
    <w:p>
      <w:pPr>
        <w:pStyle w:val="ListBullet"/>
        <w:keepLines/>
      </w:pPr>
      <w:r>
        <w:rPr>
          <w:rFonts w:ascii="Inter" w:hAnsi="Inter" w:eastAsia="Inter"/>
        </w:rPr>
        <w:t>MDS-700 cash-account movement;</w:t>
      </w:r>
    </w:p>
    <w:p>
      <w:pPr>
        <w:pStyle w:val="ListBullet"/>
        <w:keepLines/>
      </w:pPr>
      <w:r>
        <w:rPr>
          <w:rFonts w:ascii="Inter" w:hAnsi="Inter" w:eastAsia="Inter"/>
        </w:rPr>
        <w:t>MDS-800 expense recognition for applicable non-inventory lines;</w:t>
      </w:r>
    </w:p>
    <w:p>
      <w:pPr>
        <w:pStyle w:val="ListBullet"/>
        <w:keepLines/>
      </w:pPr>
      <w:r>
        <w:rPr>
          <w:rFonts w:ascii="Inter" w:hAnsi="Inter" w:eastAsia="Inter"/>
        </w:rPr>
        <w:t>Core accounting, audit, reporting, and event evidence.</w:t>
      </w:r>
    </w:p>
    <w:tbl>
      <w:tblPr>
        <w:tblW w:type="auto" w:w="0"/>
        <w:jc w:val="center"/>
        <w:tblLayout w:type="fixed"/>
        <w:tblLook w:firstColumn="1" w:firstRow="1" w:lastColumn="0" w:lastRow="0" w:noHBand="0" w:noVBand="1" w:val="04A0"/>
      </w:tblPr>
      <w:tblGrid>
        <w:gridCol w:w="10262"/>
      </w:tblGrid>
      <w:tr>
        <w:trPr>
          <w:cantSplit/>
        </w:trPr>
        <w:tc>
          <w:tcPr>
            <w:tcW w:type="dxa" w:w="10205"/>
            <w:shd w:fill="E7F0F8"/>
            <w:tcMar>
              <w:top w:w="110" w:type="dxa"/>
              <w:start w:w="140" w:type="dxa"/>
              <w:bottom w:w="110" w:type="dxa"/>
              <w:end w:w="140" w:type="dxa"/>
            </w:tcMar>
            <w:tcBorders>
              <w:top w:val="single" w:sz="3" w:color="2F78B7"/>
              <w:left w:val="single" w:sz="18" w:color="2F78B7"/>
              <w:bottom w:val="single" w:sz="3" w:color="2F78B7"/>
              <w:right w:val="single" w:sz="3" w:color="2F78B7"/>
            </w:tcBorders>
          </w:tcPr>
          <w:p>
            <w:pPr>
              <w:spacing w:after="0"/>
            </w:pPr>
            <w:r>
              <w:rPr>
                <w:rFonts w:ascii="Inter" w:hAnsi="Inter" w:eastAsia="Inter"/>
                <w:b/>
                <w:color w:val="1A2D44"/>
                <w:sz w:val="17"/>
              </w:rPr>
              <w:t xml:space="preserve">SIMPLIFICATION RULE  </w:t>
            </w:r>
            <w:r>
              <w:rPr>
                <w:rFonts w:ascii="Inter" w:hAnsi="Inter" w:eastAsia="Inter"/>
                <w:color w:val="1A2D44"/>
                <w:sz w:val="18"/>
              </w:rPr>
              <w:t>The interface may combine steps; the architecture shall not merge ownership, silently skip validations, or create an untraceable all-purpose transaction.</w:t>
            </w:r>
          </w:p>
        </w:tc>
      </w:tr>
    </w:tbl>
    <w:p>
      <w:pPr>
        <w:spacing w:after="0"/>
      </w:pPr>
    </w:p>
    <w:p>
      <w:pPr>
        <w:pStyle w:val="Heading2"/>
        <w:keepNext/>
      </w:pPr>
      <w:r>
        <w:rPr>
          <w:rFonts w:ascii="Inter" w:hAnsi="Inter" w:eastAsia="Inter"/>
          <w:b/>
          <w:color w:val="1A2D44"/>
          <w:sz w:val="25"/>
        </w:rPr>
        <w:t>3.3 Goods, Services, Expenses, and Assets</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1871"/>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6"/>
              </w:rPr>
              <w:t>Line classification</w:t>
            </w:r>
          </w:p>
        </w:tc>
        <w:tc>
          <w:tcPr>
            <w:tcW w:type="dxa" w:w="4535"/>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6"/>
              </w:rPr>
              <w:t>Primary outcome</w:t>
            </w:r>
          </w:p>
        </w:tc>
        <w:tc>
          <w:tcPr>
            <w:tcW w:type="dxa" w:w="3798"/>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6"/>
              </w:rPr>
              <w:t>Required collaborating owner</w:t>
            </w:r>
          </w:p>
        </w:tc>
      </w:tr>
      <w:tr>
        <w:trPr>
          <w:cantSplit/>
        </w:trPr>
        <w:tc>
          <w:tcPr>
            <w:tcW w:type="dxa" w:w="1871"/>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Inventory item</w:t>
            </w:r>
          </w:p>
        </w:tc>
        <w:tc>
          <w:tcPr>
            <w:tcW w:type="dxa" w:w="45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Quantity and value become available according to receipt and valuation rules.</w:t>
            </w:r>
          </w:p>
        </w:tc>
        <w:tc>
          <w:tcPr>
            <w:tcW w:type="dxa" w:w="379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MDS-600 Inventory</w:t>
            </w:r>
          </w:p>
        </w:tc>
      </w:tr>
      <w:tr>
        <w:trPr>
          <w:cantSplit/>
        </w:trPr>
        <w:tc>
          <w:tcPr>
            <w:tcW w:type="dxa" w:w="1871"/>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Service or operating expense</w:t>
            </w:r>
          </w:p>
        </w:tc>
        <w:tc>
          <w:tcPr>
            <w:tcW w:type="dxa" w:w="45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Supplier obligation is linked to the authorized expense category, evidence, and recognition basis.</w:t>
            </w:r>
          </w:p>
        </w:tc>
        <w:tc>
          <w:tcPr>
            <w:tcW w:type="dxa" w:w="379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MDS-800 Expenses</w:t>
            </w:r>
          </w:p>
        </w:tc>
      </w:tr>
      <w:tr>
        <w:trPr>
          <w:cantSplit/>
        </w:trPr>
        <w:tc>
          <w:tcPr>
            <w:tcW w:type="dxa" w:w="1871"/>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Non-stock supply</w:t>
            </w:r>
          </w:p>
        </w:tc>
        <w:tc>
          <w:tcPr>
            <w:tcW w:type="dxa" w:w="45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May be expensed immediately or tracked according to configured policy.</w:t>
            </w:r>
          </w:p>
        </w:tc>
        <w:tc>
          <w:tcPr>
            <w:tcW w:type="dxa" w:w="379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MDS-800 and, where enabled, MDS-600</w:t>
            </w:r>
          </w:p>
        </w:tc>
      </w:tr>
      <w:tr>
        <w:trPr>
          <w:cantSplit/>
        </w:trPr>
        <w:tc>
          <w:tcPr>
            <w:tcW w:type="dxa" w:w="1871"/>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Fixed asset or project cost</w:t>
            </w:r>
          </w:p>
        </w:tc>
        <w:tc>
          <w:tcPr>
            <w:tcW w:type="dxa" w:w="45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Purchase obligation is preserved and routed to the future authoritative asset/project owner.</w:t>
            </w:r>
          </w:p>
        </w:tc>
        <w:tc>
          <w:tcPr>
            <w:tcW w:type="dxa" w:w="379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Future ERP module; interim governed classification</w:t>
            </w:r>
          </w:p>
        </w:tc>
      </w:tr>
      <w:tr>
        <w:trPr>
          <w:cantSplit/>
        </w:trPr>
        <w:tc>
          <w:tcPr>
            <w:tcW w:type="dxa" w:w="1871"/>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Mixed purchase</w:t>
            </w:r>
          </w:p>
        </w:tc>
        <w:tc>
          <w:tcPr>
            <w:tcW w:type="dxa" w:w="45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Each line follows its own classification while the supplier invoice and payable remain one governed document chain.</w:t>
            </w:r>
          </w:p>
        </w:tc>
        <w:tc>
          <w:tcPr>
            <w:tcW w:type="dxa" w:w="379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MDS-600 / MDS-800 / future owners</w:t>
            </w:r>
          </w:p>
        </w:tc>
      </w:tr>
    </w:tbl>
    <w:p>
      <w:pPr>
        <w:spacing w:after="0"/>
      </w:pPr>
    </w:p>
    <w:p>
      <w:pPr>
        <w:pStyle w:val="Heading1"/>
        <w:keepNext/>
      </w:pPr>
      <w:r>
        <w:rPr>
          <w:rFonts w:ascii="Inter Display" w:hAnsi="Inter Display" w:eastAsia="Inter Display"/>
          <w:b/>
          <w:color w:val="2F78B7"/>
          <w:sz w:val="34"/>
        </w:rPr>
        <w:t>4. Module Overview</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2494"/>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6"/>
              </w:rPr>
              <w:t>Dimension</w:t>
            </w:r>
          </w:p>
        </w:tc>
        <w:tc>
          <w:tcPr>
            <w:tcW w:type="dxa" w:w="7710"/>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6"/>
              </w:rPr>
              <w:t>MDS-400 design</w:t>
            </w:r>
          </w:p>
        </w:tc>
      </w:tr>
      <w:tr>
        <w:trPr>
          <w:cantSplit/>
        </w:trPr>
        <w:tc>
          <w:tcPr>
            <w:tcW w:type="dxa" w:w="249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Primary business questions</w:t>
            </w:r>
          </w:p>
        </w:tc>
        <w:tc>
          <w:tcPr>
            <w:tcW w:type="dxa" w:w="771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What did we buy, from which supplier, what was ordered or received, what did the supplier bill, when is it due, and what remains payable?</w:t>
            </w:r>
          </w:p>
        </w:tc>
      </w:tr>
      <w:tr>
        <w:trPr>
          <w:cantSplit/>
        </w:trPr>
        <w:tc>
          <w:tcPr>
            <w:tcW w:type="dxa" w:w="249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Primary users</w:t>
            </w:r>
          </w:p>
        </w:tc>
        <w:tc>
          <w:tcPr>
            <w:tcW w:type="dxa" w:w="771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Business owner, purchaser, receiving user, bookkeeper, accounts-payable user, finance supervisor, approver, auditor/read-only user.</w:t>
            </w:r>
          </w:p>
        </w:tc>
      </w:tr>
      <w:tr>
        <w:trPr>
          <w:cantSplit/>
        </w:trPr>
        <w:tc>
          <w:tcPr>
            <w:tcW w:type="dxa" w:w="249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Authoritative records</w:t>
            </w:r>
          </w:p>
        </w:tc>
        <w:tc>
          <w:tcPr>
            <w:tcW w:type="dxa" w:w="771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Purchase, Purchase Order, receiving evidence, Supplier Invoice, payable open item, supplier-side adjustment, Purchase Return, dispute/hold, supplier ledger source data.</w:t>
            </w:r>
          </w:p>
        </w:tc>
      </w:tr>
      <w:tr>
        <w:trPr>
          <w:cantSplit/>
        </w:trPr>
        <w:tc>
          <w:tcPr>
            <w:tcW w:type="dxa" w:w="249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Governed projections</w:t>
            </w:r>
          </w:p>
        </w:tc>
        <w:tc>
          <w:tcPr>
            <w:tcW w:type="dxa" w:w="771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Purchase summary, supplier balance, payable aging, due-for-payment readiness, open orders, receiving status, matching exceptions, purchase activity.</w:t>
            </w:r>
          </w:p>
        </w:tc>
      </w:tr>
      <w:tr>
        <w:trPr>
          <w:cantSplit/>
        </w:trPr>
        <w:tc>
          <w:tcPr>
            <w:tcW w:type="dxa" w:w="249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Core dependencies</w:t>
            </w:r>
          </w:p>
        </w:tc>
        <w:tc>
          <w:tcPr>
            <w:tcW w:type="dxa" w:w="771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Identity, company/branch context, permissions, entitlements, numbering, workflow, attachments, events, transactions, audit, notification, error handling, and reporting access.</w:t>
            </w:r>
          </w:p>
        </w:tc>
      </w:tr>
      <w:tr>
        <w:trPr>
          <w:cantSplit/>
        </w:trPr>
        <w:tc>
          <w:tcPr>
            <w:tcW w:type="dxa" w:w="249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Primary integrations</w:t>
            </w:r>
          </w:p>
        </w:tc>
        <w:tc>
          <w:tcPr>
            <w:tcW w:type="dxa" w:w="771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MDS-500 Payments, MDS-600 Inventory, MDS-700 Cash Accounts, MDS-800 Expenses, MDS-900 Reports, MDS-1000 Master Registries, MDS-1100 Settings.</w:t>
            </w:r>
          </w:p>
        </w:tc>
      </w:tr>
      <w:tr>
        <w:trPr>
          <w:cantSplit/>
        </w:trPr>
        <w:tc>
          <w:tcPr>
            <w:tcW w:type="dxa" w:w="249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Current workspace promise</w:t>
            </w:r>
          </w:p>
        </w:tc>
        <w:tc>
          <w:tcPr>
            <w:tcW w:type="dxa" w:w="771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Buy goods and services, receive items, track what you owe, and manage suppliers.</w:t>
            </w:r>
          </w:p>
        </w:tc>
      </w:tr>
    </w:tbl>
    <w:p>
      <w:pPr>
        <w:spacing w:after="0"/>
      </w:pPr>
    </w:p>
    <w:p>
      <w:pPr>
        <w:pStyle w:val="Heading2"/>
        <w:keepNext/>
      </w:pPr>
      <w:r>
        <w:rPr>
          <w:rFonts w:ascii="Inter" w:hAnsi="Inter" w:eastAsia="Inter"/>
          <w:b/>
          <w:color w:val="1A2D44"/>
          <w:sz w:val="25"/>
        </w:rPr>
        <w:t>4.1 Ownership Principles</w:t>
      </w:r>
    </w:p>
    <w:p>
      <w:pPr>
        <w:pStyle w:val="ListBullet"/>
        <w:keepLines/>
      </w:pPr>
      <w:r>
        <w:rPr>
          <w:rFonts w:ascii="Inter" w:hAnsi="Inter" w:eastAsia="Inter"/>
        </w:rPr>
        <w:t>Single Functional Ownership: each document, balance, event, and rule has one authoritative module owner.</w:t>
      </w:r>
    </w:p>
    <w:p>
      <w:pPr>
        <w:pStyle w:val="ListBullet"/>
        <w:keepLines/>
      </w:pPr>
      <w:r>
        <w:rPr>
          <w:rFonts w:ascii="Inter" w:hAnsi="Inter" w:eastAsia="Inter"/>
        </w:rPr>
        <w:t>Multiple UI Entry Points: New Purchase, Receive Items, Add Supplier, Payments Due, and supplier actions may appear in related workspaces without duplicating processing.</w:t>
      </w:r>
    </w:p>
    <w:p>
      <w:pPr>
        <w:pStyle w:val="ListBullet"/>
        <w:keepLines/>
      </w:pPr>
      <w:r>
        <w:rPr>
          <w:rFonts w:ascii="Inter" w:hAnsi="Inter" w:eastAsia="Inter"/>
        </w:rPr>
        <w:t>One Business Event, Multiple Governed Effects: one user action may coordinate purchase, stock, payment, cash, expense, reporting, and audit outcomes through the Core transaction model.</w:t>
      </w:r>
    </w:p>
    <w:p>
      <w:pPr>
        <w:pStyle w:val="ListBullet"/>
        <w:keepLines/>
      </w:pPr>
      <w:r>
        <w:rPr>
          <w:rFonts w:ascii="Inter" w:hAnsi="Inter" w:eastAsia="Inter"/>
        </w:rPr>
        <w:t>Supplier Balance Is Derived: the supplier balance is derived from posted obligations, valid adjustments, and valid payment allocations; it is not manually overwritten.</w:t>
      </w:r>
    </w:p>
    <w:p>
      <w:pPr>
        <w:pStyle w:val="ListBullet"/>
        <w:keepLines/>
      </w:pPr>
      <w:r>
        <w:rPr>
          <w:rFonts w:ascii="Inter" w:hAnsi="Inter" w:eastAsia="Inter"/>
        </w:rPr>
        <w:t>Posted History Is Corrected, Not Rewritten: completed documents are changed only through governed amendment, reversal, return, adjustment, or cancellation chains.</w:t>
      </w:r>
    </w:p>
    <w:p>
      <w:r>
        <w:br w:type="page"/>
      </w:r>
    </w:p>
    <w:p>
      <w:pPr>
        <w:pStyle w:val="PartTitle"/>
        <w:spacing w:before="900" w:after="80"/>
      </w:pPr>
      <w:r>
        <w:rPr>
          <w:rFonts w:ascii="Inter" w:hAnsi="Inter" w:eastAsia="Inter"/>
          <w:b/>
          <w:color w:val="667485"/>
          <w:sz w:val="20"/>
        </w:rPr>
        <w:t>PART II</w:t>
      </w:r>
    </w:p>
    <w:p>
      <w:pPr>
        <w:pStyle w:val="PartName"/>
        <w:spacing w:after="120"/>
      </w:pPr>
      <w:r>
        <w:rPr>
          <w:rFonts w:ascii="Inter Display" w:hAnsi="Inter Display" w:eastAsia="Inter Display"/>
          <w:b/>
          <w:color w:val="2F78B7"/>
          <w:sz w:val="50"/>
        </w:rPr>
        <w:t>Functional Design</w:t>
      </w:r>
    </w:p>
    <w:p>
      <w:pPr>
        <w:pStyle w:val="PartSubtitle"/>
        <w:spacing w:after="0"/>
      </w:pPr>
      <w:r>
        <w:rPr>
          <w:rFonts w:ascii="Inter" w:hAnsi="Inter" w:eastAsia="Inter"/>
          <w:color w:val="667485"/>
          <w:sz w:val="22"/>
        </w:rPr>
        <w:t>Components, master data, business documents, events, requirements, rules, workflows, statuses, and exceptions.</w:t>
      </w:r>
    </w:p>
    <w:p>
      <w:pPr>
        <w:pStyle w:val="Heading1"/>
        <w:keepNext/>
      </w:pPr>
      <w:r>
        <w:rPr>
          <w:rFonts w:ascii="Inter Display" w:hAnsi="Inter Display" w:eastAsia="Inter Display"/>
          <w:b/>
          <w:color w:val="2F78B7"/>
          <w:sz w:val="34"/>
        </w:rPr>
        <w:t>5. Module Components</w:t>
      </w:r>
    </w:p>
    <w:p>
      <w:pPr>
        <w:pStyle w:val="Heading2"/>
        <w:keepNext/>
      </w:pPr>
      <w:r>
        <w:rPr>
          <w:rFonts w:ascii="Inter" w:hAnsi="Inter" w:eastAsia="Inter"/>
          <w:b/>
          <w:color w:val="1A2D44"/>
          <w:sz w:val="25"/>
        </w:rPr>
        <w:t>5.1 Purchase Entry and Orchestration</w:t>
      </w:r>
    </w:p>
    <w:p>
      <w:r>
        <w:rPr>
          <w:rFonts w:ascii="Inter" w:hAnsi="Inter" w:eastAsia="Inter"/>
        </w:rPr>
        <w:t>Supports direct purchases and guided document-chain creation. It identifies supplier, line classification, quantities, prices, taxes, terms, branch, location, evidence, receipt status, and whether payment is immediate or deferred.</w:t>
      </w:r>
    </w:p>
    <w:p>
      <w:pPr>
        <w:pStyle w:val="Heading2"/>
        <w:keepNext/>
      </w:pPr>
      <w:r>
        <w:rPr>
          <w:rFonts w:ascii="Inter" w:hAnsi="Inter" w:eastAsia="Inter"/>
          <w:b/>
          <w:color w:val="1A2D44"/>
          <w:sz w:val="25"/>
        </w:rPr>
        <w:t>5.2 Purchase Orders</w:t>
      </w:r>
    </w:p>
    <w:p>
      <w:r>
        <w:rPr>
          <w:rFonts w:ascii="Inter" w:hAnsi="Inter" w:eastAsia="Inter"/>
        </w:rPr>
        <w:t>Creates, submits, approves, amends, closes, and cancels supplier commitments. It tracks ordered, received, invoiced, returned, and remaining quantities and amounts.</w:t>
      </w:r>
    </w:p>
    <w:p>
      <w:pPr>
        <w:pStyle w:val="Heading2"/>
        <w:keepNext/>
      </w:pPr>
      <w:r>
        <w:rPr>
          <w:rFonts w:ascii="Inter" w:hAnsi="Inter" w:eastAsia="Inter"/>
          <w:b/>
          <w:color w:val="1A2D44"/>
          <w:sz w:val="25"/>
        </w:rPr>
        <w:t>5.3 Receiving Coordination</w:t>
      </w:r>
    </w:p>
    <w:p>
      <w:r>
        <w:rPr>
          <w:rFonts w:ascii="Inter" w:hAnsi="Inter" w:eastAsia="Inter"/>
        </w:rPr>
        <w:t>Records procurement-side receiving evidence against an eligible order or direct purchase and invokes MDS-600 for authoritative stock movement. It supports partial receipt, over/short receipt policy, damaged or rejected quantities, and receiving reversal.</w:t>
      </w:r>
    </w:p>
    <w:p>
      <w:pPr>
        <w:pStyle w:val="Heading2"/>
        <w:keepNext/>
      </w:pPr>
      <w:r>
        <w:rPr>
          <w:rFonts w:ascii="Inter" w:hAnsi="Inter" w:eastAsia="Inter"/>
          <w:b/>
          <w:color w:val="1A2D44"/>
          <w:sz w:val="25"/>
        </w:rPr>
        <w:t>5.4 Supplier Invoices</w:t>
      </w:r>
    </w:p>
    <w:p>
      <w:r>
        <w:rPr>
          <w:rFonts w:ascii="Inter" w:hAnsi="Inter" w:eastAsia="Inter"/>
        </w:rPr>
        <w:t>Captures supplier billing, validates supplier references, matches invoice lines to orders and receipts where required, establishes due dates, and creates payable open items after posting.</w:t>
      </w:r>
    </w:p>
    <w:p>
      <w:pPr>
        <w:pStyle w:val="Heading2"/>
        <w:keepNext/>
      </w:pPr>
      <w:r>
        <w:rPr>
          <w:rFonts w:ascii="Inter" w:hAnsi="Inter" w:eastAsia="Inter"/>
          <w:b/>
          <w:color w:val="1A2D44"/>
          <w:sz w:val="25"/>
        </w:rPr>
        <w:t>5.5 Payables and Due Management</w:t>
      </w:r>
    </w:p>
    <w:p>
      <w:r>
        <w:rPr>
          <w:rFonts w:ascii="Inter" w:hAnsi="Inter" w:eastAsia="Inter"/>
        </w:rPr>
        <w:t>Maintains payable status, due date, discount date, outstanding amount, hold/dispute state, payment readiness, and handoff to MDS-500.</w:t>
      </w:r>
    </w:p>
    <w:p>
      <w:pPr>
        <w:pStyle w:val="Heading2"/>
        <w:keepNext/>
      </w:pPr>
      <w:r>
        <w:rPr>
          <w:rFonts w:ascii="Inter" w:hAnsi="Inter" w:eastAsia="Inter"/>
          <w:b/>
          <w:color w:val="1A2D44"/>
          <w:sz w:val="25"/>
        </w:rPr>
        <w:t>5.6 Supplier Ledger</w:t>
      </w:r>
    </w:p>
    <w:p>
      <w:r>
        <w:rPr>
          <w:rFonts w:ascii="Inter" w:hAnsi="Inter" w:eastAsia="Inter"/>
        </w:rPr>
        <w:t>Presents a governed projection of supplier charges, returns, debit/credit adjustments, payment applications, advances, refunds, and balances in chronological order.</w:t>
      </w:r>
    </w:p>
    <w:p>
      <w:pPr>
        <w:pStyle w:val="Heading2"/>
        <w:keepNext/>
      </w:pPr>
      <w:r>
        <w:rPr>
          <w:rFonts w:ascii="Inter" w:hAnsi="Inter" w:eastAsia="Inter"/>
          <w:b/>
          <w:color w:val="1A2D44"/>
          <w:sz w:val="25"/>
        </w:rPr>
        <w:t>5.7 Purchase Returns and Supplier Adjustments</w:t>
      </w:r>
    </w:p>
    <w:p>
      <w:r>
        <w:rPr>
          <w:rFonts w:ascii="Inter" w:hAnsi="Inter" w:eastAsia="Inter"/>
        </w:rPr>
        <w:t>Records return-to-supplier activity and supplier-side corrections. It coordinates stock-out, payable reduction or increase, supplier credit, replacement, or refund context.</w:t>
      </w:r>
    </w:p>
    <w:p>
      <w:pPr>
        <w:pStyle w:val="Heading2"/>
        <w:keepNext/>
      </w:pPr>
      <w:r>
        <w:rPr>
          <w:rFonts w:ascii="Inter" w:hAnsi="Inter" w:eastAsia="Inter"/>
          <w:b/>
          <w:color w:val="1A2D44"/>
          <w:sz w:val="25"/>
        </w:rPr>
        <w:t>5.8 Matching and Exception Management</w:t>
      </w:r>
    </w:p>
    <w:p>
      <w:r>
        <w:rPr>
          <w:rFonts w:ascii="Inter" w:hAnsi="Inter" w:eastAsia="Inter"/>
        </w:rPr>
        <w:t>Supports no-order, two-way, and three-way matching; quantity/price/tax/tolerance checks; duplicate invoice detection; dispute; hold; missing-evidence conditions; and authorized resolution.</w:t>
      </w:r>
    </w:p>
    <w:p>
      <w:pPr>
        <w:pStyle w:val="Heading2"/>
        <w:keepNext/>
      </w:pPr>
      <w:r>
        <w:rPr>
          <w:rFonts w:ascii="Inter" w:hAnsi="Inter" w:eastAsia="Inter"/>
          <w:b/>
          <w:color w:val="1A2D44"/>
          <w:sz w:val="25"/>
        </w:rPr>
        <w:t>5.9 Purchase History and Inquiry</w:t>
      </w:r>
    </w:p>
    <w:p>
      <w:r>
        <w:rPr>
          <w:rFonts w:ascii="Inter" w:hAnsi="Inter" w:eastAsia="Inter"/>
        </w:rPr>
        <w:t>Provides searchable, filterable, and exportable access to purchases, orders, receipts, invoices, returns, adjustments, and supplier activity without weakening source ownership.</w:t>
      </w:r>
    </w:p>
    <w:p>
      <w:pPr>
        <w:pStyle w:val="Heading2"/>
        <w:keepNext/>
      </w:pPr>
      <w:r>
        <w:rPr>
          <w:rFonts w:ascii="Inter" w:hAnsi="Inter" w:eastAsia="Inter"/>
          <w:b/>
          <w:color w:val="1A2D44"/>
          <w:sz w:val="25"/>
        </w:rPr>
        <w:t>5.10 Reports, Needs Attention, and Action Entry Points</w:t>
      </w:r>
    </w:p>
    <w:p>
      <w:r>
        <w:rPr>
          <w:rFonts w:ascii="Inter" w:hAnsi="Inter" w:eastAsia="Inter"/>
        </w:rPr>
        <w:t>Surfaces open orders, goods pending receipt, unmatched invoices, due/overdue payables, holds, disputes, supplier balances, and governed routes to MDS-500 and related modules.</w:t>
      </w:r>
    </w:p>
    <w:p>
      <w:r>
        <w:br w:type="page"/>
      </w:r>
    </w:p>
    <w:p>
      <w:pPr>
        <w:pStyle w:val="Heading1"/>
        <w:keepNext/>
      </w:pPr>
      <w:r>
        <w:rPr>
          <w:rFonts w:ascii="Inter Display" w:hAnsi="Inter Display" w:eastAsia="Inter Display"/>
          <w:b/>
          <w:color w:val="2F78B7"/>
          <w:sz w:val="34"/>
        </w:rPr>
        <w:t>6. Master Data</w:t>
      </w:r>
    </w:p>
    <w:p>
      <w:r>
        <w:rPr>
          <w:rFonts w:ascii="Inter" w:hAnsi="Inter" w:eastAsia="Inter"/>
        </w:rPr>
        <w:t>MDS-400 consumes authoritative shared records from MDS-1000 and configuration from MDS-1100. Quick-create links may be available through Multiple UI Entry Points, but MDS-400 shall not maintain competing registries.</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494"/>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Master or reference data</w:t>
            </w:r>
          </w:p>
        </w:tc>
        <w:tc>
          <w:tcPr>
            <w:tcW w:type="dxa" w:w="2324"/>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Authoritative owner</w:t>
            </w:r>
          </w:p>
        </w:tc>
        <w:tc>
          <w:tcPr>
            <w:tcW w:type="dxa" w:w="5386"/>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Use in MDS-400</w:t>
            </w:r>
          </w:p>
        </w:tc>
      </w:tr>
      <w:tr>
        <w:trPr>
          <w:cantSplit/>
        </w:trPr>
        <w:tc>
          <w:tcPr>
            <w:tcW w:type="dxa" w:w="249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Supplier / Business Partner</w:t>
            </w:r>
          </w:p>
        </w:tc>
        <w:tc>
          <w:tcPr>
            <w:tcW w:type="dxa" w:w="232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MDS-1000</w:t>
            </w:r>
          </w:p>
        </w:tc>
        <w:tc>
          <w:tcPr>
            <w:tcW w:type="dxa" w:w="538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Identity, status, addresses, contacts, tax profile, default terms, currency, purchasing controls, and supplier references.</w:t>
            </w:r>
          </w:p>
        </w:tc>
      </w:tr>
      <w:tr>
        <w:trPr>
          <w:cantSplit/>
        </w:trPr>
        <w:tc>
          <w:tcPr>
            <w:tcW w:type="dxa" w:w="249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Product / Service</w:t>
            </w:r>
          </w:p>
        </w:tc>
        <w:tc>
          <w:tcPr>
            <w:tcW w:type="dxa" w:w="232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MDS-1000</w:t>
            </w:r>
          </w:p>
        </w:tc>
        <w:tc>
          <w:tcPr>
            <w:tcW w:type="dxa" w:w="538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Line description, stock/service classification, units, tax, default cost, category, and receiving requirement.</w:t>
            </w:r>
          </w:p>
        </w:tc>
      </w:tr>
      <w:tr>
        <w:trPr>
          <w:cantSplit/>
        </w:trPr>
        <w:tc>
          <w:tcPr>
            <w:tcW w:type="dxa" w:w="249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Unit of Measure</w:t>
            </w:r>
          </w:p>
        </w:tc>
        <w:tc>
          <w:tcPr>
            <w:tcW w:type="dxa" w:w="232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MDS-1000</w:t>
            </w:r>
          </w:p>
        </w:tc>
        <w:tc>
          <w:tcPr>
            <w:tcW w:type="dxa" w:w="538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Order, receipt, invoice, conversion, and return quantity control.</w:t>
            </w:r>
          </w:p>
        </w:tc>
      </w:tr>
      <w:tr>
        <w:trPr>
          <w:cantSplit/>
        </w:trPr>
        <w:tc>
          <w:tcPr>
            <w:tcW w:type="dxa" w:w="249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Warehouse / Stock Location</w:t>
            </w:r>
          </w:p>
        </w:tc>
        <w:tc>
          <w:tcPr>
            <w:tcW w:type="dxa" w:w="232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MDS-1000</w:t>
            </w:r>
          </w:p>
        </w:tc>
        <w:tc>
          <w:tcPr>
            <w:tcW w:type="dxa" w:w="538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Receiving destination and return source used by MDS-600.</w:t>
            </w:r>
          </w:p>
        </w:tc>
      </w:tr>
      <w:tr>
        <w:trPr>
          <w:cantSplit/>
        </w:trPr>
        <w:tc>
          <w:tcPr>
            <w:tcW w:type="dxa" w:w="249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Payment Terms</w:t>
            </w:r>
          </w:p>
        </w:tc>
        <w:tc>
          <w:tcPr>
            <w:tcW w:type="dxa" w:w="232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MDS-1000 / MDS-1100</w:t>
            </w:r>
          </w:p>
        </w:tc>
        <w:tc>
          <w:tcPr>
            <w:tcW w:type="dxa" w:w="538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Due-date, discount-date, installment, and aging calculation.</w:t>
            </w:r>
          </w:p>
        </w:tc>
      </w:tr>
      <w:tr>
        <w:trPr>
          <w:cantSplit/>
        </w:trPr>
        <w:tc>
          <w:tcPr>
            <w:tcW w:type="dxa" w:w="249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Tax Code</w:t>
            </w:r>
          </w:p>
        </w:tc>
        <w:tc>
          <w:tcPr>
            <w:tcW w:type="dxa" w:w="232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MDS-1000</w:t>
            </w:r>
          </w:p>
        </w:tc>
        <w:tc>
          <w:tcPr>
            <w:tcW w:type="dxa" w:w="538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Purchase tax determination, inclusive/exclusive treatment, recoverability, and reporting classification.</w:t>
            </w:r>
          </w:p>
        </w:tc>
      </w:tr>
      <w:tr>
        <w:trPr>
          <w:cantSplit/>
        </w:trPr>
        <w:tc>
          <w:tcPr>
            <w:tcW w:type="dxa" w:w="249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Currency and Exchange-Rate Source</w:t>
            </w:r>
          </w:p>
        </w:tc>
        <w:tc>
          <w:tcPr>
            <w:tcW w:type="dxa" w:w="232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MDS-1000 / MDS-1100</w:t>
            </w:r>
          </w:p>
        </w:tc>
        <w:tc>
          <w:tcPr>
            <w:tcW w:type="dxa" w:w="538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Transaction currency, rate date, payable amount, realized/unrealized handling where enabled.</w:t>
            </w:r>
          </w:p>
        </w:tc>
      </w:tr>
      <w:tr>
        <w:trPr>
          <w:cantSplit/>
        </w:trPr>
        <w:tc>
          <w:tcPr>
            <w:tcW w:type="dxa" w:w="249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Branch / Business Unit / Cost Center</w:t>
            </w:r>
          </w:p>
        </w:tc>
        <w:tc>
          <w:tcPr>
            <w:tcW w:type="dxa" w:w="232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MDS-1000</w:t>
            </w:r>
          </w:p>
        </w:tc>
        <w:tc>
          <w:tcPr>
            <w:tcW w:type="dxa" w:w="538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Ownership, delivery, reporting, permission, and allocation context.</w:t>
            </w:r>
          </w:p>
        </w:tc>
      </w:tr>
      <w:tr>
        <w:trPr>
          <w:cantSplit/>
        </w:trPr>
        <w:tc>
          <w:tcPr>
            <w:tcW w:type="dxa" w:w="249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Expense Category / Financial Classification</w:t>
            </w:r>
          </w:p>
        </w:tc>
        <w:tc>
          <w:tcPr>
            <w:tcW w:type="dxa" w:w="232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MDS-1000 / MDS-800</w:t>
            </w:r>
          </w:p>
        </w:tc>
        <w:tc>
          <w:tcPr>
            <w:tcW w:type="dxa" w:w="538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Classification of service, supply, or operating-expense lines.</w:t>
            </w:r>
          </w:p>
        </w:tc>
      </w:tr>
      <w:tr>
        <w:trPr>
          <w:cantSplit/>
        </w:trPr>
        <w:tc>
          <w:tcPr>
            <w:tcW w:type="dxa" w:w="249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Cash Account / Payment Method</w:t>
            </w:r>
          </w:p>
        </w:tc>
        <w:tc>
          <w:tcPr>
            <w:tcW w:type="dxa" w:w="232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MDS-1000 / MDS-700</w:t>
            </w:r>
          </w:p>
        </w:tc>
        <w:tc>
          <w:tcPr>
            <w:tcW w:type="dxa" w:w="538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Displayed for paid-now entry and payment handoff; not used by MDS-400 to post cash directly.</w:t>
            </w:r>
          </w:p>
        </w:tc>
      </w:tr>
      <w:tr>
        <w:trPr>
          <w:cantSplit/>
        </w:trPr>
        <w:tc>
          <w:tcPr>
            <w:tcW w:type="dxa" w:w="249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User / Role / Approval Matrix</w:t>
            </w:r>
          </w:p>
        </w:tc>
        <w:tc>
          <w:tcPr>
            <w:tcW w:type="dxa" w:w="232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MDS-1100</w:t>
            </w:r>
          </w:p>
        </w:tc>
        <w:tc>
          <w:tcPr>
            <w:tcW w:type="dxa" w:w="538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Authority to create, receive, approve, post, hold, adjust, reverse, view, export, and hand off for payment.</w:t>
            </w:r>
          </w:p>
        </w:tc>
      </w:tr>
      <w:tr>
        <w:trPr>
          <w:cantSplit/>
        </w:trPr>
        <w:tc>
          <w:tcPr>
            <w:tcW w:type="dxa" w:w="249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Numbering and Tolerance Settings</w:t>
            </w:r>
          </w:p>
        </w:tc>
        <w:tc>
          <w:tcPr>
            <w:tcW w:type="dxa" w:w="232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MDS-1100</w:t>
            </w:r>
          </w:p>
        </w:tc>
        <w:tc>
          <w:tcPr>
            <w:tcW w:type="dxa" w:w="538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Document numbers, duplicate rules, quantity/price tolerances, matching, dates, and posting controls.</w:t>
            </w:r>
          </w:p>
        </w:tc>
      </w:tr>
    </w:tbl>
    <w:p>
      <w:pPr>
        <w:spacing w:after="0"/>
      </w:pPr>
    </w:p>
    <w:tbl>
      <w:tblPr>
        <w:tblW w:type="auto" w:w="0"/>
        <w:jc w:val="center"/>
        <w:tblLayout w:type="fixed"/>
        <w:tblLook w:firstColumn="1" w:firstRow="1" w:lastColumn="0" w:lastRow="0" w:noHBand="0" w:noVBand="1" w:val="04A0"/>
      </w:tblPr>
      <w:tblGrid>
        <w:gridCol w:w="10262"/>
      </w:tblGrid>
      <w:tr>
        <w:trPr>
          <w:cantSplit/>
        </w:trPr>
        <w:tc>
          <w:tcPr>
            <w:tcW w:type="dxa" w:w="10205"/>
            <w:shd w:fill="E7F0F8"/>
            <w:tcMar>
              <w:top w:w="110" w:type="dxa"/>
              <w:start w:w="140" w:type="dxa"/>
              <w:bottom w:w="110" w:type="dxa"/>
              <w:end w:w="140" w:type="dxa"/>
            </w:tcMar>
            <w:tcBorders>
              <w:top w:val="single" w:sz="3" w:color="2F78B7"/>
              <w:left w:val="single" w:sz="18" w:color="2F78B7"/>
              <w:bottom w:val="single" w:sz="3" w:color="2F78B7"/>
              <w:right w:val="single" w:sz="3" w:color="2F78B7"/>
            </w:tcBorders>
          </w:tcPr>
          <w:p>
            <w:pPr>
              <w:spacing w:after="0"/>
            </w:pPr>
            <w:r>
              <w:rPr>
                <w:rFonts w:ascii="Inter" w:hAnsi="Inter" w:eastAsia="Inter"/>
                <w:b/>
                <w:color w:val="1A2D44"/>
                <w:sz w:val="17"/>
              </w:rPr>
              <w:t xml:space="preserve">MASTER-DATA RULE  </w:t>
            </w:r>
            <w:r>
              <w:rPr>
                <w:rFonts w:ascii="Inter" w:hAnsi="Inter" w:eastAsia="Inter"/>
                <w:color w:val="1A2D44"/>
                <w:sz w:val="18"/>
              </w:rPr>
              <w:t>A quick-create supplier or product action changes where the user starts, not which module owns the record, validation, audit history, status, or duplicate controls.</w:t>
            </w:r>
          </w:p>
        </w:tc>
      </w:tr>
    </w:tbl>
    <w:p>
      <w:pPr>
        <w:spacing w:after="0"/>
      </w:pPr>
    </w:p>
    <w:p>
      <w:pPr>
        <w:pStyle w:val="Heading1"/>
        <w:keepNext/>
      </w:pPr>
      <w:r>
        <w:rPr>
          <w:rFonts w:ascii="Inter Display" w:hAnsi="Inter Display" w:eastAsia="Inter Display"/>
          <w:b/>
          <w:color w:val="2F78B7"/>
          <w:sz w:val="34"/>
        </w:rPr>
        <w:t>7. Business Documents</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Document</w:t>
            </w:r>
          </w:p>
        </w:tc>
        <w:tc>
          <w:tcPr>
            <w:tcW w:type="dxa" w:w="4025"/>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Purpose</w:t>
            </w:r>
          </w:p>
        </w:tc>
        <w:tc>
          <w:tcPr>
            <w:tcW w:type="dxa" w:w="4139"/>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Authoritative effect</w:t>
            </w:r>
          </w:p>
        </w:tc>
      </w:tr>
      <w:tr>
        <w:trPr>
          <w:cantSplit/>
        </w:trPr>
        <w:tc>
          <w:tcPr>
            <w:tcW w:type="dxa" w:w="2041"/>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Purchase / Direct Purchase</w:t>
            </w:r>
          </w:p>
        </w:tc>
        <w:tc>
          <w:tcPr>
            <w:tcW w:type="dxa" w:w="402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User-centered record for buying goods or services, with linked order, receipt, invoice, and payment context as applicable.</w:t>
            </w:r>
          </w:p>
        </w:tc>
        <w:tc>
          <w:tcPr>
            <w:tcW w:type="dxa" w:w="4139"/>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Creates the governed purchase chain; effects depend on posted child documents and integrations.</w:t>
            </w:r>
          </w:p>
        </w:tc>
      </w:tr>
      <w:tr>
        <w:trPr>
          <w:cantSplit/>
        </w:trPr>
        <w:tc>
          <w:tcPr>
            <w:tcW w:type="dxa" w:w="2041"/>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Purchase Order (PO)</w:t>
            </w:r>
          </w:p>
        </w:tc>
        <w:tc>
          <w:tcPr>
            <w:tcW w:type="dxa" w:w="402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Commitment or request to buy specified goods or services under stated commercial terms.</w:t>
            </w:r>
          </w:p>
        </w:tc>
        <w:tc>
          <w:tcPr>
            <w:tcW w:type="dxa" w:w="4139"/>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No stock, payable, expense, or cash effect by itself.</w:t>
            </w:r>
          </w:p>
        </w:tc>
      </w:tr>
      <w:tr>
        <w:trPr>
          <w:cantSplit/>
        </w:trPr>
        <w:tc>
          <w:tcPr>
            <w:tcW w:type="dxa" w:w="2041"/>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Goods Receipt (GR)</w:t>
            </w:r>
          </w:p>
        </w:tc>
        <w:tc>
          <w:tcPr>
            <w:tcW w:type="dxa" w:w="402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Procurement evidence that goods were received, partially received, rejected, damaged, or accepted.</w:t>
            </w:r>
          </w:p>
        </w:tc>
        <w:tc>
          <w:tcPr>
            <w:tcW w:type="dxa" w:w="4139"/>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Invokes MDS-600 stock receipt; does not independently create payment.</w:t>
            </w:r>
          </w:p>
        </w:tc>
      </w:tr>
      <w:tr>
        <w:trPr>
          <w:cantSplit/>
        </w:trPr>
        <w:tc>
          <w:tcPr>
            <w:tcW w:type="dxa" w:w="2041"/>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Supplier Invoice (SI)</w:t>
            </w:r>
          </w:p>
        </w:tc>
        <w:tc>
          <w:tcPr>
            <w:tcW w:type="dxa" w:w="402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Supplier billing document that establishes the amount, tax, terms, due date, and obligation after validation.</w:t>
            </w:r>
          </w:p>
        </w:tc>
        <w:tc>
          <w:tcPr>
            <w:tcW w:type="dxa" w:w="4139"/>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Creates or adjusts payable open items and links expense/inventory/asset classifications.</w:t>
            </w:r>
          </w:p>
        </w:tc>
      </w:tr>
      <w:tr>
        <w:trPr>
          <w:cantSplit/>
        </w:trPr>
        <w:tc>
          <w:tcPr>
            <w:tcW w:type="dxa" w:w="2041"/>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Purchase Return (PR)</w:t>
            </w:r>
          </w:p>
        </w:tc>
        <w:tc>
          <w:tcPr>
            <w:tcW w:type="dxa" w:w="402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Controlled return of received goods or rejection of a purchased item.</w:t>
            </w:r>
          </w:p>
        </w:tc>
        <w:tc>
          <w:tcPr>
            <w:tcW w:type="dxa" w:w="4139"/>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Invokes MDS-600 stock issue and creates supplier credit/adjustment eligibility.</w:t>
            </w:r>
          </w:p>
        </w:tc>
      </w:tr>
      <w:tr>
        <w:trPr>
          <w:cantSplit/>
        </w:trPr>
        <w:tc>
          <w:tcPr>
            <w:tcW w:type="dxa" w:w="2041"/>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Supplier Debit Adjustment (SDA)</w:t>
            </w:r>
          </w:p>
        </w:tc>
        <w:tc>
          <w:tcPr>
            <w:tcW w:type="dxa" w:w="402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Buyer-side adjustment that decreases the amount owed to the supplier.</w:t>
            </w:r>
          </w:p>
        </w:tc>
        <w:tc>
          <w:tcPr>
            <w:tcW w:type="dxa" w:w="4139"/>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Reduces the payable or creates supplier credit, with source reason and evidence.</w:t>
            </w:r>
          </w:p>
        </w:tc>
      </w:tr>
      <w:tr>
        <w:trPr>
          <w:cantSplit/>
        </w:trPr>
        <w:tc>
          <w:tcPr>
            <w:tcW w:type="dxa" w:w="2041"/>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Supplier Credit Adjustment (SCA)</w:t>
            </w:r>
          </w:p>
        </w:tc>
        <w:tc>
          <w:tcPr>
            <w:tcW w:type="dxa" w:w="402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Buyer-side adjustment that increases the amount owed to the supplier.</w:t>
            </w:r>
          </w:p>
        </w:tc>
        <w:tc>
          <w:tcPr>
            <w:tcW w:type="dxa" w:w="4139"/>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Increases the payable with approved reason and traceability.</w:t>
            </w:r>
          </w:p>
        </w:tc>
      </w:tr>
      <w:tr>
        <w:trPr>
          <w:cantSplit/>
        </w:trPr>
        <w:tc>
          <w:tcPr>
            <w:tcW w:type="dxa" w:w="2041"/>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Payment Request / Payment Handoff</w:t>
            </w:r>
          </w:p>
        </w:tc>
        <w:tc>
          <w:tcPr>
            <w:tcW w:type="dxa" w:w="402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Authorized request or eligible obligation passed to MDS-500 for payment preparation and execution.</w:t>
            </w:r>
          </w:p>
        </w:tc>
        <w:tc>
          <w:tcPr>
            <w:tcW w:type="dxa" w:w="4139"/>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Does not move cash or settle the payable until MDS-500 completes and allocates payment.</w:t>
            </w:r>
          </w:p>
        </w:tc>
      </w:tr>
      <w:tr>
        <w:trPr>
          <w:cantSplit/>
        </w:trPr>
        <w:tc>
          <w:tcPr>
            <w:tcW w:type="dxa" w:w="2041"/>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Supplier Statement / Reconciliation Evidence</w:t>
            </w:r>
          </w:p>
        </w:tc>
        <w:tc>
          <w:tcPr>
            <w:tcW w:type="dxa" w:w="402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External or internal evidence used to compare supplier-reported activity with the governed supplier ledger.</w:t>
            </w:r>
          </w:p>
        </w:tc>
        <w:tc>
          <w:tcPr>
            <w:tcW w:type="dxa" w:w="4139"/>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Supports reconciliation and exception resolution; does not replace source documents.</w:t>
            </w:r>
          </w:p>
        </w:tc>
      </w:tr>
    </w:tbl>
    <w:p>
      <w:pPr>
        <w:spacing w:after="0"/>
      </w:pPr>
    </w:p>
    <w:p>
      <w:pPr>
        <w:pStyle w:val="Heading2"/>
        <w:keepNext/>
      </w:pPr>
      <w:r>
        <w:rPr>
          <w:rFonts w:ascii="Inter" w:hAnsi="Inter" w:eastAsia="Inter"/>
          <w:b/>
          <w:color w:val="1A2D44"/>
          <w:sz w:val="25"/>
        </w:rPr>
        <w:t>7.1 Document Numbering and References</w:t>
      </w:r>
    </w:p>
    <w:p>
      <w:pPr>
        <w:pStyle w:val="ListBullet"/>
        <w:keepLines/>
      </w:pPr>
      <w:r>
        <w:rPr>
          <w:rFonts w:ascii="Inter" w:hAnsi="Inter" w:eastAsia="Inter"/>
        </w:rPr>
        <w:t>Every internal business document shall use a unique, tenant-scoped, configurable number generated through Core numbering services.</w:t>
      </w:r>
    </w:p>
    <w:p>
      <w:pPr>
        <w:pStyle w:val="ListBullet"/>
        <w:keepLines/>
      </w:pPr>
      <w:r>
        <w:rPr>
          <w:rFonts w:ascii="Inter" w:hAnsi="Inter" w:eastAsia="Inter"/>
        </w:rPr>
        <w:t>Supplier invoice number shall preserve the external supplier reference exactly as received, subject to safe normalization for duplicate checking.</w:t>
      </w:r>
    </w:p>
    <w:p>
      <w:pPr>
        <w:pStyle w:val="ListBullet"/>
        <w:keepLines/>
      </w:pPr>
      <w:r>
        <w:rPr>
          <w:rFonts w:ascii="Inter" w:hAnsi="Inter" w:eastAsia="Inter"/>
        </w:rPr>
        <w:t>Duplicate supplier invoice detection shall consider supplier, external invoice number, company or legal entity, and configured date/amount tolerance.</w:t>
      </w:r>
    </w:p>
    <w:p>
      <w:pPr>
        <w:pStyle w:val="ListBullet"/>
        <w:keepLines/>
      </w:pPr>
      <w:r>
        <w:rPr>
          <w:rFonts w:ascii="Inter" w:hAnsi="Inter" w:eastAsia="Inter"/>
        </w:rPr>
        <w:t>All derived documents shall retain source links, including PO, GR, SI, return, adjustment, payment request, payment allocation, and reversal chain.</w:t>
      </w:r>
    </w:p>
    <w:p>
      <w:pPr>
        <w:pStyle w:val="ListBullet"/>
        <w:keepLines/>
      </w:pPr>
      <w:r>
        <w:rPr>
          <w:rFonts w:ascii="Inter" w:hAnsi="Inter" w:eastAsia="Inter"/>
        </w:rPr>
        <w:t>Reprints or exports shall identify copy/reprint status where required and shall not generate a new business document identity.</w:t>
      </w:r>
    </w:p>
    <w:p>
      <w:pPr>
        <w:pStyle w:val="Heading2"/>
        <w:keepNext/>
      </w:pPr>
      <w:r>
        <w:rPr>
          <w:rFonts w:ascii="Inter" w:hAnsi="Inter" w:eastAsia="Inter"/>
          <w:b/>
          <w:color w:val="1A2D44"/>
          <w:sz w:val="25"/>
        </w:rPr>
        <w:t>7.2 Standard Status Catalog</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2381"/>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Record</w:t>
            </w:r>
          </w:p>
        </w:tc>
        <w:tc>
          <w:tcPr>
            <w:tcW w:type="dxa" w:w="7824"/>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Initial statuses</w:t>
            </w:r>
          </w:p>
        </w:tc>
      </w:tr>
      <w:tr>
        <w:trPr>
          <w:cantSplit/>
        </w:trPr>
        <w:tc>
          <w:tcPr>
            <w:tcW w:type="dxa" w:w="2381"/>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Purchase / Direct Purchase</w:t>
            </w:r>
          </w:p>
        </w:tc>
        <w:tc>
          <w:tcPr>
            <w:tcW w:type="dxa" w:w="782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Draft; Validating; Ready; Posted; Partially Settled; Settled; On Hold; Cancelled; Reversed.</w:t>
            </w:r>
          </w:p>
        </w:tc>
      </w:tr>
      <w:tr>
        <w:trPr>
          <w:cantSplit/>
        </w:trPr>
        <w:tc>
          <w:tcPr>
            <w:tcW w:type="dxa" w:w="2381"/>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Purchase Order</w:t>
            </w:r>
          </w:p>
        </w:tc>
        <w:tc>
          <w:tcPr>
            <w:tcW w:type="dxa" w:w="782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Draft; Submitted; Awaiting Approval; Approved; Partially Received; Fully Received; Partially Invoiced; Fully Invoiced; Closed; Cancelled.</w:t>
            </w:r>
          </w:p>
        </w:tc>
      </w:tr>
      <w:tr>
        <w:trPr>
          <w:cantSplit/>
        </w:trPr>
        <w:tc>
          <w:tcPr>
            <w:tcW w:type="dxa" w:w="2381"/>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Goods Receipt</w:t>
            </w:r>
          </w:p>
        </w:tc>
        <w:tc>
          <w:tcPr>
            <w:tcW w:type="dxa" w:w="782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Draft; Validating; Posted; Partially Accepted; Completed; Reversed; Cancelled.</w:t>
            </w:r>
          </w:p>
        </w:tc>
      </w:tr>
      <w:tr>
        <w:trPr>
          <w:cantSplit/>
        </w:trPr>
        <w:tc>
          <w:tcPr>
            <w:tcW w:type="dxa" w:w="2381"/>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Supplier Invoice</w:t>
            </w:r>
          </w:p>
        </w:tc>
        <w:tc>
          <w:tcPr>
            <w:tcW w:type="dxa" w:w="782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Draft; Validating; Matched; Exception; Awaiting Approval; Posted; Partially Paid; Paid; Overdue; On Hold; Disputed; Reversed; Cancelled.</w:t>
            </w:r>
          </w:p>
        </w:tc>
      </w:tr>
      <w:tr>
        <w:trPr>
          <w:cantSplit/>
        </w:trPr>
        <w:tc>
          <w:tcPr>
            <w:tcW w:type="dxa" w:w="2381"/>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Purchase Return</w:t>
            </w:r>
          </w:p>
        </w:tc>
        <w:tc>
          <w:tcPr>
            <w:tcW w:type="dxa" w:w="782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Draft; Approved; Posted; In Transit; Acknowledged; Credited; Replaced; Closed; Reversed.</w:t>
            </w:r>
          </w:p>
        </w:tc>
      </w:tr>
      <w:tr>
        <w:trPr>
          <w:cantSplit/>
        </w:trPr>
        <w:tc>
          <w:tcPr>
            <w:tcW w:type="dxa" w:w="2381"/>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Supplier Adjustment</w:t>
            </w:r>
          </w:p>
        </w:tc>
        <w:tc>
          <w:tcPr>
            <w:tcW w:type="dxa" w:w="782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Draft; Awaiting Approval; Posted; Applied; Reversed; Cancelled.</w:t>
            </w:r>
          </w:p>
        </w:tc>
      </w:tr>
      <w:tr>
        <w:trPr>
          <w:cantSplit/>
        </w:trPr>
        <w:tc>
          <w:tcPr>
            <w:tcW w:type="dxa" w:w="2381"/>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Payment Handoff</w:t>
            </w:r>
          </w:p>
        </w:tc>
        <w:tc>
          <w:tcPr>
            <w:tcW w:type="dxa" w:w="782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Not Ready; Ready for Payment; Requested; Scheduled; In Process; Partially Paid; Paid; Failed; Voided — status synchronized from MDS-500.</w:t>
            </w:r>
          </w:p>
        </w:tc>
      </w:tr>
    </w:tbl>
    <w:p>
      <w:pPr>
        <w:spacing w:after="0"/>
      </w:pPr>
    </w:p>
    <w:tbl>
      <w:tblPr>
        <w:tblW w:type="auto" w:w="0"/>
        <w:jc w:val="center"/>
        <w:tblLayout w:type="fixed"/>
        <w:tblLook w:firstColumn="1" w:firstRow="1" w:lastColumn="0" w:lastRow="0" w:noHBand="0" w:noVBand="1" w:val="04A0"/>
      </w:tblPr>
      <w:tblGrid>
        <w:gridCol w:w="10262"/>
      </w:tblGrid>
      <w:tr>
        <w:trPr>
          <w:cantSplit/>
        </w:trPr>
        <w:tc>
          <w:tcPr>
            <w:tcW w:type="dxa" w:w="10205"/>
            <w:shd w:fill="E7F0F8"/>
            <w:tcMar>
              <w:top w:w="110" w:type="dxa"/>
              <w:start w:w="140" w:type="dxa"/>
              <w:bottom w:w="110" w:type="dxa"/>
              <w:end w:w="140" w:type="dxa"/>
            </w:tcMar>
            <w:tcBorders>
              <w:top w:val="single" w:sz="3" w:color="2F78B7"/>
              <w:left w:val="single" w:sz="18" w:color="2F78B7"/>
              <w:bottom w:val="single" w:sz="3" w:color="2F78B7"/>
              <w:right w:val="single" w:sz="3" w:color="2F78B7"/>
            </w:tcBorders>
          </w:tcPr>
          <w:p>
            <w:pPr>
              <w:spacing w:after="0"/>
            </w:pPr>
            <w:r>
              <w:rPr>
                <w:rFonts w:ascii="Inter" w:hAnsi="Inter" w:eastAsia="Inter"/>
                <w:b/>
                <w:color w:val="1A2D44"/>
                <w:sz w:val="17"/>
              </w:rPr>
              <w:t xml:space="preserve">STATUS RULE  </w:t>
            </w:r>
            <w:r>
              <w:rPr>
                <w:rFonts w:ascii="Inter" w:hAnsi="Inter" w:eastAsia="Inter"/>
                <w:color w:val="1A2D44"/>
                <w:sz w:val="18"/>
              </w:rPr>
              <w:t>A displayed status shall be derived from authoritative events and amounts. Users shall not manually type or overwrite Posted, Paid, Overdue, Received, Matched, or Closed status.</w:t>
            </w:r>
          </w:p>
        </w:tc>
      </w:tr>
    </w:tbl>
    <w:p>
      <w:pPr>
        <w:spacing w:after="0"/>
      </w:pPr>
    </w:p>
    <w:p>
      <w:r>
        <w:br w:type="page"/>
      </w:r>
    </w:p>
    <w:p>
      <w:pPr>
        <w:pStyle w:val="Heading1"/>
        <w:keepNext/>
      </w:pPr>
      <w:r>
        <w:rPr>
          <w:rFonts w:ascii="Inter Display" w:hAnsi="Inter Display" w:eastAsia="Inter Display"/>
          <w:b/>
          <w:color w:val="2F78B7"/>
          <w:sz w:val="34"/>
        </w:rPr>
        <w:t>8. Business Events</w:t>
      </w:r>
    </w:p>
    <w:p>
      <w:r>
        <w:rPr>
          <w:rFonts w:ascii="Inter" w:hAnsi="Inter" w:eastAsia="Inter"/>
        </w:rPr>
        <w:t>Every material business action shall produce a uniquely identified, permission-checked, idempotent, and auditable event processed through the Core transaction model.</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1474"/>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Event code</w:t>
            </w:r>
          </w:p>
        </w:tc>
        <w:tc>
          <w:tcPr>
            <w:tcW w:type="dxa" w:w="2835"/>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Business event</w:t>
            </w:r>
          </w:p>
        </w:tc>
        <w:tc>
          <w:tcPr>
            <w:tcW w:type="dxa" w:w="5896"/>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Primary result</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EVT-PUR-001</w:t>
            </w:r>
          </w:p>
        </w:tc>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Create Purchase</w:t>
            </w:r>
          </w:p>
        </w:tc>
        <w:tc>
          <w:tcPr>
            <w:tcW w:type="dxa" w:w="589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Creates a direct or guided purchase draft with supplier and line context.</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EVT-PUR-002</w:t>
            </w:r>
          </w:p>
        </w:tc>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Create Purchase Order</w:t>
            </w:r>
          </w:p>
        </w:tc>
        <w:tc>
          <w:tcPr>
            <w:tcW w:type="dxa" w:w="589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Creates an order commitment without stock, payable, expense, or cash effect.</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EVT-PUR-003</w:t>
            </w:r>
          </w:p>
        </w:tc>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Submit Purchase Order</w:t>
            </w:r>
          </w:p>
        </w:tc>
        <w:tc>
          <w:tcPr>
            <w:tcW w:type="dxa" w:w="589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Locks the submitted version and routes it for approval or direct authorization.</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EVT-PUR-004</w:t>
            </w:r>
          </w:p>
        </w:tc>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Approve Purchase Order</w:t>
            </w:r>
          </w:p>
        </w:tc>
        <w:tc>
          <w:tcPr>
            <w:tcW w:type="dxa" w:w="589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Authorizes procurement within role, amount, budget, and policy scope.</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EVT-PUR-005</w:t>
            </w:r>
          </w:p>
        </w:tc>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Amend or Reopen Purchase Order</w:t>
            </w:r>
          </w:p>
        </w:tc>
        <w:tc>
          <w:tcPr>
            <w:tcW w:type="dxa" w:w="589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Creates a governed revision or reopens eligible remaining quantities.</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EVT-PUR-006</w:t>
            </w:r>
          </w:p>
        </w:tc>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Close or Cancel Purchase Order</w:t>
            </w:r>
          </w:p>
        </w:tc>
        <w:tc>
          <w:tcPr>
            <w:tcW w:type="dxa" w:w="589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Stops future activity while preserving completed receipt/invoice history.</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EVT-PUR-007</w:t>
            </w:r>
          </w:p>
        </w:tc>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Record Goods Receipt</w:t>
            </w:r>
          </w:p>
        </w:tc>
        <w:tc>
          <w:tcPr>
            <w:tcW w:type="dxa" w:w="589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Records procurement receipt and invokes authoritative stock receipt where applicable.</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EVT-PUR-008</w:t>
            </w:r>
          </w:p>
        </w:tc>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Reverse Goods Receipt</w:t>
            </w:r>
          </w:p>
        </w:tc>
        <w:tc>
          <w:tcPr>
            <w:tcW w:type="dxa" w:w="589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Reverses eligible receiving evidence and linked stock effect through controlled processing.</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EVT-PUR-009</w:t>
            </w:r>
          </w:p>
        </w:tc>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Record Supplier Invoice</w:t>
            </w:r>
          </w:p>
        </w:tc>
        <w:tc>
          <w:tcPr>
            <w:tcW w:type="dxa" w:w="589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Captures supplier billing and validates references, totals, taxes, terms, and supporting evidence.</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EVT-PUR-010</w:t>
            </w:r>
          </w:p>
        </w:tc>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Match Supplier Invoice</w:t>
            </w:r>
          </w:p>
        </w:tc>
        <w:tc>
          <w:tcPr>
            <w:tcW w:type="dxa" w:w="589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Compares invoice to order and/or receipt under configured tolerance.</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EVT-PUR-011</w:t>
            </w:r>
          </w:p>
        </w:tc>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Post Supplier Payable</w:t>
            </w:r>
          </w:p>
        </w:tc>
        <w:tc>
          <w:tcPr>
            <w:tcW w:type="dxa" w:w="589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Creates the authoritative supplier obligation and due-date/open-item record.</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EVT-PUR-012</w:t>
            </w:r>
          </w:p>
        </w:tc>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Record Purchase Return</w:t>
            </w:r>
          </w:p>
        </w:tc>
        <w:tc>
          <w:tcPr>
            <w:tcW w:type="dxa" w:w="589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Records goods or services returned/rejected and invokes downstream quantity and payable effects.</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EVT-PUR-013</w:t>
            </w:r>
          </w:p>
        </w:tc>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Post Supplier Debit Adjustment</w:t>
            </w:r>
          </w:p>
        </w:tc>
        <w:tc>
          <w:tcPr>
            <w:tcW w:type="dxa" w:w="589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Decreases the amount owed or creates supplier credit.</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EVT-PUR-014</w:t>
            </w:r>
          </w:p>
        </w:tc>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Post Supplier Credit Adjustment</w:t>
            </w:r>
          </w:p>
        </w:tc>
        <w:tc>
          <w:tcPr>
            <w:tcW w:type="dxa" w:w="589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Increases the amount owed with approved source and reason.</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EVT-PUR-015</w:t>
            </w:r>
          </w:p>
        </w:tc>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Place Payable on Hold or Dispute</w:t>
            </w:r>
          </w:p>
        </w:tc>
        <w:tc>
          <w:tcPr>
            <w:tcW w:type="dxa" w:w="589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Prevents unauthorized payment readiness while preserving the obligation.</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EVT-PUR-016</w:t>
            </w:r>
          </w:p>
        </w:tc>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Release Payable Hold or Resolve Dispute</w:t>
            </w:r>
          </w:p>
        </w:tc>
        <w:tc>
          <w:tcPr>
            <w:tcW w:type="dxa" w:w="589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Restores approved payment readiness and records the resolution.</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EVT-PUR-017</w:t>
            </w:r>
          </w:p>
        </w:tc>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Request or Schedule Payment</w:t>
            </w:r>
          </w:p>
        </w:tc>
        <w:tc>
          <w:tcPr>
            <w:tcW w:type="dxa" w:w="589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Hands eligible obligations to MDS-500 without moving cash.</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EVT-PUR-018</w:t>
            </w:r>
          </w:p>
        </w:tc>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Cancel or Reverse Supplier Invoice</w:t>
            </w:r>
          </w:p>
        </w:tc>
        <w:tc>
          <w:tcPr>
            <w:tcW w:type="dxa" w:w="589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Creates a controlled reversal chain and restores affected balances and classifications.</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EVT-PUR-019</w:t>
            </w:r>
          </w:p>
        </w:tc>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Close Purchase</w:t>
            </w:r>
          </w:p>
        </w:tc>
        <w:tc>
          <w:tcPr>
            <w:tcW w:type="dxa" w:w="589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Marks the purchase chain complete when receipt, invoice, return, adjustment, and settlement conditions are satisfied.</w:t>
            </w:r>
          </w:p>
        </w:tc>
      </w:tr>
    </w:tbl>
    <w:p>
      <w:pPr>
        <w:spacing w:after="0"/>
      </w:pPr>
    </w:p>
    <w:p>
      <w:pPr>
        <w:pStyle w:val="Heading2"/>
        <w:keepNext/>
      </w:pPr>
      <w:r>
        <w:rPr>
          <w:rFonts w:ascii="Inter" w:hAnsi="Inter" w:eastAsia="Inter"/>
          <w:b/>
          <w:color w:val="1A2D44"/>
          <w:sz w:val="25"/>
        </w:rPr>
        <w:t>8.1 Event Processing Requirements</w:t>
      </w:r>
    </w:p>
    <w:p>
      <w:pPr>
        <w:pStyle w:val="ListBullet"/>
        <w:keepLines/>
      </w:pPr>
      <w:r>
        <w:rPr>
          <w:rFonts w:ascii="Inter" w:hAnsi="Inter" w:eastAsia="Inter"/>
        </w:rPr>
        <w:t>Every event shall record tenant, company, branch, business date, user, source, correlation ID, idempotency key, status, and audit timestamps.</w:t>
      </w:r>
    </w:p>
    <w:p>
      <w:pPr>
        <w:pStyle w:val="ListBullet"/>
        <w:keepLines/>
      </w:pPr>
      <w:r>
        <w:rPr>
          <w:rFonts w:ascii="Inter" w:hAnsi="Inter" w:eastAsia="Inter"/>
        </w:rPr>
        <w:t>Cross-module effects shall commit atomically or enter a controlled recoverable state; the user shall never see false completion.</w:t>
      </w:r>
    </w:p>
    <w:p>
      <w:pPr>
        <w:pStyle w:val="ListBullet"/>
        <w:keepLines/>
      </w:pPr>
      <w:r>
        <w:rPr>
          <w:rFonts w:ascii="Inter" w:hAnsi="Inter" w:eastAsia="Inter"/>
        </w:rPr>
        <w:t>Retries shall verify event identity and existing downstream result before creating another document, payable, stock movement, or payment request.</w:t>
      </w:r>
    </w:p>
    <w:p>
      <w:pPr>
        <w:pStyle w:val="ListBullet"/>
        <w:keepLines/>
      </w:pPr>
      <w:r>
        <w:rPr>
          <w:rFonts w:ascii="Inter" w:hAnsi="Inter" w:eastAsia="Inter"/>
        </w:rPr>
        <w:t>A failed integration shall preserve valid user input and explain the recovery path without duplicating source records.</w:t>
      </w:r>
    </w:p>
    <w:p>
      <w:pPr>
        <w:pStyle w:val="ListBullet"/>
        <w:keepLines/>
      </w:pPr>
      <w:r>
        <w:rPr>
          <w:rFonts w:ascii="Inter" w:hAnsi="Inter" w:eastAsia="Inter"/>
        </w:rPr>
        <w:t>AI-generated suggestions may prepare values or classifications but shall not post, approve, reverse, or pay without the same human authority and controls.</w:t>
      </w:r>
    </w:p>
    <w:p>
      <w:pPr>
        <w:pStyle w:val="Heading1"/>
        <w:keepNext/>
      </w:pPr>
      <w:r>
        <w:rPr>
          <w:rFonts w:ascii="Inter Display" w:hAnsi="Inter Display" w:eastAsia="Inter Display"/>
          <w:b/>
          <w:color w:val="2F78B7"/>
          <w:sz w:val="34"/>
        </w:rPr>
        <w:t>9. Functional Requirements</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1474"/>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4"/>
              </w:rPr>
              <w:t>Requirement ID</w:t>
            </w:r>
          </w:p>
        </w:tc>
        <w:tc>
          <w:tcPr>
            <w:tcW w:type="dxa" w:w="1757"/>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4"/>
              </w:rPr>
              <w:t>Capability</w:t>
            </w:r>
          </w:p>
        </w:tc>
        <w:tc>
          <w:tcPr>
            <w:tcW w:type="dxa" w:w="6973"/>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4"/>
              </w:rPr>
              <w:t>Requirement</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FR-PUR-001</w:t>
            </w:r>
          </w:p>
        </w:tc>
        <w:tc>
          <w:tcPr>
            <w:tcW w:type="dxa" w:w="175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Purchase entry</w:t>
            </w:r>
          </w:p>
        </w:tc>
        <w:tc>
          <w:tcPr>
            <w:tcW w:type="dxa" w:w="697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Create cash or credit purchases for products, services, supplies, and mixed lines.</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FR-PUR-002</w:t>
            </w:r>
          </w:p>
        </w:tc>
        <w:tc>
          <w:tcPr>
            <w:tcW w:type="dxa" w:w="175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Purchase entry</w:t>
            </w:r>
          </w:p>
        </w:tc>
        <w:tc>
          <w:tcPr>
            <w:tcW w:type="dxa" w:w="697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Support direct purchase and order-based procurement without duplicating logic.</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FR-PUR-003</w:t>
            </w:r>
          </w:p>
        </w:tc>
        <w:tc>
          <w:tcPr>
            <w:tcW w:type="dxa" w:w="175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Purchase entry</w:t>
            </w:r>
          </w:p>
        </w:tc>
        <w:tc>
          <w:tcPr>
            <w:tcW w:type="dxa" w:w="697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Calculate line, discount, tax, freight, other charge, and document totals transparently.</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FR-PUR-004</w:t>
            </w:r>
          </w:p>
        </w:tc>
        <w:tc>
          <w:tcPr>
            <w:tcW w:type="dxa" w:w="175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Purchase orders</w:t>
            </w:r>
          </w:p>
        </w:tc>
        <w:tc>
          <w:tcPr>
            <w:tcW w:type="dxa" w:w="697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Create, edit, submit, approve, amend, close, cancel, print, and export eligible Purchase Orders.</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FR-PUR-005</w:t>
            </w:r>
          </w:p>
        </w:tc>
        <w:tc>
          <w:tcPr>
            <w:tcW w:type="dxa" w:w="175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Purchase orders</w:t>
            </w:r>
          </w:p>
        </w:tc>
        <w:tc>
          <w:tcPr>
            <w:tcW w:type="dxa" w:w="697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Track ordered, received, invoiced, returned, cancelled, and remaining quantity and amount.</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FR-PUR-006</w:t>
            </w:r>
          </w:p>
        </w:tc>
        <w:tc>
          <w:tcPr>
            <w:tcW w:type="dxa" w:w="175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Receiving</w:t>
            </w:r>
          </w:p>
        </w:tc>
        <w:tc>
          <w:tcPr>
            <w:tcW w:type="dxa" w:w="697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Receive fully or partially against an eligible purchase or order.</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FR-PUR-007</w:t>
            </w:r>
          </w:p>
        </w:tc>
        <w:tc>
          <w:tcPr>
            <w:tcW w:type="dxa" w:w="175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Receiving</w:t>
            </w:r>
          </w:p>
        </w:tc>
        <w:tc>
          <w:tcPr>
            <w:tcW w:type="dxa" w:w="697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Capture accepted, rejected, damaged, short, over, backordered, and returned quantities with reason.</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FR-PUR-008</w:t>
            </w:r>
          </w:p>
        </w:tc>
        <w:tc>
          <w:tcPr>
            <w:tcW w:type="dxa" w:w="175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Receiving</w:t>
            </w:r>
          </w:p>
        </w:tc>
        <w:tc>
          <w:tcPr>
            <w:tcW w:type="dxa" w:w="697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Require warehouse/location and invoke MDS-600 for stock-managed lines.</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FR-PUR-009</w:t>
            </w:r>
          </w:p>
        </w:tc>
        <w:tc>
          <w:tcPr>
            <w:tcW w:type="dxa" w:w="175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Supplier invoice</w:t>
            </w:r>
          </w:p>
        </w:tc>
        <w:tc>
          <w:tcPr>
            <w:tcW w:type="dxa" w:w="697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Record supplier invoice number, date, due terms, currency, tax, totals, evidence, and related documents.</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FR-PUR-010</w:t>
            </w:r>
          </w:p>
        </w:tc>
        <w:tc>
          <w:tcPr>
            <w:tcW w:type="dxa" w:w="175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Supplier invoice</w:t>
            </w:r>
          </w:p>
        </w:tc>
        <w:tc>
          <w:tcPr>
            <w:tcW w:type="dxa" w:w="697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Support no-order, two-way, and three-way matching according to edition and configuration.</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FR-PUR-011</w:t>
            </w:r>
          </w:p>
        </w:tc>
        <w:tc>
          <w:tcPr>
            <w:tcW w:type="dxa" w:w="175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Supplier invoice</w:t>
            </w:r>
          </w:p>
        </w:tc>
        <w:tc>
          <w:tcPr>
            <w:tcW w:type="dxa" w:w="697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Detect duplicate or suspicious invoices before posting.</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FR-PUR-012</w:t>
            </w:r>
          </w:p>
        </w:tc>
        <w:tc>
          <w:tcPr>
            <w:tcW w:type="dxa" w:w="175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Payables</w:t>
            </w:r>
          </w:p>
        </w:tc>
        <w:tc>
          <w:tcPr>
            <w:tcW w:type="dxa" w:w="697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Create supplier open items with due date, discount date, outstanding amount, and status.</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FR-PUR-013</w:t>
            </w:r>
          </w:p>
        </w:tc>
        <w:tc>
          <w:tcPr>
            <w:tcW w:type="dxa" w:w="175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Payables</w:t>
            </w:r>
          </w:p>
        </w:tc>
        <w:tc>
          <w:tcPr>
            <w:tcW w:type="dxa" w:w="697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Support partial payment status, credit balances, advances, holds, disputes, and installment terms.</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FR-PUR-014</w:t>
            </w:r>
          </w:p>
        </w:tc>
        <w:tc>
          <w:tcPr>
            <w:tcW w:type="dxa" w:w="175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Payables</w:t>
            </w:r>
          </w:p>
        </w:tc>
        <w:tc>
          <w:tcPr>
            <w:tcW w:type="dxa" w:w="697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Provide due, due-soon, overdue, and ready-for-payment queues.</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FR-PUR-015</w:t>
            </w:r>
          </w:p>
        </w:tc>
        <w:tc>
          <w:tcPr>
            <w:tcW w:type="dxa" w:w="175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Payment handoff</w:t>
            </w:r>
          </w:p>
        </w:tc>
        <w:tc>
          <w:tcPr>
            <w:tcW w:type="dxa" w:w="697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Pass eligible obligations to MDS-500 with source amount, due date, approvals, references, and allocation context.</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FR-PUR-016</w:t>
            </w:r>
          </w:p>
        </w:tc>
        <w:tc>
          <w:tcPr>
            <w:tcW w:type="dxa" w:w="175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Payment handoff</w:t>
            </w:r>
          </w:p>
        </w:tc>
        <w:tc>
          <w:tcPr>
            <w:tcW w:type="dxa" w:w="697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Display synchronized payment, failure, void, and allocation results without owning payment execution.</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FR-PUR-017</w:t>
            </w:r>
          </w:p>
        </w:tc>
        <w:tc>
          <w:tcPr>
            <w:tcW w:type="dxa" w:w="175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Returns</w:t>
            </w:r>
          </w:p>
        </w:tc>
        <w:tc>
          <w:tcPr>
            <w:tcW w:type="dxa" w:w="697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Create purchase returns linked to original receipt/invoice and restrict quantity to eligible received quantity.</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FR-PUR-018</w:t>
            </w:r>
          </w:p>
        </w:tc>
        <w:tc>
          <w:tcPr>
            <w:tcW w:type="dxa" w:w="175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Adjustments</w:t>
            </w:r>
          </w:p>
        </w:tc>
        <w:tc>
          <w:tcPr>
            <w:tcW w:type="dxa" w:w="697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Post supplier debit and credit adjustments with reason, approval, tax effect, and source evidence.</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FR-PUR-019</w:t>
            </w:r>
          </w:p>
        </w:tc>
        <w:tc>
          <w:tcPr>
            <w:tcW w:type="dxa" w:w="175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Supplier ledger</w:t>
            </w:r>
          </w:p>
        </w:tc>
        <w:tc>
          <w:tcPr>
            <w:tcW w:type="dxa" w:w="697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Display chronological charges, adjustments, applications, advances, refunds, and running balance.</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FR-PUR-020</w:t>
            </w:r>
          </w:p>
        </w:tc>
        <w:tc>
          <w:tcPr>
            <w:tcW w:type="dxa" w:w="175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Supplier ledger</w:t>
            </w:r>
          </w:p>
        </w:tc>
        <w:tc>
          <w:tcPr>
            <w:tcW w:type="dxa" w:w="697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Support date, supplier, branch, currency, status, document, and open-item filters.</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FR-PUR-021</w:t>
            </w:r>
          </w:p>
        </w:tc>
        <w:tc>
          <w:tcPr>
            <w:tcW w:type="dxa" w:w="175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History</w:t>
            </w:r>
          </w:p>
        </w:tc>
        <w:tc>
          <w:tcPr>
            <w:tcW w:type="dxa" w:w="697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Search and filter purchases, orders, receipts, invoices, returns, adjustments, and activity.</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FR-PUR-022</w:t>
            </w:r>
          </w:p>
        </w:tc>
        <w:tc>
          <w:tcPr>
            <w:tcW w:type="dxa" w:w="175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Documents</w:t>
            </w:r>
          </w:p>
        </w:tc>
        <w:tc>
          <w:tcPr>
            <w:tcW w:type="dxa" w:w="697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Attach quotation, contract, delivery receipt, supplier invoice, photo, approval, tax, and return evidence.</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FR-PUR-023</w:t>
            </w:r>
          </w:p>
        </w:tc>
        <w:tc>
          <w:tcPr>
            <w:tcW w:type="dxa" w:w="175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Exceptions</w:t>
            </w:r>
          </w:p>
        </w:tc>
        <w:tc>
          <w:tcPr>
            <w:tcW w:type="dxa" w:w="697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Resolve price, quantity, tax, duplicate, missing receipt, missing invoice, and tolerance exceptions.</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FR-PUR-024</w:t>
            </w:r>
          </w:p>
        </w:tc>
        <w:tc>
          <w:tcPr>
            <w:tcW w:type="dxa" w:w="175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Notifications</w:t>
            </w:r>
          </w:p>
        </w:tc>
        <w:tc>
          <w:tcPr>
            <w:tcW w:type="dxa" w:w="697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Generate actionable tasks and notifications with source, owner, due date, and authorized destination.</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FR-PUR-025</w:t>
            </w:r>
          </w:p>
        </w:tc>
        <w:tc>
          <w:tcPr>
            <w:tcW w:type="dxa" w:w="175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Reports</w:t>
            </w:r>
          </w:p>
        </w:tc>
        <w:tc>
          <w:tcPr>
            <w:tcW w:type="dxa" w:w="697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Provide module reports and governed data to MDS-900 without copying authoritative balances.</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FR-PUR-026</w:t>
            </w:r>
          </w:p>
        </w:tc>
        <w:tc>
          <w:tcPr>
            <w:tcW w:type="dxa" w:w="175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Security</w:t>
            </w:r>
          </w:p>
        </w:tc>
        <w:tc>
          <w:tcPr>
            <w:tcW w:type="dxa" w:w="697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Enforce role, company, branch, supplier, document, amount, approval, field, and export scope.</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FR-PUR-027</w:t>
            </w:r>
          </w:p>
        </w:tc>
        <w:tc>
          <w:tcPr>
            <w:tcW w:type="dxa" w:w="175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Audit</w:t>
            </w:r>
          </w:p>
        </w:tc>
        <w:tc>
          <w:tcPr>
            <w:tcW w:type="dxa" w:w="697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Preserve immutable event, status, approval, match, posting, reversal, and document history.</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FR-PUR-028</w:t>
            </w:r>
          </w:p>
        </w:tc>
        <w:tc>
          <w:tcPr>
            <w:tcW w:type="dxa" w:w="175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Editions</w:t>
            </w:r>
          </w:p>
        </w:tc>
        <w:tc>
          <w:tcPr>
            <w:tcW w:type="dxa" w:w="697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Enforce plan entitlements in UI and API while preserving one architecture.</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FR-PUR-029</w:t>
            </w:r>
          </w:p>
        </w:tc>
        <w:tc>
          <w:tcPr>
            <w:tcW w:type="dxa" w:w="175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Accessibility</w:t>
            </w:r>
          </w:p>
        </w:tc>
        <w:tc>
          <w:tcPr>
            <w:tcW w:type="dxa" w:w="697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Support keyboard, labels, focus, contrast, zoom/reflow, status announcement, and responsive task completion.</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FR-PUR-030</w:t>
            </w:r>
          </w:p>
        </w:tc>
        <w:tc>
          <w:tcPr>
            <w:tcW w:type="dxa" w:w="175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Localization</w:t>
            </w:r>
          </w:p>
        </w:tc>
        <w:tc>
          <w:tcPr>
            <w:tcW w:type="dxa" w:w="697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Support date, number, currency, tax, language, and document-label localization through configuration.</w:t>
            </w:r>
          </w:p>
        </w:tc>
      </w:tr>
    </w:tbl>
    <w:p>
      <w:pPr>
        <w:spacing w:after="0"/>
      </w:pPr>
    </w:p>
    <w:p>
      <w:r>
        <w:br w:type="page"/>
      </w:r>
    </w:p>
    <w:p>
      <w:pPr>
        <w:pStyle w:val="Heading1"/>
        <w:keepNext/>
      </w:pPr>
      <w:r>
        <w:rPr>
          <w:rFonts w:ascii="Inter Display" w:hAnsi="Inter Display" w:eastAsia="Inter Display"/>
          <w:b/>
          <w:color w:val="2F78B7"/>
          <w:sz w:val="34"/>
        </w:rPr>
        <w:t>10. Module Rules</w:t>
      </w:r>
    </w:p>
    <w:p>
      <w:r>
        <w:rPr>
          <w:rFonts w:ascii="Inter" w:hAnsi="Inter" w:eastAsia="Inter"/>
        </w:rPr>
        <w:t>The following rules, conditions, validations, and processing constraints are specific to Purchases &amp; Payables. They extend MDS-000 but shall not bypass Core security, audit, transaction, or correction requirements.</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587"/>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Rule ID</w:t>
            </w:r>
          </w:p>
        </w:tc>
        <w:tc>
          <w:tcPr>
            <w:tcW w:type="dxa" w:w="8617"/>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Module rule</w:t>
            </w:r>
          </w:p>
        </w:tc>
      </w:tr>
      <w:tr>
        <w:trPr>
          <w:cantSplit/>
        </w:trPr>
        <w:tc>
          <w:tcPr>
            <w:tcW w:type="dxa" w:w="158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MR-PUR-001</w:t>
            </w:r>
          </w:p>
        </w:tc>
        <w:tc>
          <w:tcPr>
            <w:tcW w:type="dxa" w:w="861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Every purchase document shall belong to one tenant/company and the authorized business scope.</w:t>
            </w:r>
          </w:p>
        </w:tc>
      </w:tr>
      <w:tr>
        <w:trPr>
          <w:cantSplit/>
        </w:trPr>
        <w:tc>
          <w:tcPr>
            <w:tcW w:type="dxa" w:w="158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MR-PUR-002</w:t>
            </w:r>
          </w:p>
        </w:tc>
        <w:tc>
          <w:tcPr>
            <w:tcW w:type="dxa" w:w="861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Every new purchase, order, invoice, return, or adjustment shall reference an active supplier unless an approved one-time supplier policy is enabled.</w:t>
            </w:r>
          </w:p>
        </w:tc>
      </w:tr>
      <w:tr>
        <w:trPr>
          <w:cantSplit/>
        </w:trPr>
        <w:tc>
          <w:tcPr>
            <w:tcW w:type="dxa" w:w="158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MR-PUR-003</w:t>
            </w:r>
          </w:p>
        </w:tc>
        <w:tc>
          <w:tcPr>
            <w:tcW w:type="dxa" w:w="861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 Purchase Order shall not create stock, payable, expense, tax settlement, or cash movement by itself.</w:t>
            </w:r>
          </w:p>
        </w:tc>
      </w:tr>
      <w:tr>
        <w:trPr>
          <w:cantSplit/>
        </w:trPr>
        <w:tc>
          <w:tcPr>
            <w:tcW w:type="dxa" w:w="158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MR-PUR-004</w:t>
            </w:r>
          </w:p>
        </w:tc>
        <w:tc>
          <w:tcPr>
            <w:tcW w:type="dxa" w:w="861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 Goods Receipt shall not exceed remaining ordered quantity beyond configured tolerance and authorization.</w:t>
            </w:r>
          </w:p>
        </w:tc>
      </w:tr>
      <w:tr>
        <w:trPr>
          <w:cantSplit/>
        </w:trPr>
        <w:tc>
          <w:tcPr>
            <w:tcW w:type="dxa" w:w="158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MR-PUR-005</w:t>
            </w:r>
          </w:p>
        </w:tc>
        <w:tc>
          <w:tcPr>
            <w:tcW w:type="dxa" w:w="861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Stock-managed items shall require a valid receiving warehouse/location before posting.</w:t>
            </w:r>
          </w:p>
        </w:tc>
      </w:tr>
      <w:tr>
        <w:trPr>
          <w:cantSplit/>
        </w:trPr>
        <w:tc>
          <w:tcPr>
            <w:tcW w:type="dxa" w:w="158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MR-PUR-006</w:t>
            </w:r>
          </w:p>
        </w:tc>
        <w:tc>
          <w:tcPr>
            <w:tcW w:type="dxa" w:w="861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Inventory shall be updated only through MDS-600, never by direct MDS-400 table or balance writes.</w:t>
            </w:r>
          </w:p>
        </w:tc>
      </w:tr>
      <w:tr>
        <w:trPr>
          <w:cantSplit/>
        </w:trPr>
        <w:tc>
          <w:tcPr>
            <w:tcW w:type="dxa" w:w="158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MR-PUR-007</w:t>
            </w:r>
          </w:p>
        </w:tc>
        <w:tc>
          <w:tcPr>
            <w:tcW w:type="dxa" w:w="861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 supplier invoice shall not be posted without valid supplier, invoice date, external reference, currency, totals, and required evidence.</w:t>
            </w:r>
          </w:p>
        </w:tc>
      </w:tr>
      <w:tr>
        <w:trPr>
          <w:cantSplit/>
        </w:trPr>
        <w:tc>
          <w:tcPr>
            <w:tcW w:type="dxa" w:w="158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MR-PUR-008</w:t>
            </w:r>
          </w:p>
        </w:tc>
        <w:tc>
          <w:tcPr>
            <w:tcW w:type="dxa" w:w="861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Duplicate supplier invoice detection shall execute before posting and again under concurrent submission protection.</w:t>
            </w:r>
          </w:p>
        </w:tc>
      </w:tr>
      <w:tr>
        <w:trPr>
          <w:cantSplit/>
        </w:trPr>
        <w:tc>
          <w:tcPr>
            <w:tcW w:type="dxa" w:w="158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MR-PUR-009</w:t>
            </w:r>
          </w:p>
        </w:tc>
        <w:tc>
          <w:tcPr>
            <w:tcW w:type="dxa" w:w="861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Invoice matching and tolerance exceptions shall be resolved or explicitly approved before posting when matching is required.</w:t>
            </w:r>
          </w:p>
        </w:tc>
      </w:tr>
      <w:tr>
        <w:trPr>
          <w:cantSplit/>
        </w:trPr>
        <w:tc>
          <w:tcPr>
            <w:tcW w:type="dxa" w:w="158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MR-PUR-010</w:t>
            </w:r>
          </w:p>
        </w:tc>
        <w:tc>
          <w:tcPr>
            <w:tcW w:type="dxa" w:w="861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 supplier payable shall arise from a posted, authorized obligation; draft or cancelled invoices shall not affect the supplier balance.</w:t>
            </w:r>
          </w:p>
        </w:tc>
      </w:tr>
      <w:tr>
        <w:trPr>
          <w:cantSplit/>
        </w:trPr>
        <w:tc>
          <w:tcPr>
            <w:tcW w:type="dxa" w:w="158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MR-PUR-011</w:t>
            </w:r>
          </w:p>
        </w:tc>
        <w:tc>
          <w:tcPr>
            <w:tcW w:type="dxa" w:w="861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Due date shall be derived from approved terms and document dates, with any override recorded and authorized.</w:t>
            </w:r>
          </w:p>
        </w:tc>
      </w:tr>
      <w:tr>
        <w:trPr>
          <w:cantSplit/>
        </w:trPr>
        <w:tc>
          <w:tcPr>
            <w:tcW w:type="dxa" w:w="158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MR-PUR-012</w:t>
            </w:r>
          </w:p>
        </w:tc>
        <w:tc>
          <w:tcPr>
            <w:tcW w:type="dxa" w:w="861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Paid, partially paid, overdue, and outstanding statuses shall be derived from posted amounts and valid MDS-500 allocations.</w:t>
            </w:r>
          </w:p>
        </w:tc>
      </w:tr>
      <w:tr>
        <w:trPr>
          <w:cantSplit/>
        </w:trPr>
        <w:tc>
          <w:tcPr>
            <w:tcW w:type="dxa" w:w="158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MR-PUR-013</w:t>
            </w:r>
          </w:p>
        </w:tc>
        <w:tc>
          <w:tcPr>
            <w:tcW w:type="dxa" w:w="861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MDS-400 shall not independently post cash, issue checks, confirm bank transfers, or mark a payable paid.</w:t>
            </w:r>
          </w:p>
        </w:tc>
      </w:tr>
      <w:tr>
        <w:trPr>
          <w:cantSplit/>
        </w:trPr>
        <w:tc>
          <w:tcPr>
            <w:tcW w:type="dxa" w:w="158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MR-PUR-014</w:t>
            </w:r>
          </w:p>
        </w:tc>
        <w:tc>
          <w:tcPr>
            <w:tcW w:type="dxa" w:w="861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 payment request shall not exceed eligible outstanding amounts after holds, credits, discounts, and prior allocations.</w:t>
            </w:r>
          </w:p>
        </w:tc>
      </w:tr>
      <w:tr>
        <w:trPr>
          <w:cantSplit/>
        </w:trPr>
        <w:tc>
          <w:tcPr>
            <w:tcW w:type="dxa" w:w="158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MR-PUR-015</w:t>
            </w:r>
          </w:p>
        </w:tc>
        <w:tc>
          <w:tcPr>
            <w:tcW w:type="dxa" w:w="861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 payable on hold or dispute shall not be released for payment without authorized resolution.</w:t>
            </w:r>
          </w:p>
        </w:tc>
      </w:tr>
      <w:tr>
        <w:trPr>
          <w:cantSplit/>
        </w:trPr>
        <w:tc>
          <w:tcPr>
            <w:tcW w:type="dxa" w:w="158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MR-PUR-016</w:t>
            </w:r>
          </w:p>
        </w:tc>
        <w:tc>
          <w:tcPr>
            <w:tcW w:type="dxa" w:w="861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Purchase returns shall not exceed eligible received and unreturned quantities.</w:t>
            </w:r>
          </w:p>
        </w:tc>
      </w:tr>
      <w:tr>
        <w:trPr>
          <w:cantSplit/>
        </w:trPr>
        <w:tc>
          <w:tcPr>
            <w:tcW w:type="dxa" w:w="158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MR-PUR-017</w:t>
            </w:r>
          </w:p>
        </w:tc>
        <w:tc>
          <w:tcPr>
            <w:tcW w:type="dxa" w:w="861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 supplier debit adjustment shall decrease payable or create supplier credit; a supplier credit adjustment shall increase payable.</w:t>
            </w:r>
          </w:p>
        </w:tc>
      </w:tr>
      <w:tr>
        <w:trPr>
          <w:cantSplit/>
        </w:trPr>
        <w:tc>
          <w:tcPr>
            <w:tcW w:type="dxa" w:w="158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MR-PUR-018</w:t>
            </w:r>
          </w:p>
        </w:tc>
        <w:tc>
          <w:tcPr>
            <w:tcW w:type="dxa" w:w="861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Every adjustment shall identify source, reason, amount, tax effect, approver where required, and affected open items.</w:t>
            </w:r>
          </w:p>
        </w:tc>
      </w:tr>
      <w:tr>
        <w:trPr>
          <w:cantSplit/>
        </w:trPr>
        <w:tc>
          <w:tcPr>
            <w:tcW w:type="dxa" w:w="158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MR-PUR-019</w:t>
            </w:r>
          </w:p>
        </w:tc>
        <w:tc>
          <w:tcPr>
            <w:tcW w:type="dxa" w:w="861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Posted documents shall not be silently edited or deleted; correction shall use amendment, return, adjustment, reversal, or cancellation.</w:t>
            </w:r>
          </w:p>
        </w:tc>
      </w:tr>
      <w:tr>
        <w:trPr>
          <w:cantSplit/>
        </w:trPr>
        <w:tc>
          <w:tcPr>
            <w:tcW w:type="dxa" w:w="158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MR-PUR-020</w:t>
            </w:r>
          </w:p>
        </w:tc>
        <w:tc>
          <w:tcPr>
            <w:tcW w:type="dxa" w:w="861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 reversal shall restore or counter all affected downstream effects through the same governed transaction boundary.</w:t>
            </w:r>
          </w:p>
        </w:tc>
      </w:tr>
      <w:tr>
        <w:trPr>
          <w:cantSplit/>
        </w:trPr>
        <w:tc>
          <w:tcPr>
            <w:tcW w:type="dxa" w:w="158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MR-PUR-021</w:t>
            </w:r>
          </w:p>
        </w:tc>
        <w:tc>
          <w:tcPr>
            <w:tcW w:type="dxa" w:w="861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Supplier ledger balances shall be derived from immutable source entries and valid applications; no manual balance override is permitted.</w:t>
            </w:r>
          </w:p>
        </w:tc>
      </w:tr>
      <w:tr>
        <w:trPr>
          <w:cantSplit/>
        </w:trPr>
        <w:tc>
          <w:tcPr>
            <w:tcW w:type="dxa" w:w="158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MR-PUR-022</w:t>
            </w:r>
          </w:p>
        </w:tc>
        <w:tc>
          <w:tcPr>
            <w:tcW w:type="dxa" w:w="861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An inactive or blocked supplier may remain in history but shall not be selected for new transactions unless an authorized exception applies.</w:t>
            </w:r>
          </w:p>
        </w:tc>
      </w:tr>
      <w:tr>
        <w:trPr>
          <w:cantSplit/>
        </w:trPr>
        <w:tc>
          <w:tcPr>
            <w:tcW w:type="dxa" w:w="158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MR-PUR-023</w:t>
            </w:r>
          </w:p>
        </w:tc>
        <w:tc>
          <w:tcPr>
            <w:tcW w:type="dxa" w:w="861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Cash and credit purchase journeys may share one screen but shall preserve separate payable and payment records where applicable.</w:t>
            </w:r>
          </w:p>
        </w:tc>
      </w:tr>
      <w:tr>
        <w:trPr>
          <w:cantSplit/>
        </w:trPr>
        <w:tc>
          <w:tcPr>
            <w:tcW w:type="dxa" w:w="158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MR-PUR-024</w:t>
            </w:r>
          </w:p>
        </w:tc>
        <w:tc>
          <w:tcPr>
            <w:tcW w:type="dxa" w:w="861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Service and expense lines shall use MDS-800 classification; stock lines shall use MDS-600 classification and valuation.</w:t>
            </w:r>
          </w:p>
        </w:tc>
      </w:tr>
      <w:tr>
        <w:trPr>
          <w:cantSplit/>
        </w:trPr>
        <w:tc>
          <w:tcPr>
            <w:tcW w:type="dxa" w:w="158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MR-PUR-025</w:t>
            </w:r>
          </w:p>
        </w:tc>
        <w:tc>
          <w:tcPr>
            <w:tcW w:type="dxa" w:w="861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Supplier refund received shall use an authorized incoming-receipt path and link back to the supplier credit or return source.</w:t>
            </w:r>
          </w:p>
        </w:tc>
      </w:tr>
      <w:tr>
        <w:trPr>
          <w:cantSplit/>
        </w:trPr>
        <w:tc>
          <w:tcPr>
            <w:tcW w:type="dxa" w:w="158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MR-PUR-026</w:t>
            </w:r>
          </w:p>
        </w:tc>
        <w:tc>
          <w:tcPr>
            <w:tcW w:type="dxa" w:w="861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Every external integration shall use approved API/event contracts and shall not write directly to purchase, payable, stock, expense, or cash tables.</w:t>
            </w:r>
          </w:p>
        </w:tc>
      </w:tr>
      <w:tr>
        <w:trPr>
          <w:cantSplit/>
        </w:trPr>
        <w:tc>
          <w:tcPr>
            <w:tcW w:type="dxa" w:w="158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MR-PUR-027</w:t>
            </w:r>
          </w:p>
        </w:tc>
        <w:tc>
          <w:tcPr>
            <w:tcW w:type="dxa" w:w="861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Edition restrictions shall be enforced in both UI and server-side processing.</w:t>
            </w:r>
          </w:p>
        </w:tc>
      </w:tr>
      <w:tr>
        <w:trPr>
          <w:cantSplit/>
        </w:trPr>
        <w:tc>
          <w:tcPr>
            <w:tcW w:type="dxa" w:w="158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MR-PUR-028</w:t>
            </w:r>
          </w:p>
        </w:tc>
        <w:tc>
          <w:tcPr>
            <w:tcW w:type="dxa" w:w="861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AI assistance shall remain explainable, permission-aware, auditable, and subject to the same review and posting controls.</w:t>
            </w:r>
          </w:p>
        </w:tc>
      </w:tr>
    </w:tbl>
    <w:p>
      <w:pPr>
        <w:spacing w:after="0"/>
      </w:pPr>
    </w:p>
    <w:p>
      <w:pPr>
        <w:pStyle w:val="Heading1"/>
        <w:keepNext/>
      </w:pPr>
      <w:r>
        <w:rPr>
          <w:rFonts w:ascii="Inter Display" w:hAnsi="Inter Display" w:eastAsia="Inter Display"/>
          <w:b/>
          <w:color w:val="2F78B7"/>
          <w:sz w:val="34"/>
        </w:rPr>
        <w:t>11. Workflows, Statuses, and Exceptions</w:t>
      </w:r>
    </w:p>
    <w:p>
      <w:pPr>
        <w:pStyle w:val="Heading2"/>
        <w:keepNext/>
      </w:pPr>
      <w:r>
        <w:rPr>
          <w:rFonts w:ascii="Inter" w:hAnsi="Inter" w:eastAsia="Inter"/>
          <w:b/>
          <w:color w:val="1A2D44"/>
          <w:sz w:val="25"/>
        </w:rPr>
        <w:t>11.1 Streamlined Paid-Now Purchase</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4989"/>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6"/>
              </w:rPr>
              <w:t>Step</w:t>
            </w:r>
          </w:p>
        </w:tc>
        <w:tc>
          <w:tcPr>
            <w:tcW w:type="dxa" w:w="5216"/>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6"/>
              </w:rPr>
              <w:t>Owning effect</w:t>
            </w:r>
          </w:p>
        </w:tc>
      </w:tr>
      <w:tr>
        <w:trPr>
          <w:cantSplit/>
        </w:trPr>
        <w:tc>
          <w:tcPr>
            <w:tcW w:type="dxa" w:w="4989"/>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1. Select or add supplier; enter items/services, quantities, totals, tax, evidence, and business context.</w:t>
            </w:r>
          </w:p>
        </w:tc>
        <w:tc>
          <w:tcPr>
            <w:tcW w:type="dxa" w:w="521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MDS-400 purchase draft; master-data quick create remains MDS-1000.</w:t>
            </w:r>
          </w:p>
        </w:tc>
      </w:tr>
      <w:tr>
        <w:trPr>
          <w:cantSplit/>
        </w:trPr>
        <w:tc>
          <w:tcPr>
            <w:tcW w:type="dxa" w:w="4989"/>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2. Validate line classification, supplier, duplicate evidence, totals, date, location, and authorization.</w:t>
            </w:r>
          </w:p>
        </w:tc>
        <w:tc>
          <w:tcPr>
            <w:tcW w:type="dxa" w:w="521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Core + MDS-400 rules.</w:t>
            </w:r>
          </w:p>
        </w:tc>
      </w:tr>
      <w:tr>
        <w:trPr>
          <w:cantSplit/>
        </w:trPr>
        <w:tc>
          <w:tcPr>
            <w:tcW w:type="dxa" w:w="4989"/>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3. Post purchase and supplier document.</w:t>
            </w:r>
          </w:p>
        </w:tc>
        <w:tc>
          <w:tcPr>
            <w:tcW w:type="dxa" w:w="521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MDS-400 obligation/purchase record; may be immediately settled after MDS-500 result.</w:t>
            </w:r>
          </w:p>
        </w:tc>
      </w:tr>
      <w:tr>
        <w:trPr>
          <w:cantSplit/>
        </w:trPr>
        <w:tc>
          <w:tcPr>
            <w:tcW w:type="dxa" w:w="4989"/>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4. Receive inventory items or confirm service completion.</w:t>
            </w:r>
          </w:p>
        </w:tc>
        <w:tc>
          <w:tcPr>
            <w:tcW w:type="dxa" w:w="521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MDS-600 stock receipt or MDS-800 expense/service recognition.</w:t>
            </w:r>
          </w:p>
        </w:tc>
      </w:tr>
      <w:tr>
        <w:trPr>
          <w:cantSplit/>
        </w:trPr>
        <w:tc>
          <w:tcPr>
            <w:tcW w:type="dxa" w:w="4989"/>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5. Execute outgoing payment.</w:t>
            </w:r>
          </w:p>
        </w:tc>
        <w:tc>
          <w:tcPr>
            <w:tcW w:type="dxa" w:w="521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MDS-500 payment; MDS-700 cash out.</w:t>
            </w:r>
          </w:p>
        </w:tc>
      </w:tr>
      <w:tr>
        <w:trPr>
          <w:cantSplit/>
        </w:trPr>
        <w:tc>
          <w:tcPr>
            <w:tcW w:type="dxa" w:w="4989"/>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6. Complete and present linked results.</w:t>
            </w:r>
          </w:p>
        </w:tc>
        <w:tc>
          <w:tcPr>
            <w:tcW w:type="dxa" w:w="521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MDS-400 purchase, MDS-500 payment, MDS-600/MDS-800 effect, MDS-700 cash, MDS-900 reporting, audit.</w:t>
            </w:r>
          </w:p>
        </w:tc>
      </w:tr>
    </w:tbl>
    <w:p>
      <w:pPr>
        <w:spacing w:after="0"/>
      </w:pPr>
    </w:p>
    <w:p>
      <w:pPr>
        <w:pStyle w:val="Heading2"/>
        <w:keepNext/>
      </w:pPr>
      <w:r>
        <w:rPr>
          <w:rFonts w:ascii="Inter" w:hAnsi="Inter" w:eastAsia="Inter"/>
          <w:b/>
          <w:color w:val="1A2D44"/>
          <w:sz w:val="25"/>
        </w:rPr>
        <w:t>11.2 Order-to-Pay Workflow</w:t>
      </w:r>
    </w:p>
    <w:p>
      <w:r>
        <w:rPr>
          <w:rFonts w:ascii="Inter" w:hAnsi="Inter" w:eastAsia="Inter"/>
        </w:rPr>
        <w:t>Purchase Order → Approval (when required) → Goods/Service Receipt → Supplier Invoice → Match and Exception Resolution → Post Payable → Payment Handoff → MDS-500 Approval/Execution → Payment Allocation → Close Purchase Chain.</w:t>
      </w:r>
    </w:p>
    <w:tbl>
      <w:tblPr>
        <w:tblW w:type="auto" w:w="0"/>
        <w:jc w:val="center"/>
        <w:tblLayout w:type="fixed"/>
        <w:tblLook w:firstColumn="1" w:firstRow="1" w:lastColumn="0" w:lastRow="0" w:noHBand="0" w:noVBand="1" w:val="04A0"/>
      </w:tblPr>
      <w:tblGrid>
        <w:gridCol w:w="10262"/>
      </w:tblGrid>
      <w:tr>
        <w:trPr>
          <w:cantSplit/>
        </w:trPr>
        <w:tc>
          <w:tcPr>
            <w:tcW w:type="dxa" w:w="10205"/>
            <w:shd w:fill="E7F0F8"/>
            <w:tcMar>
              <w:top w:w="110" w:type="dxa"/>
              <w:start w:w="140" w:type="dxa"/>
              <w:bottom w:w="110" w:type="dxa"/>
              <w:end w:w="140" w:type="dxa"/>
            </w:tcMar>
            <w:tcBorders>
              <w:top w:val="single" w:sz="3" w:color="2F78B7"/>
              <w:left w:val="single" w:sz="18" w:color="2F78B7"/>
              <w:bottom w:val="single" w:sz="3" w:color="2F78B7"/>
              <w:right w:val="single" w:sz="3" w:color="2F78B7"/>
            </w:tcBorders>
          </w:tcPr>
          <w:p>
            <w:pPr>
              <w:spacing w:after="0"/>
            </w:pPr>
            <w:r>
              <w:rPr>
                <w:rFonts w:ascii="Inter" w:hAnsi="Inter" w:eastAsia="Inter"/>
                <w:b/>
                <w:color w:val="1A2D44"/>
                <w:sz w:val="17"/>
              </w:rPr>
              <w:t xml:space="preserve">WORKFLOW RULE  </w:t>
            </w:r>
            <w:r>
              <w:rPr>
                <w:rFonts w:ascii="Inter" w:hAnsi="Inter" w:eastAsia="Inter"/>
                <w:color w:val="1A2D44"/>
                <w:sz w:val="18"/>
              </w:rPr>
              <w:t>Each step may be optional or combined in the user experience according to edition and policy, but its authoritative meaning, status, and audit evidence shall remain distinct.</w:t>
            </w:r>
          </w:p>
        </w:tc>
      </w:tr>
    </w:tbl>
    <w:p>
      <w:pPr>
        <w:spacing w:after="0"/>
      </w:pPr>
    </w:p>
    <w:p>
      <w:pPr>
        <w:pStyle w:val="Heading2"/>
        <w:keepNext/>
      </w:pPr>
      <w:r>
        <w:rPr>
          <w:rFonts w:ascii="Inter" w:hAnsi="Inter" w:eastAsia="Inter"/>
          <w:b/>
          <w:color w:val="1A2D44"/>
          <w:sz w:val="25"/>
        </w:rPr>
        <w:t>11.3 Direct Supplier Invoice Workflow</w:t>
      </w:r>
    </w:p>
    <w:p>
      <w:r>
        <w:rPr>
          <w:rFonts w:ascii="Inter" w:hAnsi="Inter" w:eastAsia="Inter"/>
        </w:rPr>
        <w:t>Supplier Invoice → Supplier and Duplicate Validation → Line Classification → Optional Receipt/Service Confirmation → Approval/Match → Post Payable → Due Management → Payment Handoff.</w:t>
      </w:r>
    </w:p>
    <w:p>
      <w:pPr>
        <w:pStyle w:val="Heading2"/>
        <w:keepNext/>
      </w:pPr>
      <w:r>
        <w:rPr>
          <w:rFonts w:ascii="Inter" w:hAnsi="Inter" w:eastAsia="Inter"/>
          <w:b/>
          <w:color w:val="1A2D44"/>
          <w:sz w:val="25"/>
        </w:rPr>
        <w:t>11.4 Purchase Return and Supplier Credit Workflow</w:t>
      </w:r>
    </w:p>
    <w:p>
      <w:r>
        <w:rPr>
          <w:rFonts w:ascii="Inter" w:hAnsi="Inter" w:eastAsia="Inter"/>
        </w:rPr>
        <w:t>Select Source Receipt/Invoice → Validate Eligible Quantity/Amount → Approve Return → Post Return → MDS-600 Stock Out (if applicable) → Supplier Debit Adjustment/Credit Eligibility → Replacement, Future Application, or Incoming Refund → Close.</w:t>
      </w:r>
    </w:p>
    <w:p>
      <w:pPr>
        <w:pStyle w:val="Heading2"/>
        <w:keepNext/>
      </w:pPr>
      <w:r>
        <w:rPr>
          <w:rFonts w:ascii="Inter" w:hAnsi="Inter" w:eastAsia="Inter"/>
          <w:b/>
          <w:color w:val="1A2D44"/>
          <w:sz w:val="25"/>
        </w:rPr>
        <w:t>11.5 Payable Correction Workflow</w:t>
      </w:r>
    </w:p>
    <w:p>
      <w:r>
        <w:rPr>
          <w:rFonts w:ascii="Inter" w:hAnsi="Inter" w:eastAsia="Inter"/>
        </w:rPr>
        <w:t>Identify Posted Source → Select Correction Type → Record Reason and Evidence → Validate Affected Open Items/Tax/Stock/Expense → Approve if Required → Post Adjustment or Reversal → Refresh Supplier Ledger, Aging, Payment Readiness, Reports, and Audit.</w:t>
      </w:r>
    </w:p>
    <w:p>
      <w:pPr>
        <w:pStyle w:val="Heading2"/>
        <w:keepNext/>
      </w:pPr>
      <w:r>
        <w:rPr>
          <w:rFonts w:ascii="Inter" w:hAnsi="Inter" w:eastAsia="Inter"/>
          <w:b/>
          <w:color w:val="1A2D44"/>
          <w:sz w:val="25"/>
        </w:rPr>
        <w:t>11.6 Exception Handling</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2721"/>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Exception</w:t>
            </w:r>
          </w:p>
        </w:tc>
        <w:tc>
          <w:tcPr>
            <w:tcW w:type="dxa" w:w="7483"/>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Required behavior</w:t>
            </w:r>
          </w:p>
        </w:tc>
      </w:tr>
      <w:tr>
        <w:trPr>
          <w:cantSplit/>
        </w:trPr>
        <w:tc>
          <w:tcPr>
            <w:tcW w:type="dxa" w:w="2721"/>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Duplicate or uncertain submission</w:t>
            </w:r>
          </w:p>
        </w:tc>
        <w:tc>
          <w:tcPr>
            <w:tcW w:type="dxa" w:w="748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Verify idempotency key, supplier invoice identity, source correlation, and existing status before retry.</w:t>
            </w:r>
          </w:p>
        </w:tc>
      </w:tr>
      <w:tr>
        <w:trPr>
          <w:cantSplit/>
        </w:trPr>
        <w:tc>
          <w:tcPr>
            <w:tcW w:type="dxa" w:w="2721"/>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Quantity or price mismatch</w:t>
            </w:r>
          </w:p>
        </w:tc>
        <w:tc>
          <w:tcPr>
            <w:tcW w:type="dxa" w:w="748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Retain expected, actual, tolerance, explanation, evidence, owner, and resolution; do not silently force match.</w:t>
            </w:r>
          </w:p>
        </w:tc>
      </w:tr>
      <w:tr>
        <w:trPr>
          <w:cantSplit/>
        </w:trPr>
        <w:tc>
          <w:tcPr>
            <w:tcW w:type="dxa" w:w="2721"/>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Missing receipt or invoice</w:t>
            </w:r>
          </w:p>
        </w:tc>
        <w:tc>
          <w:tcPr>
            <w:tcW w:type="dxa" w:w="748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Place the relevant document in exception/hold state according to policy and route to an authorized user.</w:t>
            </w:r>
          </w:p>
        </w:tc>
      </w:tr>
      <w:tr>
        <w:trPr>
          <w:cantSplit/>
        </w:trPr>
        <w:tc>
          <w:tcPr>
            <w:tcW w:type="dxa" w:w="2721"/>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Downstream stock/expense failure</w:t>
            </w:r>
          </w:p>
        </w:tc>
        <w:tc>
          <w:tcPr>
            <w:tcW w:type="dxa" w:w="748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Roll back or enter a controlled recoverable state; never show false purchase completion.</w:t>
            </w:r>
          </w:p>
        </w:tc>
      </w:tr>
      <w:tr>
        <w:trPr>
          <w:cantSplit/>
        </w:trPr>
        <w:tc>
          <w:tcPr>
            <w:tcW w:type="dxa" w:w="2721"/>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Payment failure or void</w:t>
            </w:r>
          </w:p>
        </w:tc>
        <w:tc>
          <w:tcPr>
            <w:tcW w:type="dxa" w:w="748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Synchronize MDS-500 result, restore outstanding payable as required, and preserve the full payment attempt history.</w:t>
            </w:r>
          </w:p>
        </w:tc>
      </w:tr>
      <w:tr>
        <w:trPr>
          <w:cantSplit/>
        </w:trPr>
        <w:tc>
          <w:tcPr>
            <w:tcW w:type="dxa" w:w="2721"/>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Supplier disputes invoice</w:t>
            </w:r>
          </w:p>
        </w:tc>
        <w:tc>
          <w:tcPr>
            <w:tcW w:type="dxa" w:w="748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Keep the obligation, disputed amount, reason, owner, communication, and resolution distinct from cancellation.</w:t>
            </w:r>
          </w:p>
        </w:tc>
      </w:tr>
      <w:tr>
        <w:trPr>
          <w:cantSplit/>
        </w:trPr>
        <w:tc>
          <w:tcPr>
            <w:tcW w:type="dxa" w:w="2721"/>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Closed-period correction</w:t>
            </w:r>
          </w:p>
        </w:tc>
        <w:tc>
          <w:tcPr>
            <w:tcW w:type="dxa" w:w="748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Use approved later-period reversal/adjustment and preserve original-period history under accounting policy.</w:t>
            </w:r>
          </w:p>
        </w:tc>
      </w:tr>
      <w:tr>
        <w:trPr>
          <w:cantSplit/>
        </w:trPr>
        <w:tc>
          <w:tcPr>
            <w:tcW w:type="dxa" w:w="2721"/>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External integration conflict</w:t>
            </w:r>
          </w:p>
        </w:tc>
        <w:tc>
          <w:tcPr>
            <w:tcW w:type="dxa" w:w="748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Quarantine duplicate/mismatched payload with source identity and reason; do not accept twice.</w:t>
            </w:r>
          </w:p>
        </w:tc>
      </w:tr>
    </w:tbl>
    <w:p>
      <w:pPr>
        <w:spacing w:after="0"/>
      </w:pPr>
    </w:p>
    <w:p>
      <w:r>
        <w:br w:type="page"/>
      </w:r>
    </w:p>
    <w:p>
      <w:pPr>
        <w:pStyle w:val="PartTitle"/>
        <w:spacing w:before="900" w:after="80"/>
      </w:pPr>
      <w:r>
        <w:rPr>
          <w:rFonts w:ascii="Inter" w:hAnsi="Inter" w:eastAsia="Inter"/>
          <w:b/>
          <w:color w:val="667485"/>
          <w:sz w:val="20"/>
        </w:rPr>
        <w:t>PART III</w:t>
      </w:r>
    </w:p>
    <w:p>
      <w:pPr>
        <w:pStyle w:val="PartName"/>
        <w:spacing w:after="120"/>
      </w:pPr>
      <w:r>
        <w:rPr>
          <w:rFonts w:ascii="Inter Display" w:hAnsi="Inter Display" w:eastAsia="Inter Display"/>
          <w:b/>
          <w:color w:val="2F78B7"/>
          <w:sz w:val="50"/>
        </w:rPr>
        <w:t>Integration and Information</w:t>
      </w:r>
    </w:p>
    <w:p>
      <w:pPr>
        <w:pStyle w:val="PartSubtitle"/>
        <w:spacing w:after="0"/>
      </w:pPr>
      <w:r>
        <w:rPr>
          <w:rFonts w:ascii="Inter" w:hAnsi="Inter" w:eastAsia="Inter"/>
          <w:color w:val="667485"/>
          <w:sz w:val="22"/>
        </w:rPr>
        <w:t>Cross-module contracts, transaction effects, reporting, tasks, security, data ownership, supplier balances, and integrity.</w:t>
      </w:r>
    </w:p>
    <w:p>
      <w:pPr>
        <w:pStyle w:val="Heading1"/>
        <w:keepNext/>
      </w:pPr>
      <w:r>
        <w:rPr>
          <w:rFonts w:ascii="Inter Display" w:hAnsi="Inter Display" w:eastAsia="Inter Display"/>
          <w:b/>
          <w:color w:val="2F78B7"/>
          <w:sz w:val="34"/>
        </w:rPr>
        <w:t>12. Integration</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2665"/>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Module / service</w:t>
            </w:r>
          </w:p>
        </w:tc>
        <w:tc>
          <w:tcPr>
            <w:tcW w:type="dxa" w:w="7540"/>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MDS-400 integration</w:t>
            </w:r>
          </w:p>
        </w:tc>
      </w:tr>
      <w:tr>
        <w:trPr>
          <w:cantSplit/>
        </w:trPr>
        <w:tc>
          <w:tcPr>
            <w:tcW w:type="dxa" w:w="266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MDS-000 Core</w:t>
            </w:r>
          </w:p>
        </w:tc>
        <w:tc>
          <w:tcPr>
            <w:tcW w:type="dxa" w:w="754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Uses identity, company context, permissions, entitlements, numbering, transaction, event, audit, attachment, notification, search, and error services.</w:t>
            </w:r>
          </w:p>
        </w:tc>
      </w:tr>
      <w:tr>
        <w:trPr>
          <w:cantSplit/>
        </w:trPr>
        <w:tc>
          <w:tcPr>
            <w:tcW w:type="dxa" w:w="266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MDS-100 Dashboard</w:t>
            </w:r>
          </w:p>
        </w:tc>
        <w:tc>
          <w:tcPr>
            <w:tcW w:type="dxa" w:w="754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Supplies purchase/payable metrics, attention, activity, drill-downs, and governed entry points.</w:t>
            </w:r>
          </w:p>
        </w:tc>
      </w:tr>
      <w:tr>
        <w:trPr>
          <w:cantSplit/>
        </w:trPr>
        <w:tc>
          <w:tcPr>
            <w:tcW w:type="dxa" w:w="266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MDS-300 Collections &amp; Receipts</w:t>
            </w:r>
          </w:p>
        </w:tc>
        <w:tc>
          <w:tcPr>
            <w:tcW w:type="dxa" w:w="754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May receive authorized supplier refunds or other incoming amounts linked to MDS-400 source credit; does not settle payables.</w:t>
            </w:r>
          </w:p>
        </w:tc>
      </w:tr>
      <w:tr>
        <w:trPr>
          <w:cantSplit/>
        </w:trPr>
        <w:tc>
          <w:tcPr>
            <w:tcW w:type="dxa" w:w="266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MDS-500 Payments &amp; Disbursements</w:t>
            </w:r>
          </w:p>
        </w:tc>
        <w:tc>
          <w:tcPr>
            <w:tcW w:type="dxa" w:w="754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Consumes eligible obligations/payment requests; owns outgoing payment preparation, approval, execution, confirmation, void, and allocation.</w:t>
            </w:r>
          </w:p>
        </w:tc>
      </w:tr>
      <w:tr>
        <w:trPr>
          <w:cantSplit/>
        </w:trPr>
        <w:tc>
          <w:tcPr>
            <w:tcW w:type="dxa" w:w="266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MDS-600 Inventory</w:t>
            </w:r>
          </w:p>
        </w:tc>
        <w:tc>
          <w:tcPr>
            <w:tcW w:type="dxa" w:w="754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Owns stock receipts, returns/issues, availability, valuation, and quantity effects generated from purchase events.</w:t>
            </w:r>
          </w:p>
        </w:tc>
      </w:tr>
      <w:tr>
        <w:trPr>
          <w:cantSplit/>
        </w:trPr>
        <w:tc>
          <w:tcPr>
            <w:tcW w:type="dxa" w:w="266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MDS-700 Cash Accounts</w:t>
            </w:r>
          </w:p>
        </w:tc>
        <w:tc>
          <w:tcPr>
            <w:tcW w:type="dxa" w:w="754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Owns outgoing cash movements and account balances generated by MDS-500; provides payment-source context for paid-now purchase entry.</w:t>
            </w:r>
          </w:p>
        </w:tc>
      </w:tr>
      <w:tr>
        <w:trPr>
          <w:cantSplit/>
        </w:trPr>
        <w:tc>
          <w:tcPr>
            <w:tcW w:type="dxa" w:w="266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MDS-800 Expenses</w:t>
            </w:r>
          </w:p>
        </w:tc>
        <w:tc>
          <w:tcPr>
            <w:tcW w:type="dxa" w:w="754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Owns expense recognition, category, evidence policy, allocations, and accrual for applicable purchase lines.</w:t>
            </w:r>
          </w:p>
        </w:tc>
      </w:tr>
      <w:tr>
        <w:trPr>
          <w:cantSplit/>
        </w:trPr>
        <w:tc>
          <w:tcPr>
            <w:tcW w:type="dxa" w:w="266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MDS-900 Reports &amp; Analytics</w:t>
            </w:r>
          </w:p>
        </w:tc>
        <w:tc>
          <w:tcPr>
            <w:tcW w:type="dxa" w:w="754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Consumes governed source data and owns consolidated report presentation and cross-module analytics.</w:t>
            </w:r>
          </w:p>
        </w:tc>
      </w:tr>
      <w:tr>
        <w:trPr>
          <w:cantSplit/>
        </w:trPr>
        <w:tc>
          <w:tcPr>
            <w:tcW w:type="dxa" w:w="266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MDS-1000 Master Registries</w:t>
            </w:r>
          </w:p>
        </w:tc>
        <w:tc>
          <w:tcPr>
            <w:tcW w:type="dxa" w:w="754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Owns suppliers, products/services, units, warehouses, terms, taxes, currencies, branches, cost centers, payment methods, and cash accounts.</w:t>
            </w:r>
          </w:p>
        </w:tc>
      </w:tr>
      <w:tr>
        <w:trPr>
          <w:cantSplit/>
        </w:trPr>
        <w:tc>
          <w:tcPr>
            <w:tcW w:type="dxa" w:w="266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MDS-1100 Settings &amp; Administration</w:t>
            </w:r>
          </w:p>
        </w:tc>
        <w:tc>
          <w:tcPr>
            <w:tcW w:type="dxa" w:w="754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Supplies numbering, roles, approvals, tolerances, matching, posting dates, localization, entitlement, and integration configuration.</w:t>
            </w:r>
          </w:p>
        </w:tc>
      </w:tr>
      <w:tr>
        <w:trPr>
          <w:cantSplit/>
        </w:trPr>
        <w:tc>
          <w:tcPr>
            <w:tcW w:type="dxa" w:w="266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External supplier / procurement services</w:t>
            </w:r>
          </w:p>
        </w:tc>
        <w:tc>
          <w:tcPr>
            <w:tcW w:type="dxa" w:w="754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Exchange approved documents or statuses through authenticated APIs/events; never write directly to source tables.</w:t>
            </w:r>
          </w:p>
        </w:tc>
      </w:tr>
    </w:tbl>
    <w:p>
      <w:pPr>
        <w:spacing w:after="0"/>
      </w:pPr>
    </w:p>
    <w:p>
      <w:pPr>
        <w:pStyle w:val="Heading2"/>
        <w:keepNext/>
      </w:pPr>
      <w:r>
        <w:rPr>
          <w:rFonts w:ascii="Inter" w:hAnsi="Inter" w:eastAsia="Inter"/>
          <w:b/>
          <w:color w:val="1A2D44"/>
          <w:sz w:val="25"/>
        </w:rPr>
        <w:t>12.1 Cross-Module Transaction Effects</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268"/>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Business action</w:t>
            </w:r>
          </w:p>
        </w:tc>
        <w:tc>
          <w:tcPr>
            <w:tcW w:type="dxa" w:w="3515"/>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MDS-400 effect</w:t>
            </w:r>
          </w:p>
        </w:tc>
        <w:tc>
          <w:tcPr>
            <w:tcW w:type="dxa" w:w="4422"/>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Required collaborating effects</w:t>
            </w:r>
          </w:p>
        </w:tc>
      </w:tr>
      <w:tr>
        <w:trPr>
          <w:cantSplit/>
        </w:trPr>
        <w:tc>
          <w:tcPr>
            <w:tcW w:type="dxa" w:w="226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Paid-now inventory purchase</w:t>
            </w:r>
          </w:p>
        </w:tc>
        <w:tc>
          <w:tcPr>
            <w:tcW w:type="dxa" w:w="351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Post purchase/supplier obligation and link immediate settlement.</w:t>
            </w:r>
          </w:p>
        </w:tc>
        <w:tc>
          <w:tcPr>
            <w:tcW w:type="dxa" w:w="4422"/>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MDS-500 payment; MDS-600 stock in; MDS-700 cash out; reports/audit.</w:t>
            </w:r>
          </w:p>
        </w:tc>
      </w:tr>
      <w:tr>
        <w:trPr>
          <w:cantSplit/>
        </w:trPr>
        <w:tc>
          <w:tcPr>
            <w:tcW w:type="dxa" w:w="226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Credit inventory purchase</w:t>
            </w:r>
          </w:p>
        </w:tc>
        <w:tc>
          <w:tcPr>
            <w:tcW w:type="dxa" w:w="351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Post supplier payable and receiving/invoice chain.</w:t>
            </w:r>
          </w:p>
        </w:tc>
        <w:tc>
          <w:tcPr>
            <w:tcW w:type="dxa" w:w="4422"/>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MDS-600 stock in; later MDS-500 payment and MDS-700 cash out.</w:t>
            </w:r>
          </w:p>
        </w:tc>
      </w:tr>
      <w:tr>
        <w:trPr>
          <w:cantSplit/>
        </w:trPr>
        <w:tc>
          <w:tcPr>
            <w:tcW w:type="dxa" w:w="226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Service or expense purchase</w:t>
            </w:r>
          </w:p>
        </w:tc>
        <w:tc>
          <w:tcPr>
            <w:tcW w:type="dxa" w:w="351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Post supplier invoice and payable.</w:t>
            </w:r>
          </w:p>
        </w:tc>
        <w:tc>
          <w:tcPr>
            <w:tcW w:type="dxa" w:w="4422"/>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MDS-800 expense recognition/allocation; later MDS-500/MDS-700 settlement.</w:t>
            </w:r>
          </w:p>
        </w:tc>
      </w:tr>
      <w:tr>
        <w:trPr>
          <w:cantSplit/>
        </w:trPr>
        <w:tc>
          <w:tcPr>
            <w:tcW w:type="dxa" w:w="226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Purchase Order</w:t>
            </w:r>
          </w:p>
        </w:tc>
        <w:tc>
          <w:tcPr>
            <w:tcW w:type="dxa" w:w="351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Create commitment and remaining quantity/amount.</w:t>
            </w:r>
          </w:p>
        </w:tc>
        <w:tc>
          <w:tcPr>
            <w:tcW w:type="dxa" w:w="4422"/>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No stock, payable, expense, or cash effect.</w:t>
            </w:r>
          </w:p>
        </w:tc>
      </w:tr>
      <w:tr>
        <w:trPr>
          <w:cantSplit/>
        </w:trPr>
        <w:tc>
          <w:tcPr>
            <w:tcW w:type="dxa" w:w="226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Goods Receipt</w:t>
            </w:r>
          </w:p>
        </w:tc>
        <w:tc>
          <w:tcPr>
            <w:tcW w:type="dxa" w:w="351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Post receiving evidence and update received status.</w:t>
            </w:r>
          </w:p>
        </w:tc>
        <w:tc>
          <w:tcPr>
            <w:tcW w:type="dxa" w:w="4422"/>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MDS-600 stock receipt; possible receipt accrual per configuration.</w:t>
            </w:r>
          </w:p>
        </w:tc>
      </w:tr>
      <w:tr>
        <w:trPr>
          <w:cantSplit/>
        </w:trPr>
        <w:tc>
          <w:tcPr>
            <w:tcW w:type="dxa" w:w="226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Supplier Invoice</w:t>
            </w:r>
          </w:p>
        </w:tc>
        <w:tc>
          <w:tcPr>
            <w:tcW w:type="dxa" w:w="351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Post payable and matching result.</w:t>
            </w:r>
          </w:p>
        </w:tc>
        <w:tc>
          <w:tcPr>
            <w:tcW w:type="dxa" w:w="4422"/>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MDS-600 inventory/cost basis and/or MDS-800 expense classification; tax/reporting effects.</w:t>
            </w:r>
          </w:p>
        </w:tc>
      </w:tr>
      <w:tr>
        <w:trPr>
          <w:cantSplit/>
        </w:trPr>
        <w:tc>
          <w:tcPr>
            <w:tcW w:type="dxa" w:w="226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Purchase Return</w:t>
            </w:r>
          </w:p>
        </w:tc>
        <w:tc>
          <w:tcPr>
            <w:tcW w:type="dxa" w:w="351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Post return and supplier credit/adjustment eligibility.</w:t>
            </w:r>
          </w:p>
        </w:tc>
        <w:tc>
          <w:tcPr>
            <w:tcW w:type="dxa" w:w="4422"/>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MDS-600 stock out; MDS-500 replacement/refund context where outgoing; MDS-300 incoming refund where received.</w:t>
            </w:r>
          </w:p>
        </w:tc>
      </w:tr>
      <w:tr>
        <w:trPr>
          <w:cantSplit/>
        </w:trPr>
        <w:tc>
          <w:tcPr>
            <w:tcW w:type="dxa" w:w="226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Payment completed</w:t>
            </w:r>
          </w:p>
        </w:tc>
        <w:tc>
          <w:tcPr>
            <w:tcW w:type="dxa" w:w="351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Apply synchronized settlement result to open items.</w:t>
            </w:r>
          </w:p>
        </w:tc>
        <w:tc>
          <w:tcPr>
            <w:tcW w:type="dxa" w:w="4422"/>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MDS-500 payment/allocation; MDS-700 cash out; supplier ledger and aging refresh.</w:t>
            </w:r>
          </w:p>
        </w:tc>
      </w:tr>
      <w:tr>
        <w:trPr>
          <w:cantSplit/>
        </w:trPr>
        <w:tc>
          <w:tcPr>
            <w:tcW w:type="dxa" w:w="226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Payment failed or voided</w:t>
            </w:r>
          </w:p>
        </w:tc>
        <w:tc>
          <w:tcPr>
            <w:tcW w:type="dxa" w:w="351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Restore valid outstanding amount and payment readiness.</w:t>
            </w:r>
          </w:p>
        </w:tc>
        <w:tc>
          <w:tcPr>
            <w:tcW w:type="dxa" w:w="4422"/>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MDS-500 failure/void chain; MDS-700 reversal or clearing correction.</w:t>
            </w:r>
          </w:p>
        </w:tc>
      </w:tr>
    </w:tbl>
    <w:p>
      <w:pPr>
        <w:spacing w:after="0"/>
      </w:pPr>
    </w:p>
    <w:p>
      <w:pPr>
        <w:pStyle w:val="Heading2"/>
        <w:keepNext/>
      </w:pPr>
      <w:r>
        <w:rPr>
          <w:rFonts w:ascii="Inter" w:hAnsi="Inter" w:eastAsia="Inter"/>
          <w:b/>
          <w:color w:val="1A2D44"/>
          <w:sz w:val="25"/>
        </w:rPr>
        <w:t>12.2 Accounting and Transaction Integrity</w:t>
      </w:r>
    </w:p>
    <w:p>
      <w:r>
        <w:rPr>
          <w:rFonts w:ascii="Inter" w:hAnsi="Inter" w:eastAsia="Inter"/>
        </w:rPr>
        <w:t>The user shall not be required to enter debits and credits. The Business Transaction Engine shall derive balanced, versioned, and auditable entries from approved purchase events and configured transaction templates.</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2835"/>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6"/>
              </w:rPr>
              <w:t>Business event</w:t>
            </w:r>
          </w:p>
        </w:tc>
        <w:tc>
          <w:tcPr>
            <w:tcW w:type="dxa" w:w="7370"/>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6"/>
              </w:rPr>
              <w:t>Illustrative hidden accounting effect</w:t>
            </w:r>
          </w:p>
        </w:tc>
      </w:tr>
      <w:tr>
        <w:trPr>
          <w:cantSplit/>
        </w:trPr>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Inventory supplier invoice</w:t>
            </w:r>
          </w:p>
        </w:tc>
        <w:tc>
          <w:tcPr>
            <w:tcW w:type="dxa" w:w="737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Debit Inventory / Recoverable Tax or related asset; Credit Accounts Payable.</w:t>
            </w:r>
          </w:p>
        </w:tc>
      </w:tr>
      <w:tr>
        <w:trPr>
          <w:cantSplit/>
        </w:trPr>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Operating-expense supplier invoice</w:t>
            </w:r>
          </w:p>
        </w:tc>
        <w:tc>
          <w:tcPr>
            <w:tcW w:type="dxa" w:w="737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Debit Expense / Recoverable Tax; Credit Accounts Payable.</w:t>
            </w:r>
          </w:p>
        </w:tc>
      </w:tr>
      <w:tr>
        <w:trPr>
          <w:cantSplit/>
        </w:trPr>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Supplier debit adjustment</w:t>
            </w:r>
          </w:p>
        </w:tc>
        <w:tc>
          <w:tcPr>
            <w:tcW w:type="dxa" w:w="737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Debit Accounts Payable; Credit Inventory, Expense, Tax, or Supplier Credit according to source.</w:t>
            </w:r>
          </w:p>
        </w:tc>
      </w:tr>
      <w:tr>
        <w:trPr>
          <w:cantSplit/>
        </w:trPr>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Supplier credit adjustment</w:t>
            </w:r>
          </w:p>
        </w:tc>
        <w:tc>
          <w:tcPr>
            <w:tcW w:type="dxa" w:w="737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Debit Inventory, Expense, Tax, or other authorized account; Credit Accounts Payable.</w:t>
            </w:r>
          </w:p>
        </w:tc>
      </w:tr>
      <w:tr>
        <w:trPr>
          <w:cantSplit/>
        </w:trPr>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Supplier payment allocation</w:t>
            </w:r>
          </w:p>
        </w:tc>
        <w:tc>
          <w:tcPr>
            <w:tcW w:type="dxa" w:w="737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Debit Accounts Payable; Credit payment clearing/cash through MDS-500/MDS-700.</w:t>
            </w:r>
          </w:p>
        </w:tc>
      </w:tr>
    </w:tbl>
    <w:p>
      <w:pPr>
        <w:spacing w:after="0"/>
      </w:pPr>
    </w:p>
    <w:tbl>
      <w:tblPr>
        <w:tblW w:type="auto" w:w="0"/>
        <w:jc w:val="center"/>
        <w:tblLayout w:type="fixed"/>
        <w:tblLook w:firstColumn="1" w:firstRow="1" w:lastColumn="0" w:lastRow="0" w:noHBand="0" w:noVBand="1" w:val="04A0"/>
      </w:tblPr>
      <w:tblGrid>
        <w:gridCol w:w="10262"/>
      </w:tblGrid>
      <w:tr>
        <w:trPr>
          <w:cantSplit/>
        </w:trPr>
        <w:tc>
          <w:tcPr>
            <w:tcW w:type="dxa" w:w="10205"/>
            <w:shd w:fill="E7F0F8"/>
            <w:tcMar>
              <w:top w:w="110" w:type="dxa"/>
              <w:start w:w="140" w:type="dxa"/>
              <w:bottom w:w="110" w:type="dxa"/>
              <w:end w:w="140" w:type="dxa"/>
            </w:tcMar>
            <w:tcBorders>
              <w:top w:val="single" w:sz="3" w:color="2F78B7"/>
              <w:left w:val="single" w:sz="18" w:color="2F78B7"/>
              <w:bottom w:val="single" w:sz="3" w:color="2F78B7"/>
              <w:right w:val="single" w:sz="3" w:color="2F78B7"/>
            </w:tcBorders>
          </w:tcPr>
          <w:p>
            <w:pPr>
              <w:spacing w:after="0"/>
            </w:pPr>
            <w:r>
              <w:rPr>
                <w:rFonts w:ascii="Inter" w:hAnsi="Inter" w:eastAsia="Inter"/>
                <w:b/>
                <w:color w:val="1A2D44"/>
                <w:sz w:val="17"/>
              </w:rPr>
              <w:t xml:space="preserve">ACCOUNTING SAFEGUARD  </w:t>
            </w:r>
            <w:r>
              <w:rPr>
                <w:rFonts w:ascii="Inter" w:hAnsi="Inter" w:eastAsia="Inter"/>
                <w:color w:val="1A2D44"/>
                <w:sz w:val="18"/>
              </w:rPr>
              <w:t>These examples describe internal effects, not user-facing accounting instructions. Final account templates, tax treatment, and posting rules shall be configured and tested for the applicable jurisdiction and edition.</w:t>
            </w:r>
          </w:p>
        </w:tc>
      </w:tr>
    </w:tbl>
    <w:p>
      <w:pPr>
        <w:spacing w:after="0"/>
      </w:pPr>
    </w:p>
    <w:p>
      <w:r>
        <w:br w:type="page"/>
      </w:r>
    </w:p>
    <w:p>
      <w:pPr>
        <w:pStyle w:val="Heading1"/>
        <w:keepNext/>
      </w:pPr>
      <w:r>
        <w:rPr>
          <w:rFonts w:ascii="Inter Display" w:hAnsi="Inter Display" w:eastAsia="Inter Display"/>
          <w:b/>
          <w:color w:val="2F78B7"/>
          <w:sz w:val="34"/>
        </w:rPr>
        <w:t>13. Reports and Metrics</w:t>
      </w:r>
    </w:p>
    <w:p>
      <w:r>
        <w:rPr>
          <w:rFonts w:ascii="Inter" w:hAnsi="Inter" w:eastAsia="Inter"/>
        </w:rPr>
        <w:t>MDS-400 owns module report definitions and governed source data. MDS-900 owns the shared report catalog, parameters, generation, preview, print, export, scheduling, and cross-module analytics.</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2268"/>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Report group</w:t>
            </w:r>
          </w:p>
        </w:tc>
        <w:tc>
          <w:tcPr>
            <w:tcW w:type="dxa" w:w="7937"/>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Initial reports / views</w:t>
            </w:r>
          </w:p>
        </w:tc>
      </w:tr>
      <w:tr>
        <w:trPr>
          <w:cantSplit/>
        </w:trPr>
        <w:tc>
          <w:tcPr>
            <w:tcW w:type="dxa" w:w="226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Purchasing activity</w:t>
            </w:r>
          </w:p>
        </w:tc>
        <w:tc>
          <w:tcPr>
            <w:tcW w:type="dxa" w:w="793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Purchase Register; Purchase History; Purchases by Supplier; Purchases by Product/Service; Purchases by Category; Monthly Purchases; Purchase Trends.</w:t>
            </w:r>
          </w:p>
        </w:tc>
      </w:tr>
      <w:tr>
        <w:trPr>
          <w:cantSplit/>
        </w:trPr>
        <w:tc>
          <w:tcPr>
            <w:tcW w:type="dxa" w:w="226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Orders and receiving</w:t>
            </w:r>
          </w:p>
        </w:tc>
        <w:tc>
          <w:tcPr>
            <w:tcW w:type="dxa" w:w="793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Purchase Order Listing; Open Purchase Orders; Partially Received Orders; Goods Receipt Register; Receiving Status; Uninvoiced Receipts; Invoiced-not-Received Exceptions.</w:t>
            </w:r>
          </w:p>
        </w:tc>
      </w:tr>
      <w:tr>
        <w:trPr>
          <w:cantSplit/>
        </w:trPr>
        <w:tc>
          <w:tcPr>
            <w:tcW w:type="dxa" w:w="226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Payables</w:t>
            </w:r>
          </w:p>
        </w:tc>
        <w:tc>
          <w:tcPr>
            <w:tcW w:type="dxa" w:w="793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Aging of Payables; Supplier Balances; Due for Payment; Due Soon; Overdue Payables; On-Hold/Disputed Payables; Supplier Ledger.</w:t>
            </w:r>
          </w:p>
        </w:tc>
      </w:tr>
      <w:tr>
        <w:trPr>
          <w:cantSplit/>
        </w:trPr>
        <w:tc>
          <w:tcPr>
            <w:tcW w:type="dxa" w:w="226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Matching and control</w:t>
            </w:r>
          </w:p>
        </w:tc>
        <w:tc>
          <w:tcPr>
            <w:tcW w:type="dxa" w:w="793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Unmatched Supplier Invoices; Duplicate-Invoice Exceptions; Price/Quantity Variance; Missing Evidence; Approval History; Reversal/Adjustment Register.</w:t>
            </w:r>
          </w:p>
        </w:tc>
      </w:tr>
      <w:tr>
        <w:trPr>
          <w:cantSplit/>
        </w:trPr>
        <w:tc>
          <w:tcPr>
            <w:tcW w:type="dxa" w:w="226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Returns and credits</w:t>
            </w:r>
          </w:p>
        </w:tc>
        <w:tc>
          <w:tcPr>
            <w:tcW w:type="dxa" w:w="793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Purchase Return Register; Supplier Credits; Unapplied Supplier Credits/Advances; Refunds Expected; Replacements Pending.</w:t>
            </w:r>
          </w:p>
        </w:tc>
      </w:tr>
      <w:tr>
        <w:trPr>
          <w:cantSplit/>
        </w:trPr>
        <w:tc>
          <w:tcPr>
            <w:tcW w:type="dxa" w:w="226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Supplier analysis</w:t>
            </w:r>
          </w:p>
        </w:tc>
        <w:tc>
          <w:tcPr>
            <w:tcW w:type="dxa" w:w="793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Top Suppliers; Supplier Purchase Summary; Price History; Delivery Performance; Quality/Return Rate where enabled.</w:t>
            </w:r>
          </w:p>
        </w:tc>
      </w:tr>
    </w:tbl>
    <w:p>
      <w:pPr>
        <w:spacing w:after="0"/>
      </w:pPr>
    </w:p>
    <w:p>
      <w:pPr>
        <w:pStyle w:val="Heading2"/>
        <w:keepNext/>
      </w:pPr>
      <w:r>
        <w:rPr>
          <w:rFonts w:ascii="Inter" w:hAnsi="Inter" w:eastAsia="Inter"/>
          <w:b/>
          <w:color w:val="1A2D44"/>
          <w:sz w:val="25"/>
        </w:rPr>
        <w:t>13.1 Initial Governed Metrics</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1928"/>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Metric</w:t>
            </w:r>
          </w:p>
        </w:tc>
        <w:tc>
          <w:tcPr>
            <w:tcW w:type="dxa" w:w="5443"/>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Owner / basis</w:t>
            </w:r>
          </w:p>
        </w:tc>
        <w:tc>
          <w:tcPr>
            <w:tcW w:type="dxa" w:w="2835"/>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Primary drill-down</w:t>
            </w:r>
          </w:p>
        </w:tc>
      </w:tr>
      <w:tr>
        <w:trPr>
          <w:cantSplit/>
        </w:trPr>
        <w:tc>
          <w:tcPr>
            <w:tcW w:type="dxa" w:w="192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Purchases</w:t>
            </w:r>
          </w:p>
        </w:tc>
        <w:tc>
          <w:tcPr>
            <w:tcW w:type="dxa" w:w="544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MDS-400 posted purchase basis for selected period.</w:t>
            </w:r>
          </w:p>
        </w:tc>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Purchase Register</w:t>
            </w:r>
          </w:p>
        </w:tc>
      </w:tr>
      <w:tr>
        <w:trPr>
          <w:cantSplit/>
        </w:trPr>
        <w:tc>
          <w:tcPr>
            <w:tcW w:type="dxa" w:w="192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Amount to Pay</w:t>
            </w:r>
          </w:p>
        </w:tc>
        <w:tc>
          <w:tcPr>
            <w:tcW w:type="dxa" w:w="544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Outstanding posted supplier obligations net of valid adjustments and allocations.</w:t>
            </w:r>
          </w:p>
        </w:tc>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Supplier balances / A/P aging</w:t>
            </w:r>
          </w:p>
        </w:tc>
      </w:tr>
      <w:tr>
        <w:trPr>
          <w:cantSplit/>
        </w:trPr>
        <w:tc>
          <w:tcPr>
            <w:tcW w:type="dxa" w:w="192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Due Soon</w:t>
            </w:r>
          </w:p>
        </w:tc>
        <w:tc>
          <w:tcPr>
            <w:tcW w:type="dxa" w:w="544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Outstanding amount due within configured horizon.</w:t>
            </w:r>
          </w:p>
        </w:tc>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Due-for-payment queue</w:t>
            </w:r>
          </w:p>
        </w:tc>
      </w:tr>
      <w:tr>
        <w:trPr>
          <w:cantSplit/>
        </w:trPr>
        <w:tc>
          <w:tcPr>
            <w:tcW w:type="dxa" w:w="192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Overdue</w:t>
            </w:r>
          </w:p>
        </w:tc>
        <w:tc>
          <w:tcPr>
            <w:tcW w:type="dxa" w:w="544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Outstanding amount beyond due date.</w:t>
            </w:r>
          </w:p>
        </w:tc>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Overdue payables</w:t>
            </w:r>
          </w:p>
        </w:tc>
      </w:tr>
      <w:tr>
        <w:trPr>
          <w:cantSplit/>
        </w:trPr>
        <w:tc>
          <w:tcPr>
            <w:tcW w:type="dxa" w:w="192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Open Purchase Orders</w:t>
            </w:r>
          </w:p>
        </w:tc>
        <w:tc>
          <w:tcPr>
            <w:tcW w:type="dxa" w:w="544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Approved or active orders with remaining quantity/amount.</w:t>
            </w:r>
          </w:p>
        </w:tc>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PO listing</w:t>
            </w:r>
          </w:p>
        </w:tc>
      </w:tr>
      <w:tr>
        <w:trPr>
          <w:cantSplit/>
        </w:trPr>
        <w:tc>
          <w:tcPr>
            <w:tcW w:type="dxa" w:w="192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Goods Pending Receipt</w:t>
            </w:r>
          </w:p>
        </w:tc>
        <w:tc>
          <w:tcPr>
            <w:tcW w:type="dxa" w:w="544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Ordered quantity not yet received beyond expected date or threshold.</w:t>
            </w:r>
          </w:p>
        </w:tc>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Receiving queue</w:t>
            </w:r>
          </w:p>
        </w:tc>
      </w:tr>
      <w:tr>
        <w:trPr>
          <w:cantSplit/>
        </w:trPr>
        <w:tc>
          <w:tcPr>
            <w:tcW w:type="dxa" w:w="192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Invoices Pending Match</w:t>
            </w:r>
          </w:p>
        </w:tc>
        <w:tc>
          <w:tcPr>
            <w:tcW w:type="dxa" w:w="544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Supplier invoices not fully matched or approved.</w:t>
            </w:r>
          </w:p>
        </w:tc>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Matching exceptions</w:t>
            </w:r>
          </w:p>
        </w:tc>
      </w:tr>
      <w:tr>
        <w:trPr>
          <w:cantSplit/>
        </w:trPr>
        <w:tc>
          <w:tcPr>
            <w:tcW w:type="dxa" w:w="192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Purchase Returns / Credits</w:t>
            </w:r>
          </w:p>
        </w:tc>
        <w:tc>
          <w:tcPr>
            <w:tcW w:type="dxa" w:w="544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Posted returns and supplier credits for selected period.</w:t>
            </w:r>
          </w:p>
        </w:tc>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Return/adjustment register</w:t>
            </w:r>
          </w:p>
        </w:tc>
      </w:tr>
    </w:tbl>
    <w:p>
      <w:pPr>
        <w:spacing w:after="0"/>
      </w:pPr>
    </w:p>
    <w:p>
      <w:pPr>
        <w:pStyle w:val="Heading2"/>
        <w:keepNext/>
      </w:pPr>
      <w:r>
        <w:rPr>
          <w:rFonts w:ascii="Inter" w:hAnsi="Inter" w:eastAsia="Inter"/>
          <w:b/>
          <w:color w:val="1A2D44"/>
          <w:sz w:val="25"/>
        </w:rPr>
        <w:t>13.2 Metric Rules</w:t>
      </w:r>
    </w:p>
    <w:p>
      <w:pPr>
        <w:pStyle w:val="ListBullet"/>
        <w:keepLines/>
      </w:pPr>
      <w:r>
        <w:rPr>
          <w:rFonts w:ascii="Inter" w:hAnsi="Inter" w:eastAsia="Inter"/>
        </w:rPr>
        <w:t>Every metric shall have a named owner, documented basis, period/as-of behavior, status inclusion rules, and drill-down.</w:t>
      </w:r>
    </w:p>
    <w:p>
      <w:pPr>
        <w:pStyle w:val="ListBullet"/>
        <w:keepLines/>
      </w:pPr>
      <w:r>
        <w:rPr>
          <w:rFonts w:ascii="Inter" w:hAnsi="Inter" w:eastAsia="Inter"/>
        </w:rPr>
        <w:t>Purchase totals shall not be equated automatically with cash paid, inventory received, or expense recognized.</w:t>
      </w:r>
    </w:p>
    <w:p>
      <w:pPr>
        <w:pStyle w:val="ListBullet"/>
        <w:keepLines/>
      </w:pPr>
      <w:r>
        <w:rPr>
          <w:rFonts w:ascii="Inter" w:hAnsi="Inter" w:eastAsia="Inter"/>
        </w:rPr>
        <w:t>Amount to Pay shall reconcile to supplier ledger open items and valid MDS-500 allocations for the same scope.</w:t>
      </w:r>
    </w:p>
    <w:p>
      <w:pPr>
        <w:pStyle w:val="ListBullet"/>
        <w:keepLines/>
      </w:pPr>
      <w:r>
        <w:rPr>
          <w:rFonts w:ascii="Inter" w:hAnsi="Inter" w:eastAsia="Inter"/>
        </w:rPr>
        <w:t>Internal transfers, cancelled documents, drafts, and reversed effects shall not inflate operational totals.</w:t>
      </w:r>
    </w:p>
    <w:p>
      <w:pPr>
        <w:pStyle w:val="ListBullet"/>
        <w:keepLines/>
      </w:pPr>
      <w:r>
        <w:rPr>
          <w:rFonts w:ascii="Inter" w:hAnsi="Inter" w:eastAsia="Inter"/>
        </w:rPr>
        <w:t>Currency conversion and cross-branch consolidation shall follow approved versioned definitions.</w:t>
      </w:r>
    </w:p>
    <w:p>
      <w:pPr>
        <w:pStyle w:val="Heading1"/>
        <w:keepNext/>
      </w:pPr>
      <w:r>
        <w:rPr>
          <w:rFonts w:ascii="Inter Display" w:hAnsi="Inter Display" w:eastAsia="Inter Display"/>
          <w:b/>
          <w:color w:val="2F78B7"/>
          <w:sz w:val="34"/>
        </w:rPr>
        <w:t>14. Needs Attention, Action Center, and Notifications</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1814"/>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Framework</w:t>
            </w:r>
          </w:p>
        </w:tc>
        <w:tc>
          <w:tcPr>
            <w:tcW w:type="dxa" w:w="3402"/>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Purpose</w:t>
            </w:r>
          </w:p>
        </w:tc>
        <w:tc>
          <w:tcPr>
            <w:tcW w:type="dxa" w:w="4989"/>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Examples</w:t>
            </w:r>
          </w:p>
        </w:tc>
      </w:tr>
      <w:tr>
        <w:trPr>
          <w:cantSplit/>
        </w:trPr>
        <w:tc>
          <w:tcPr>
            <w:tcW w:type="dxa" w:w="181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Needs Attention</w:t>
            </w:r>
          </w:p>
        </w:tc>
        <w:tc>
          <w:tcPr>
            <w:tcW w:type="dxa" w:w="3402"/>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Business condition that may require intervention.</w:t>
            </w:r>
          </w:p>
        </w:tc>
        <w:tc>
          <w:tcPr>
            <w:tcW w:type="dxa" w:w="4989"/>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PO overdue for receipt; supplier invoice overdue; unmatched invoice; duplicate warning; disputed payable; supplier credit aging.</w:t>
            </w:r>
          </w:p>
        </w:tc>
      </w:tr>
      <w:tr>
        <w:trPr>
          <w:cantSplit/>
        </w:trPr>
        <w:tc>
          <w:tcPr>
            <w:tcW w:type="dxa" w:w="181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Action Center</w:t>
            </w:r>
          </w:p>
        </w:tc>
        <w:tc>
          <w:tcPr>
            <w:tcW w:type="dxa" w:w="3402"/>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Assigned or available task requiring authorized action.</w:t>
            </w:r>
          </w:p>
        </w:tc>
        <w:tc>
          <w:tcPr>
            <w:tcW w:type="dxa" w:w="4989"/>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Approve PO; resolve match exception; confirm receipt; review duplicate; release payment hold; approve adjustment; hand off payment.</w:t>
            </w:r>
          </w:p>
        </w:tc>
      </w:tr>
      <w:tr>
        <w:trPr>
          <w:cantSplit/>
        </w:trPr>
        <w:tc>
          <w:tcPr>
            <w:tcW w:type="dxa" w:w="181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Recent Activity</w:t>
            </w:r>
          </w:p>
        </w:tc>
        <w:tc>
          <w:tcPr>
            <w:tcW w:type="dxa" w:w="3402"/>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Meaningful event that already occurred.</w:t>
            </w:r>
          </w:p>
        </w:tc>
        <w:tc>
          <w:tcPr>
            <w:tcW w:type="dxa" w:w="4989"/>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PO approved; goods received; supplier invoice posted; return completed; payment allocation synchronized.</w:t>
            </w:r>
          </w:p>
        </w:tc>
      </w:tr>
      <w:tr>
        <w:trPr>
          <w:cantSplit/>
        </w:trPr>
        <w:tc>
          <w:tcPr>
            <w:tcW w:type="dxa" w:w="181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Notification</w:t>
            </w:r>
          </w:p>
        </w:tc>
        <w:tc>
          <w:tcPr>
            <w:tcW w:type="dxa" w:w="3402"/>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User should be informed of an event or change.</w:t>
            </w:r>
          </w:p>
        </w:tc>
        <w:tc>
          <w:tcPr>
            <w:tcW w:type="dxa" w:w="4989"/>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Supplier invoice due soon; goods partially received; payment failed; scheduled payment completed; supplier refund received.</w:t>
            </w:r>
          </w:p>
        </w:tc>
      </w:tr>
    </w:tbl>
    <w:p>
      <w:pPr>
        <w:spacing w:after="0"/>
      </w:pPr>
    </w:p>
    <w:p>
      <w:pPr>
        <w:pStyle w:val="Heading2"/>
        <w:keepNext/>
      </w:pPr>
      <w:r>
        <w:rPr>
          <w:rFonts w:ascii="Inter" w:hAnsi="Inter" w:eastAsia="Inter"/>
          <w:b/>
          <w:color w:val="1A2D44"/>
          <w:sz w:val="25"/>
        </w:rPr>
        <w:t>14.1 Task and Notification Requirements</w:t>
      </w:r>
    </w:p>
    <w:p>
      <w:pPr>
        <w:pStyle w:val="ListBullet"/>
        <w:keepLines/>
      </w:pPr>
      <w:r>
        <w:rPr>
          <w:rFonts w:ascii="Inter" w:hAnsi="Inter" w:eastAsia="Inter"/>
        </w:rPr>
        <w:t>Each task shall identify authoritative source, eligible owner/role, due date, priority, current status, and permitted action.</w:t>
      </w:r>
    </w:p>
    <w:p>
      <w:pPr>
        <w:pStyle w:val="ListBullet"/>
        <w:keepLines/>
      </w:pPr>
      <w:r>
        <w:rPr>
          <w:rFonts w:ascii="Inter" w:hAnsi="Inter" w:eastAsia="Inter"/>
        </w:rPr>
        <w:t>Completing a task shall update the authoritative source and then refresh projections; the Dashboard shall not close the source task independently.</w:t>
      </w:r>
    </w:p>
    <w:p>
      <w:pPr>
        <w:pStyle w:val="ListBullet"/>
        <w:keepLines/>
      </w:pPr>
      <w:r>
        <w:rPr>
          <w:rFonts w:ascii="Inter" w:hAnsi="Inter" w:eastAsia="Inter"/>
        </w:rPr>
        <w:t>Notifications shall avoid duplicate delivery for the same event and shall respect role, company, branch, privacy, and user preference.</w:t>
      </w:r>
    </w:p>
    <w:p>
      <w:pPr>
        <w:pStyle w:val="ListBullet"/>
        <w:keepLines/>
      </w:pPr>
      <w:r>
        <w:rPr>
          <w:rFonts w:ascii="Inter" w:hAnsi="Inter" w:eastAsia="Inter"/>
        </w:rPr>
        <w:t>A notification shall not be used as proof that a document was approved, posted, paid, received, or reversed.</w:t>
      </w:r>
    </w:p>
    <w:p>
      <w:pPr>
        <w:pStyle w:val="ListBullet"/>
        <w:keepLines/>
      </w:pPr>
      <w:r>
        <w:rPr>
          <w:rFonts w:ascii="Inter" w:hAnsi="Inter" w:eastAsia="Inter"/>
        </w:rPr>
        <w:t>Critical failures and duplicate-risk conditions shall remain visible until resolved or intentionally dismissed under policy.</w:t>
      </w:r>
    </w:p>
    <w:p>
      <w:pPr>
        <w:pStyle w:val="Heading1"/>
        <w:keepNext/>
      </w:pPr>
      <w:r>
        <w:rPr>
          <w:rFonts w:ascii="Inter Display" w:hAnsi="Inter Display" w:eastAsia="Inter Display"/>
          <w:b/>
          <w:color w:val="2F78B7"/>
          <w:sz w:val="34"/>
        </w:rPr>
        <w:t>15. Security, Privacy, and Audit</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2268"/>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Control area</w:t>
            </w:r>
          </w:p>
        </w:tc>
        <w:tc>
          <w:tcPr>
            <w:tcW w:type="dxa" w:w="7937"/>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Requirements</w:t>
            </w:r>
          </w:p>
        </w:tc>
      </w:tr>
      <w:tr>
        <w:trPr>
          <w:cantSplit/>
        </w:trPr>
        <w:tc>
          <w:tcPr>
            <w:tcW w:type="dxa" w:w="226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Access model</w:t>
            </w:r>
          </w:p>
        </w:tc>
        <w:tc>
          <w:tcPr>
            <w:tcW w:type="dxa" w:w="793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Role- and permission-based access with company, branch, warehouse, supplier, amount, document, field, and action scope.</w:t>
            </w:r>
          </w:p>
        </w:tc>
      </w:tr>
      <w:tr>
        <w:trPr>
          <w:cantSplit/>
        </w:trPr>
        <w:tc>
          <w:tcPr>
            <w:tcW w:type="dxa" w:w="226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Segregation of duties</w:t>
            </w:r>
          </w:p>
        </w:tc>
        <w:tc>
          <w:tcPr>
            <w:tcW w:type="dxa" w:w="793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Configurable separation among request, order creation, approval, receiving, invoice entry, payable approval, payment execution, and reconciliation.</w:t>
            </w:r>
          </w:p>
        </w:tc>
      </w:tr>
      <w:tr>
        <w:trPr>
          <w:cantSplit/>
        </w:trPr>
        <w:tc>
          <w:tcPr>
            <w:tcW w:type="dxa" w:w="226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Sensitive information</w:t>
            </w:r>
          </w:p>
        </w:tc>
        <w:tc>
          <w:tcPr>
            <w:tcW w:type="dxa" w:w="793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Protect supplier tax IDs, bank details, contacts, prices, contracts, attachments, payment references, and export data according to least privilege.</w:t>
            </w:r>
          </w:p>
        </w:tc>
      </w:tr>
      <w:tr>
        <w:trPr>
          <w:cantSplit/>
        </w:trPr>
        <w:tc>
          <w:tcPr>
            <w:tcW w:type="dxa" w:w="226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Approvals</w:t>
            </w:r>
          </w:p>
        </w:tc>
        <w:tc>
          <w:tcPr>
            <w:tcW w:type="dxa" w:w="793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Amount-, supplier-, category-, branch-, exception-, and risk-based approval rules shall be server-enforced.</w:t>
            </w:r>
          </w:p>
        </w:tc>
      </w:tr>
      <w:tr>
        <w:trPr>
          <w:cantSplit/>
        </w:trPr>
        <w:tc>
          <w:tcPr>
            <w:tcW w:type="dxa" w:w="226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Audit</w:t>
            </w:r>
          </w:p>
        </w:tc>
        <w:tc>
          <w:tcPr>
            <w:tcW w:type="dxa" w:w="793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Record create, edit, submit, approve, receive, match, post, hold, dispute, adjust, reverse, export, print, payment handoff, and integration actions.</w:t>
            </w:r>
          </w:p>
        </w:tc>
      </w:tr>
      <w:tr>
        <w:trPr>
          <w:cantSplit/>
        </w:trPr>
        <w:tc>
          <w:tcPr>
            <w:tcW w:type="dxa" w:w="226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Attachments</w:t>
            </w:r>
          </w:p>
        </w:tc>
        <w:tc>
          <w:tcPr>
            <w:tcW w:type="dxa" w:w="793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Store source identity, uploader, timestamp, hash/metadata, access scope, and retention; prevent untracked replacement of posted evidence.</w:t>
            </w:r>
          </w:p>
        </w:tc>
      </w:tr>
      <w:tr>
        <w:trPr>
          <w:cantSplit/>
        </w:trPr>
        <w:tc>
          <w:tcPr>
            <w:tcW w:type="dxa" w:w="226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Direct links and exports</w:t>
            </w:r>
          </w:p>
        </w:tc>
        <w:tc>
          <w:tcPr>
            <w:tcW w:type="dxa" w:w="793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Reauthorize on access; signed or expiring links where appropriate; watermark or copy labeling when policy requires.</w:t>
            </w:r>
          </w:p>
        </w:tc>
      </w:tr>
      <w:tr>
        <w:trPr>
          <w:cantSplit/>
        </w:trPr>
        <w:tc>
          <w:tcPr>
            <w:tcW w:type="dxa" w:w="226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External integration</w:t>
            </w:r>
          </w:p>
        </w:tc>
        <w:tc>
          <w:tcPr>
            <w:tcW w:type="dxa" w:w="793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Authenticated, authorized, validated, idempotent, rate-limited, logged, and monitored API/event processing.</w:t>
            </w:r>
          </w:p>
        </w:tc>
      </w:tr>
    </w:tbl>
    <w:p>
      <w:pPr>
        <w:spacing w:after="0"/>
      </w:pPr>
    </w:p>
    <w:p>
      <w:pPr>
        <w:pStyle w:val="Heading2"/>
        <w:keepNext/>
      </w:pPr>
      <w:r>
        <w:rPr>
          <w:rFonts w:ascii="Inter" w:hAnsi="Inter" w:eastAsia="Inter"/>
          <w:b/>
          <w:color w:val="1A2D44"/>
          <w:sz w:val="25"/>
        </w:rPr>
        <w:t>15.1 Initial Permission Catalog</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2098"/>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Permission group</w:t>
            </w:r>
          </w:p>
        </w:tc>
        <w:tc>
          <w:tcPr>
            <w:tcW w:type="dxa" w:w="8107"/>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Examples</w:t>
            </w:r>
          </w:p>
        </w:tc>
      </w:tr>
      <w:tr>
        <w:trPr>
          <w:cantSplit/>
        </w:trPr>
        <w:tc>
          <w:tcPr>
            <w:tcW w:type="dxa" w:w="209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View</w:t>
            </w:r>
          </w:p>
        </w:tc>
        <w:tc>
          <w:tcPr>
            <w:tcW w:type="dxa" w:w="810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View Purchases; View Purchase Orders; View Supplier Invoices; View Payables; View Supplier Ledger; View Reports; View Attachments.</w:t>
            </w:r>
          </w:p>
        </w:tc>
      </w:tr>
      <w:tr>
        <w:trPr>
          <w:cantSplit/>
        </w:trPr>
        <w:tc>
          <w:tcPr>
            <w:tcW w:type="dxa" w:w="209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Create</w:t>
            </w:r>
          </w:p>
        </w:tc>
        <w:tc>
          <w:tcPr>
            <w:tcW w:type="dxa" w:w="810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Create Purchase; Create PO; Record Receipt; Record Supplier Invoice; Create Return; Create Adjustment; Add Attachment.</w:t>
            </w:r>
          </w:p>
        </w:tc>
      </w:tr>
      <w:tr>
        <w:trPr>
          <w:cantSplit/>
        </w:trPr>
        <w:tc>
          <w:tcPr>
            <w:tcW w:type="dxa" w:w="209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Modify</w:t>
            </w:r>
          </w:p>
        </w:tc>
        <w:tc>
          <w:tcPr>
            <w:tcW w:type="dxa" w:w="810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Edit Draft; Submit; Amend; Reopen; Close; Cancel; Resolve Exception; Place/Release Hold; Reclassify before posting.</w:t>
            </w:r>
          </w:p>
        </w:tc>
      </w:tr>
      <w:tr>
        <w:trPr>
          <w:cantSplit/>
        </w:trPr>
        <w:tc>
          <w:tcPr>
            <w:tcW w:type="dxa" w:w="209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Approve</w:t>
            </w:r>
          </w:p>
        </w:tc>
        <w:tc>
          <w:tcPr>
            <w:tcW w:type="dxa" w:w="810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Approve Purchase Order; Approve Invoice; Approve Match Override; Approve Return; Approve Adjustment; Approve Payment Request.</w:t>
            </w:r>
          </w:p>
        </w:tc>
      </w:tr>
      <w:tr>
        <w:trPr>
          <w:cantSplit/>
        </w:trPr>
        <w:tc>
          <w:tcPr>
            <w:tcW w:type="dxa" w:w="209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Correct</w:t>
            </w:r>
          </w:p>
        </w:tc>
        <w:tc>
          <w:tcPr>
            <w:tcW w:type="dxa" w:w="810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Reverse Goods Receipt; Reverse Supplier Invoice; Reverse Adjustment; Cancel Posted Chain where permitted.</w:t>
            </w:r>
          </w:p>
        </w:tc>
      </w:tr>
      <w:tr>
        <w:trPr>
          <w:cantSplit/>
        </w:trPr>
        <w:tc>
          <w:tcPr>
            <w:tcW w:type="dxa" w:w="209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Export / Print</w:t>
            </w:r>
          </w:p>
        </w:tc>
        <w:tc>
          <w:tcPr>
            <w:tcW w:type="dxa" w:w="810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Print PO; Reprint document; Export register/ledger; Share authorized supplier document.</w:t>
            </w:r>
          </w:p>
        </w:tc>
      </w:tr>
      <w:tr>
        <w:trPr>
          <w:cantSplit/>
        </w:trPr>
        <w:tc>
          <w:tcPr>
            <w:tcW w:type="dxa" w:w="209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Administration</w:t>
            </w:r>
          </w:p>
        </w:tc>
        <w:tc>
          <w:tcPr>
            <w:tcW w:type="dxa" w:w="810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Configure purchasing policy, tolerances, numbering, approval matrix, tax, terms, and integration through MDS-1100.</w:t>
            </w:r>
          </w:p>
        </w:tc>
      </w:tr>
    </w:tbl>
    <w:p>
      <w:pPr>
        <w:spacing w:after="0"/>
      </w:pPr>
    </w:p>
    <w:p>
      <w:r>
        <w:br w:type="page"/>
      </w:r>
    </w:p>
    <w:p>
      <w:pPr>
        <w:pStyle w:val="Heading1"/>
        <w:keepNext/>
      </w:pPr>
      <w:r>
        <w:rPr>
          <w:rFonts w:ascii="Inter Display" w:hAnsi="Inter Display" w:eastAsia="Inter Display"/>
          <w:b/>
          <w:color w:val="2F78B7"/>
          <w:sz w:val="34"/>
        </w:rPr>
        <w:t>16. Data Entities, Ownership, and Integrity</w:t>
      </w:r>
    </w:p>
    <w:p>
      <w:r>
        <w:rPr>
          <w:rFonts w:ascii="Inter" w:hAnsi="Inter" w:eastAsia="Inter"/>
        </w:rPr>
        <w:t>Final physical schemas belong in DBS artifacts. MDS-400 defines the functional entities, ownership, relationships, balance logic, and integrity requirements that implementation must preserve.</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2835"/>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Entity</w:t>
            </w:r>
          </w:p>
        </w:tc>
        <w:tc>
          <w:tcPr>
            <w:tcW w:type="dxa" w:w="7370"/>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MDS-400 ownership / role</w:t>
            </w:r>
          </w:p>
        </w:tc>
      </w:tr>
      <w:tr>
        <w:trPr>
          <w:cantSplit/>
        </w:trPr>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Purchase</w:t>
            </w:r>
          </w:p>
        </w:tc>
        <w:tc>
          <w:tcPr>
            <w:tcW w:type="dxa" w:w="737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Primary business record linking supplier, lines, document chain, totals, payment mode, and lifecycle.</w:t>
            </w:r>
          </w:p>
        </w:tc>
      </w:tr>
      <w:tr>
        <w:trPr>
          <w:cantSplit/>
        </w:trPr>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Purchase Line</w:t>
            </w:r>
          </w:p>
        </w:tc>
        <w:tc>
          <w:tcPr>
            <w:tcW w:type="dxa" w:w="737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Product/service, classification, quantity, unit, price, discount, tax, allocation, and source/target context.</w:t>
            </w:r>
          </w:p>
        </w:tc>
      </w:tr>
      <w:tr>
        <w:trPr>
          <w:cantSplit/>
        </w:trPr>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Purchase Order / Line</w:t>
            </w:r>
          </w:p>
        </w:tc>
        <w:tc>
          <w:tcPr>
            <w:tcW w:type="dxa" w:w="737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Commitment, ordered quantity/amount, expected date, status, approvals, and remaining activity.</w:t>
            </w:r>
          </w:p>
        </w:tc>
      </w:tr>
      <w:tr>
        <w:trPr>
          <w:cantSplit/>
        </w:trPr>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Goods Receipt / Line</w:t>
            </w:r>
          </w:p>
        </w:tc>
        <w:tc>
          <w:tcPr>
            <w:tcW w:type="dxa" w:w="737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Procurement receiving evidence; links authoritative MDS-600 stock movement.</w:t>
            </w:r>
          </w:p>
        </w:tc>
      </w:tr>
      <w:tr>
        <w:trPr>
          <w:cantSplit/>
        </w:trPr>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Supplier Invoice / Line</w:t>
            </w:r>
          </w:p>
        </w:tc>
        <w:tc>
          <w:tcPr>
            <w:tcW w:type="dxa" w:w="737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Supplier billing, external reference, tax, due terms, match status, posting, and payable source.</w:t>
            </w:r>
          </w:p>
        </w:tc>
      </w:tr>
      <w:tr>
        <w:trPr>
          <w:cantSplit/>
        </w:trPr>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Payable Open Item</w:t>
            </w:r>
          </w:p>
        </w:tc>
        <w:tc>
          <w:tcPr>
            <w:tcW w:type="dxa" w:w="737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Outstanding supplier obligation, due date, discounts, holds, dispute, currency, and settlement status.</w:t>
            </w:r>
          </w:p>
        </w:tc>
      </w:tr>
      <w:tr>
        <w:trPr>
          <w:cantSplit/>
        </w:trPr>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Purchase Return / Line</w:t>
            </w:r>
          </w:p>
        </w:tc>
        <w:tc>
          <w:tcPr>
            <w:tcW w:type="dxa" w:w="737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Returned/rejected source quantity/amount, reason, disposition, supplier credit/replacement/refund context.</w:t>
            </w:r>
          </w:p>
        </w:tc>
      </w:tr>
      <w:tr>
        <w:trPr>
          <w:cantSplit/>
        </w:trPr>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Supplier Adjustment</w:t>
            </w:r>
          </w:p>
        </w:tc>
        <w:tc>
          <w:tcPr>
            <w:tcW w:type="dxa" w:w="737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Debit or credit adjustment, reason, tax, source, approval, affected open items, and reversal status.</w:t>
            </w:r>
          </w:p>
        </w:tc>
      </w:tr>
      <w:tr>
        <w:trPr>
          <w:cantSplit/>
        </w:trPr>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Purchase Match / Exception</w:t>
            </w:r>
          </w:p>
        </w:tc>
        <w:tc>
          <w:tcPr>
            <w:tcW w:type="dxa" w:w="737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Order/receipt/invoice comparison, tolerance, variance, owner, evidence, and resolution.</w:t>
            </w:r>
          </w:p>
        </w:tc>
      </w:tr>
      <w:tr>
        <w:trPr>
          <w:cantSplit/>
        </w:trPr>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Payment Handoff Reference</w:t>
            </w:r>
          </w:p>
        </w:tc>
        <w:tc>
          <w:tcPr>
            <w:tcW w:type="dxa" w:w="737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Source obligation and requested allocation passed to MDS-500; stores no independent payment result.</w:t>
            </w:r>
          </w:p>
        </w:tc>
      </w:tr>
      <w:tr>
        <w:trPr>
          <w:cantSplit/>
        </w:trPr>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Supplier Ledger Entry / Projection</w:t>
            </w:r>
          </w:p>
        </w:tc>
        <w:tc>
          <w:tcPr>
            <w:tcW w:type="dxa" w:w="737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Chronological governed projection from posted source documents and MDS-500 allocations.</w:t>
            </w:r>
          </w:p>
        </w:tc>
      </w:tr>
      <w:tr>
        <w:trPr>
          <w:cantSplit/>
        </w:trPr>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Purchase Activity / Audit Reference</w:t>
            </w:r>
          </w:p>
        </w:tc>
        <w:tc>
          <w:tcPr>
            <w:tcW w:type="dxa" w:w="737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User-visible activity projection linked to immutable Core audit/event records.</w:t>
            </w:r>
          </w:p>
        </w:tc>
      </w:tr>
    </w:tbl>
    <w:p>
      <w:pPr>
        <w:spacing w:after="0"/>
      </w:pPr>
    </w:p>
    <w:p>
      <w:pPr>
        <w:pStyle w:val="Heading2"/>
        <w:keepNext/>
      </w:pPr>
      <w:r>
        <w:rPr>
          <w:rFonts w:ascii="Inter" w:hAnsi="Inter" w:eastAsia="Inter"/>
          <w:b/>
          <w:color w:val="1A2D44"/>
          <w:sz w:val="25"/>
        </w:rPr>
        <w:t>16.1 Supplier Ledger and Payable Balance</w:t>
      </w:r>
    </w:p>
    <w:p>
      <w:r>
        <w:rPr>
          <w:rFonts w:ascii="Inter" w:hAnsi="Inter" w:eastAsia="Inter"/>
        </w:rPr>
        <w:t>For a defined supplier, company, branch, currency, and as-of date, the supplier balance shall be derived from posted obligations and adjustments less valid payment applications and other authorized reductions.</w:t>
      </w:r>
    </w:p>
    <w:tbl>
      <w:tblPr>
        <w:tblW w:type="auto" w:w="0"/>
        <w:jc w:val="center"/>
        <w:tblLayout w:type="fixed"/>
        <w:tblLook w:firstColumn="1" w:firstRow="1" w:lastColumn="0" w:lastRow="0" w:noHBand="0" w:noVBand="1" w:val="04A0"/>
      </w:tblPr>
      <w:tblGrid>
        <w:gridCol w:w="10262"/>
      </w:tblGrid>
      <w:tr>
        <w:trPr>
          <w:cantSplit/>
        </w:trPr>
        <w:tc>
          <w:tcPr>
            <w:tcW w:type="dxa" w:w="10205"/>
            <w:shd w:fill="E7F0F8"/>
            <w:tcMar>
              <w:top w:w="110" w:type="dxa"/>
              <w:start w:w="140" w:type="dxa"/>
              <w:bottom w:w="110" w:type="dxa"/>
              <w:end w:w="140" w:type="dxa"/>
            </w:tcMar>
            <w:tcBorders>
              <w:top w:val="single" w:sz="3" w:color="2F78B7"/>
              <w:left w:val="single" w:sz="18" w:color="2F78B7"/>
              <w:bottom w:val="single" w:sz="3" w:color="2F78B7"/>
              <w:right w:val="single" w:sz="3" w:color="2F78B7"/>
            </w:tcBorders>
          </w:tcPr>
          <w:p>
            <w:pPr>
              <w:spacing w:after="0"/>
            </w:pPr>
            <w:r>
              <w:rPr>
                <w:rFonts w:ascii="Inter" w:hAnsi="Inter" w:eastAsia="Inter"/>
                <w:b/>
                <w:color w:val="1A2D44"/>
                <w:sz w:val="17"/>
              </w:rPr>
              <w:t xml:space="preserve">INITIAL FORMULA  </w:t>
            </w:r>
            <w:r>
              <w:rPr>
                <w:rFonts w:ascii="Inter" w:hAnsi="Inter" w:eastAsia="Inter"/>
                <w:color w:val="1A2D44"/>
                <w:sz w:val="18"/>
              </w:rPr>
              <w:t>Outstanding Payable = Posted Supplier Invoices + Supplier Credit Adjustments − Supplier Debit Adjustments − Valid Payment Applications − Applied Supplier Credits, subject to currency, reversal, return, tax, and source-status rules.</w:t>
            </w:r>
          </w:p>
        </w:tc>
      </w:tr>
    </w:tbl>
    <w:p>
      <w:pPr>
        <w:spacing w:after="0"/>
      </w:pPr>
    </w:p>
    <w:p>
      <w:pPr>
        <w:pStyle w:val="ListBullet"/>
        <w:keepLines/>
      </w:pPr>
      <w:r>
        <w:rPr>
          <w:rFonts w:ascii="Inter" w:hAnsi="Inter" w:eastAsia="Inter"/>
        </w:rPr>
        <w:t>Draft, cancelled, or fully reversed documents shall not affect the authoritative balance.</w:t>
      </w:r>
    </w:p>
    <w:p>
      <w:pPr>
        <w:pStyle w:val="ListBullet"/>
        <w:keepLines/>
      </w:pPr>
      <w:r>
        <w:rPr>
          <w:rFonts w:ascii="Inter" w:hAnsi="Inter" w:eastAsia="Inter"/>
        </w:rPr>
        <w:t>Payment attempts, scheduled payments, or issued-but-unconfirmed instruments shall not reduce payable unless the approved accounting/clearing policy explicitly defines and records the effect.</w:t>
      </w:r>
    </w:p>
    <w:p>
      <w:pPr>
        <w:pStyle w:val="ListBullet"/>
        <w:keepLines/>
      </w:pPr>
      <w:r>
        <w:rPr>
          <w:rFonts w:ascii="Inter" w:hAnsi="Inter" w:eastAsia="Inter"/>
        </w:rPr>
        <w:t>Unapplied supplier payments or advances remain separately identifiable until allocated to an eligible obligation.</w:t>
      </w:r>
    </w:p>
    <w:p>
      <w:pPr>
        <w:pStyle w:val="ListBullet"/>
        <w:keepLines/>
      </w:pPr>
      <w:r>
        <w:rPr>
          <w:rFonts w:ascii="Inter" w:hAnsi="Inter" w:eastAsia="Inter"/>
        </w:rPr>
        <w:t>Supplier refunds expected or received shall remain linked to the originating return/credit and shall not be netted invisibly.</w:t>
      </w:r>
    </w:p>
    <w:p>
      <w:pPr>
        <w:pStyle w:val="ListBullet"/>
        <w:keepLines/>
      </w:pPr>
      <w:r>
        <w:rPr>
          <w:rFonts w:ascii="Inter" w:hAnsi="Inter" w:eastAsia="Inter"/>
        </w:rPr>
        <w:t>The ledger shall reconcile to A/P aging and supplier balance reports for the same scope and cut-off.</w:t>
      </w:r>
    </w:p>
    <w:p>
      <w:pPr>
        <w:pStyle w:val="Heading2"/>
        <w:keepNext/>
      </w:pPr>
      <w:r>
        <w:rPr>
          <w:rFonts w:ascii="Inter" w:hAnsi="Inter" w:eastAsia="Inter"/>
          <w:b/>
          <w:color w:val="1A2D44"/>
          <w:sz w:val="25"/>
        </w:rPr>
        <w:t>16.2 Integrity and Concurrency</w:t>
      </w:r>
    </w:p>
    <w:p>
      <w:pPr>
        <w:pStyle w:val="ListBullet"/>
        <w:keepLines/>
      </w:pPr>
      <w:r>
        <w:rPr>
          <w:rFonts w:ascii="Inter" w:hAnsi="Inter" w:eastAsia="Inter"/>
        </w:rPr>
        <w:t>Posting, matching, receiving, adjustment, payment handoff, and reversal shall use transaction boundaries and concurrency controls appropriate to the shared PostgreSQL database.</w:t>
      </w:r>
    </w:p>
    <w:p>
      <w:pPr>
        <w:pStyle w:val="ListBullet"/>
        <w:keepLines/>
      </w:pPr>
      <w:r>
        <w:rPr>
          <w:rFonts w:ascii="Inter" w:hAnsi="Inter" w:eastAsia="Inter"/>
        </w:rPr>
        <w:t>The same remaining quantity, outstanding amount, credit, or payment eligibility shall not be consumed twice under concurrent requests.</w:t>
      </w:r>
    </w:p>
    <w:p>
      <w:pPr>
        <w:pStyle w:val="ListBullet"/>
        <w:keepLines/>
      </w:pPr>
      <w:r>
        <w:rPr>
          <w:rFonts w:ascii="Inter" w:hAnsi="Inter" w:eastAsia="Inter"/>
        </w:rPr>
        <w:t>Amounts and quantities shall use approved precision, rounding, currency, unit-conversion, and tax rules.</w:t>
      </w:r>
    </w:p>
    <w:p>
      <w:pPr>
        <w:pStyle w:val="ListBullet"/>
        <w:keepLines/>
      </w:pPr>
      <w:r>
        <w:rPr>
          <w:rFonts w:ascii="Inter" w:hAnsi="Inter" w:eastAsia="Inter"/>
        </w:rPr>
        <w:t>Soft deletion shall not remove posted business history. Retention, archival, anonymization, and legal hold shall follow Core policy.</w:t>
      </w:r>
    </w:p>
    <w:p>
      <w:pPr>
        <w:pStyle w:val="ListBullet"/>
        <w:keepLines/>
      </w:pPr>
      <w:r>
        <w:rPr>
          <w:rFonts w:ascii="Inter" w:hAnsi="Inter" w:eastAsia="Inter"/>
        </w:rPr>
        <w:t>Every cross-module relationship shall use stable identifiers and correlation references, not display text or mutable document labels.</w:t>
      </w:r>
    </w:p>
    <w:p>
      <w:r>
        <w:br w:type="page"/>
      </w:r>
    </w:p>
    <w:p>
      <w:pPr>
        <w:pStyle w:val="PartTitle"/>
        <w:spacing w:before="900" w:after="80"/>
      </w:pPr>
      <w:r>
        <w:rPr>
          <w:rFonts w:ascii="Inter" w:hAnsi="Inter" w:eastAsia="Inter"/>
          <w:b/>
          <w:color w:val="667485"/>
          <w:sz w:val="20"/>
        </w:rPr>
        <w:t>PART IV</w:t>
      </w:r>
    </w:p>
    <w:p>
      <w:pPr>
        <w:pStyle w:val="PartName"/>
        <w:spacing w:after="120"/>
      </w:pPr>
      <w:r>
        <w:rPr>
          <w:rFonts w:ascii="Inter Display" w:hAnsi="Inter Display" w:eastAsia="Inter Display"/>
          <w:b/>
          <w:color w:val="2F78B7"/>
          <w:sz w:val="50"/>
        </w:rPr>
        <w:t>Product, Quality, and Evolution</w:t>
      </w:r>
    </w:p>
    <w:p>
      <w:pPr>
        <w:pStyle w:val="PartSubtitle"/>
        <w:spacing w:after="0"/>
      </w:pPr>
      <w:r>
        <w:rPr>
          <w:rFonts w:ascii="Inter" w:hAnsi="Inter" w:eastAsia="Inter"/>
          <w:color w:val="667485"/>
          <w:sz w:val="22"/>
        </w:rPr>
        <w:t>Edition behavior, user experience, non-functional requirements, testing, AI controls, ERP expansion, and success indicators.</w:t>
      </w:r>
    </w:p>
    <w:p>
      <w:pPr>
        <w:pStyle w:val="Heading1"/>
        <w:keepNext/>
      </w:pPr>
      <w:r>
        <w:rPr>
          <w:rFonts w:ascii="Inter Display" w:hAnsi="Inter Display" w:eastAsia="Inter Display"/>
          <w:b/>
          <w:color w:val="2F78B7"/>
          <w:sz w:val="34"/>
        </w:rPr>
        <w:t>17. Edition Availability</w:t>
      </w:r>
    </w:p>
    <w:p>
      <w:r>
        <w:rPr>
          <w:rFonts w:ascii="Inter" w:hAnsi="Inter" w:eastAsia="Inter"/>
        </w:rPr>
        <w:t>All editions use the same architecture and authoritative entities. Editions change capability availability, automation, controls, scale, and convenience—not the meaning of a purchase, payable, receipt, invoice, return, adjustment, or payment.</w:t>
      </w:r>
    </w:p>
    <w:tbl>
      <w:tblPr>
        <w:tblW w:type="auto" w:w="0"/>
        <w:jc w:val="center"/>
        <w:tblLayout w:type="fixed"/>
        <w:tblLook w:firstColumn="1" w:firstRow="1" w:lastColumn="0" w:lastRow="0" w:noHBand="0" w:noVBand="1" w:val="04A0"/>
      </w:tblPr>
      <w:tblGrid>
        <w:gridCol w:w="1710"/>
        <w:gridCol w:w="1710"/>
        <w:gridCol w:w="1710"/>
        <w:gridCol w:w="1710"/>
        <w:gridCol w:w="1710"/>
        <w:gridCol w:w="1710"/>
      </w:tblGrid>
      <w:tr>
        <w:trPr>
          <w:tblHeader w:val="true"/>
        </w:trPr>
        <w:tc>
          <w:tcPr>
            <w:tcW w:type="dxa" w:w="4139"/>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4"/>
              </w:rPr>
              <w:t>Capability</w:t>
            </w:r>
          </w:p>
        </w:tc>
        <w:tc>
          <w:tcPr>
            <w:tcW w:type="dxa" w:w="1134"/>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4"/>
              </w:rPr>
              <w:t>Free</w:t>
            </w:r>
          </w:p>
        </w:tc>
        <w:tc>
          <w:tcPr>
            <w:tcW w:type="dxa" w:w="1247"/>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4"/>
              </w:rPr>
              <w:t>Startup</w:t>
            </w:r>
          </w:p>
        </w:tc>
        <w:tc>
          <w:tcPr>
            <w:tcW w:type="dxa" w:w="1134"/>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4"/>
              </w:rPr>
              <w:t>Pro</w:t>
            </w:r>
          </w:p>
        </w:tc>
        <w:tc>
          <w:tcPr>
            <w:tcW w:type="dxa" w:w="1304"/>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4"/>
              </w:rPr>
              <w:t>Advanced</w:t>
            </w:r>
          </w:p>
        </w:tc>
        <w:tc>
          <w:tcPr>
            <w:tcW w:type="dxa" w:w="1247"/>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4"/>
              </w:rPr>
              <w:t>ERP</w:t>
            </w:r>
          </w:p>
        </w:tc>
      </w:tr>
      <w:tr>
        <w:trPr>
          <w:cantSplit/>
        </w:trPr>
        <w:tc>
          <w:tcPr>
            <w:tcW w:type="dxa" w:w="4139"/>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Direct cash/credit purchase</w:t>
            </w:r>
          </w:p>
        </w:tc>
        <w:tc>
          <w:tcPr>
            <w:tcW w:type="dxa" w:w="113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13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30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r>
      <w:tr>
        <w:trPr>
          <w:cantSplit/>
        </w:trPr>
        <w:tc>
          <w:tcPr>
            <w:tcW w:type="dxa" w:w="4139"/>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Supplier invoice and payable tracking</w:t>
            </w:r>
          </w:p>
        </w:tc>
        <w:tc>
          <w:tcPr>
            <w:tcW w:type="dxa" w:w="113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13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30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r>
      <w:tr>
        <w:trPr>
          <w:cantSplit/>
        </w:trPr>
        <w:tc>
          <w:tcPr>
            <w:tcW w:type="dxa" w:w="4139"/>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Basic Purchase Order</w:t>
            </w:r>
          </w:p>
        </w:tc>
        <w:tc>
          <w:tcPr>
            <w:tcW w:type="dxa" w:w="113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13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30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r>
      <w:tr>
        <w:trPr>
          <w:cantSplit/>
        </w:trPr>
        <w:tc>
          <w:tcPr>
            <w:tcW w:type="dxa" w:w="4139"/>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Receive items / partial receipt</w:t>
            </w:r>
          </w:p>
        </w:tc>
        <w:tc>
          <w:tcPr>
            <w:tcW w:type="dxa" w:w="113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13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30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r>
      <w:tr>
        <w:trPr>
          <w:cantSplit/>
        </w:trPr>
        <w:tc>
          <w:tcPr>
            <w:tcW w:type="dxa" w:w="4139"/>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Supplier ledger and aging</w:t>
            </w:r>
          </w:p>
        </w:tc>
        <w:tc>
          <w:tcPr>
            <w:tcW w:type="dxa" w:w="113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13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30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r>
      <w:tr>
        <w:trPr>
          <w:cantSplit/>
        </w:trPr>
        <w:tc>
          <w:tcPr>
            <w:tcW w:type="dxa" w:w="4139"/>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Purchase returns and basic adjustments</w:t>
            </w:r>
          </w:p>
        </w:tc>
        <w:tc>
          <w:tcPr>
            <w:tcW w:type="dxa" w:w="113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13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30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r>
      <w:tr>
        <w:trPr>
          <w:cantSplit/>
        </w:trPr>
        <w:tc>
          <w:tcPr>
            <w:tcW w:type="dxa" w:w="4139"/>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Attachments and evidence</w:t>
            </w:r>
          </w:p>
        </w:tc>
        <w:tc>
          <w:tcPr>
            <w:tcW w:type="dxa" w:w="113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Basic</w:t>
            </w:r>
          </w:p>
        </w:tc>
        <w:tc>
          <w:tcPr>
            <w:tcW w:type="dxa" w:w="124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13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30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r>
      <w:tr>
        <w:trPr>
          <w:cantSplit/>
        </w:trPr>
        <w:tc>
          <w:tcPr>
            <w:tcW w:type="dxa" w:w="4139"/>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Approval workflow</w:t>
            </w:r>
          </w:p>
        </w:tc>
        <w:tc>
          <w:tcPr>
            <w:tcW w:type="dxa" w:w="113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Optional</w:t>
            </w:r>
          </w:p>
        </w:tc>
        <w:tc>
          <w:tcPr>
            <w:tcW w:type="dxa" w:w="113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30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r>
      <w:tr>
        <w:trPr>
          <w:cantSplit/>
        </w:trPr>
        <w:tc>
          <w:tcPr>
            <w:tcW w:type="dxa" w:w="4139"/>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Two-way / three-way matching</w:t>
            </w:r>
          </w:p>
        </w:tc>
        <w:tc>
          <w:tcPr>
            <w:tcW w:type="dxa" w:w="113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13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Basic</w:t>
            </w:r>
          </w:p>
        </w:tc>
        <w:tc>
          <w:tcPr>
            <w:tcW w:type="dxa" w:w="130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r>
      <w:tr>
        <w:trPr>
          <w:cantSplit/>
        </w:trPr>
        <w:tc>
          <w:tcPr>
            <w:tcW w:type="dxa" w:w="4139"/>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Multi-warehouse receiving</w:t>
            </w:r>
          </w:p>
        </w:tc>
        <w:tc>
          <w:tcPr>
            <w:tcW w:type="dxa" w:w="113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13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30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r>
      <w:tr>
        <w:trPr>
          <w:cantSplit/>
        </w:trPr>
        <w:tc>
          <w:tcPr>
            <w:tcW w:type="dxa" w:w="4139"/>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Recurring / scheduled purchasing</w:t>
            </w:r>
          </w:p>
        </w:tc>
        <w:tc>
          <w:tcPr>
            <w:tcW w:type="dxa" w:w="113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13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30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r>
      <w:tr>
        <w:trPr>
          <w:cantSplit/>
        </w:trPr>
        <w:tc>
          <w:tcPr>
            <w:tcW w:type="dxa" w:w="4139"/>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Multi-branch / company controls</w:t>
            </w:r>
          </w:p>
        </w:tc>
        <w:tc>
          <w:tcPr>
            <w:tcW w:type="dxa" w:w="113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13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30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r>
      <w:tr>
        <w:trPr>
          <w:cantSplit/>
        </w:trPr>
        <w:tc>
          <w:tcPr>
            <w:tcW w:type="dxa" w:w="4139"/>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Multi-currency purchasing</w:t>
            </w:r>
          </w:p>
        </w:tc>
        <w:tc>
          <w:tcPr>
            <w:tcW w:type="dxa" w:w="113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13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30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r>
      <w:tr>
        <w:trPr>
          <w:cantSplit/>
        </w:trPr>
        <w:tc>
          <w:tcPr>
            <w:tcW w:type="dxa" w:w="4139"/>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Procurement requisition / RFQ / bid comparison</w:t>
            </w:r>
          </w:p>
        </w:tc>
        <w:tc>
          <w:tcPr>
            <w:tcW w:type="dxa" w:w="113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13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30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Optional</w:t>
            </w:r>
          </w:p>
        </w:tc>
        <w:tc>
          <w:tcPr>
            <w:tcW w:type="dxa" w:w="124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r>
      <w:tr>
        <w:trPr>
          <w:cantSplit/>
        </w:trPr>
        <w:tc>
          <w:tcPr>
            <w:tcW w:type="dxa" w:w="4139"/>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Contracts, blanket orders, supplier portal</w:t>
            </w:r>
          </w:p>
        </w:tc>
        <w:tc>
          <w:tcPr>
            <w:tcW w:type="dxa" w:w="113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13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30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r>
      <w:tr>
        <w:trPr>
          <w:cantSplit/>
        </w:trPr>
        <w:tc>
          <w:tcPr>
            <w:tcW w:type="dxa" w:w="4139"/>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Advanced supplier analytics / scorecard</w:t>
            </w:r>
          </w:p>
        </w:tc>
        <w:tc>
          <w:tcPr>
            <w:tcW w:type="dxa" w:w="113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24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13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c>
          <w:tcPr>
            <w:tcW w:type="dxa" w:w="130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Optional</w:t>
            </w:r>
          </w:p>
        </w:tc>
        <w:tc>
          <w:tcPr>
            <w:tcW w:type="dxa" w:w="124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w:t>
            </w:r>
          </w:p>
        </w:tc>
      </w:tr>
    </w:tbl>
    <w:p>
      <w:pPr>
        <w:spacing w:after="0"/>
      </w:pPr>
    </w:p>
    <w:tbl>
      <w:tblPr>
        <w:tblW w:type="auto" w:w="0"/>
        <w:jc w:val="center"/>
        <w:tblLayout w:type="fixed"/>
        <w:tblLook w:firstColumn="1" w:firstRow="1" w:lastColumn="0" w:lastRow="0" w:noHBand="0" w:noVBand="1" w:val="04A0"/>
      </w:tblPr>
      <w:tblGrid>
        <w:gridCol w:w="10262"/>
      </w:tblGrid>
      <w:tr>
        <w:trPr>
          <w:cantSplit/>
        </w:trPr>
        <w:tc>
          <w:tcPr>
            <w:tcW w:type="dxa" w:w="10205"/>
            <w:shd w:fill="E7F0F8"/>
            <w:tcMar>
              <w:top w:w="110" w:type="dxa"/>
              <w:start w:w="140" w:type="dxa"/>
              <w:bottom w:w="110" w:type="dxa"/>
              <w:end w:w="140" w:type="dxa"/>
            </w:tcMar>
            <w:tcBorders>
              <w:top w:val="single" w:sz="3" w:color="2F78B7"/>
              <w:left w:val="single" w:sz="18" w:color="2F78B7"/>
              <w:bottom w:val="single" w:sz="3" w:color="2F78B7"/>
              <w:right w:val="single" w:sz="3" w:color="2F78B7"/>
            </w:tcBorders>
          </w:tcPr>
          <w:p>
            <w:pPr>
              <w:spacing w:after="0"/>
            </w:pPr>
            <w:r>
              <w:rPr>
                <w:rFonts w:ascii="Inter" w:hAnsi="Inter" w:eastAsia="Inter"/>
                <w:b/>
                <w:color w:val="1A2D44"/>
                <w:sz w:val="17"/>
              </w:rPr>
              <w:t xml:space="preserve">ENTITLEMENT RULE  </w:t>
            </w:r>
            <w:r>
              <w:rPr>
                <w:rFonts w:ascii="Inter" w:hAnsi="Inter" w:eastAsia="Inter"/>
                <w:color w:val="1A2D44"/>
                <w:sz w:val="18"/>
              </w:rPr>
              <w:t>Locked capabilities shall show a clear explanation and approved upgrade path. The server shall enforce the same entitlement even when the user enters through a direct URL, API, related record, Dashboard, or Multiple UI Entry Point.</w:t>
            </w:r>
          </w:p>
        </w:tc>
      </w:tr>
    </w:tbl>
    <w:p>
      <w:pPr>
        <w:spacing w:after="0"/>
      </w:pPr>
    </w:p>
    <w:p>
      <w:pPr>
        <w:pStyle w:val="Heading1"/>
        <w:keepNext/>
      </w:pPr>
      <w:r>
        <w:rPr>
          <w:rFonts w:ascii="Inter Display" w:hAnsi="Inter Display" w:eastAsia="Inter Display"/>
          <w:b/>
          <w:color w:val="2F78B7"/>
          <w:sz w:val="34"/>
        </w:rPr>
        <w:t>18. Product Experience and Current UI Baseline</w:t>
      </w:r>
    </w:p>
    <w:p>
      <w:r>
        <w:rPr>
          <w:rFonts w:ascii="Inter" w:hAnsi="Inter" w:eastAsia="Inter"/>
        </w:rPr>
        <w:t>The current Purchases &amp; Payables workspace is an action-oriented management surface. It may combine capabilities from MDS-400, MDS-500, MDS-600, MDS-900, and MDS-1000 while preserving authoritative ownership.</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2835"/>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Current UI element</w:t>
            </w:r>
          </w:p>
        </w:tc>
        <w:tc>
          <w:tcPr>
            <w:tcW w:type="dxa" w:w="7370"/>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Governed meaning</w:t>
            </w:r>
          </w:p>
        </w:tc>
      </w:tr>
      <w:tr>
        <w:trPr>
          <w:cantSplit/>
        </w:trPr>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Workspace name</w:t>
            </w:r>
          </w:p>
        </w:tc>
        <w:tc>
          <w:tcPr>
            <w:tcW w:type="dxa" w:w="737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Purchases &amp; Payables.</w:t>
            </w:r>
          </w:p>
        </w:tc>
      </w:tr>
      <w:tr>
        <w:trPr>
          <w:cantSplit/>
        </w:trPr>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Landing-page title</w:t>
            </w:r>
          </w:p>
        </w:tc>
        <w:tc>
          <w:tcPr>
            <w:tcW w:type="dxa" w:w="737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Purchase Management.</w:t>
            </w:r>
          </w:p>
        </w:tc>
      </w:tr>
      <w:tr>
        <w:trPr>
          <w:cantSplit/>
        </w:trPr>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Purpose statement</w:t>
            </w:r>
          </w:p>
        </w:tc>
        <w:tc>
          <w:tcPr>
            <w:tcW w:type="dxa" w:w="737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Buy goods and services, receive items, track what you owe, and manage suppliers.</w:t>
            </w:r>
          </w:p>
        </w:tc>
      </w:tr>
      <w:tr>
        <w:trPr>
          <w:cantSplit/>
        </w:trPr>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Primary action: New Purchase</w:t>
            </w:r>
          </w:p>
        </w:tc>
        <w:tc>
          <w:tcPr>
            <w:tcW w:type="dxa" w:w="737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Creates a cash or credit purchase through MDS-400; paid-now settlement invokes MDS-500 and MDS-700.</w:t>
            </w:r>
          </w:p>
        </w:tc>
      </w:tr>
      <w:tr>
        <w:trPr>
          <w:cantSplit/>
        </w:trPr>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Entry point: Receive Items</w:t>
            </w:r>
          </w:p>
        </w:tc>
        <w:tc>
          <w:tcPr>
            <w:tcW w:type="dxa" w:w="737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Routes to eligible receiving context; MDS-400 owns receiving evidence and MDS-600 owns stock movement.</w:t>
            </w:r>
          </w:p>
        </w:tc>
      </w:tr>
      <w:tr>
        <w:trPr>
          <w:cantSplit/>
        </w:trPr>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Entry point: Add Supplier</w:t>
            </w:r>
          </w:p>
        </w:tc>
        <w:tc>
          <w:tcPr>
            <w:tcW w:type="dxa" w:w="737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Quick-create route to MDS-1000; MDS-400 does not duplicate the supplier registry.</w:t>
            </w:r>
          </w:p>
        </w:tc>
      </w:tr>
      <w:tr>
        <w:trPr>
          <w:cantSplit/>
        </w:trPr>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Summary cards</w:t>
            </w:r>
          </w:p>
        </w:tc>
        <w:tc>
          <w:tcPr>
            <w:tcW w:type="dxa" w:w="737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Purchases This Month, Amount to Pay, Due Soon, Overdue, or approved equivalents using governed definitions.</w:t>
            </w:r>
          </w:p>
        </w:tc>
      </w:tr>
      <w:tr>
        <w:trPr>
          <w:cantSplit/>
        </w:trPr>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Supporting destinations</w:t>
            </w:r>
          </w:p>
        </w:tc>
        <w:tc>
          <w:tcPr>
            <w:tcW w:type="dxa" w:w="737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Needs Attention, Purchase History, Payments Due, Recent Activity, Suppliers, Purchase Orders, Receiving History, Supplier Balances, Debit/Credit Adjustments, Purchase Reports.</w:t>
            </w:r>
          </w:p>
        </w:tc>
      </w:tr>
    </w:tbl>
    <w:p>
      <w:pPr>
        <w:spacing w:after="0"/>
      </w:pPr>
    </w:p>
    <w:tbl>
      <w:tblPr>
        <w:tblW w:type="auto" w:w="0"/>
        <w:jc w:val="center"/>
        <w:tblLayout w:type="fixed"/>
        <w:tblLook w:firstColumn="1" w:firstRow="1" w:lastColumn="0" w:lastRow="0" w:noHBand="0" w:noVBand="1" w:val="04A0"/>
      </w:tblPr>
      <w:tblGrid>
        <w:gridCol w:w="10262"/>
      </w:tblGrid>
      <w:tr>
        <w:trPr>
          <w:cantSplit/>
        </w:trPr>
        <w:tc>
          <w:tcPr>
            <w:tcW w:type="dxa" w:w="10205"/>
            <w:shd w:fill="E7F0F8"/>
            <w:tcMar>
              <w:top w:w="110" w:type="dxa"/>
              <w:start w:w="140" w:type="dxa"/>
              <w:bottom w:w="110" w:type="dxa"/>
              <w:end w:w="140" w:type="dxa"/>
            </w:tcMar>
            <w:tcBorders>
              <w:top w:val="single" w:sz="3" w:color="2F78B7"/>
              <w:left w:val="single" w:sz="18" w:color="2F78B7"/>
              <w:bottom w:val="single" w:sz="3" w:color="2F78B7"/>
              <w:right w:val="single" w:sz="3" w:color="2F78B7"/>
            </w:tcBorders>
          </w:tcPr>
          <w:p>
            <w:pPr>
              <w:spacing w:after="0"/>
            </w:pPr>
            <w:r>
              <w:rPr>
                <w:rFonts w:ascii="Inter" w:hAnsi="Inter" w:eastAsia="Inter"/>
                <w:b/>
                <w:color w:val="1A2D44"/>
                <w:sz w:val="17"/>
              </w:rPr>
              <w:t xml:space="preserve">UI OWNERSHIP RULE  </w:t>
            </w:r>
            <w:r>
              <w:rPr>
                <w:rFonts w:ascii="Inter" w:hAnsi="Inter" w:eastAsia="Inter"/>
                <w:color w:val="1A2D44"/>
                <w:sz w:val="18"/>
              </w:rPr>
              <w:t>A shortcut changes where the user starts—not which module owns the record, rule, permission, transaction, audit trail, supplier balance, stock movement, payment, or cash effect.</w:t>
            </w:r>
          </w:p>
        </w:tc>
      </w:tr>
    </w:tbl>
    <w:p>
      <w:pPr>
        <w:spacing w:after="0"/>
      </w:pPr>
    </w:p>
    <w:p>
      <w:pPr>
        <w:pStyle w:val="Heading2"/>
        <w:keepNext/>
      </w:pPr>
      <w:r>
        <w:rPr>
          <w:rFonts w:ascii="Inter" w:hAnsi="Inter" w:eastAsia="Inter"/>
          <w:b/>
          <w:color w:val="1A2D44"/>
          <w:sz w:val="25"/>
        </w:rPr>
        <w:t>18.1 UX Requirements</w:t>
      </w:r>
    </w:p>
    <w:p>
      <w:pPr>
        <w:pStyle w:val="ListBullet"/>
        <w:keepLines/>
      </w:pPr>
      <w:r>
        <w:rPr>
          <w:rFonts w:ascii="Inter" w:hAnsi="Inter" w:eastAsia="Inter"/>
        </w:rPr>
        <w:t>The primary task and next action shall be evident without training material.</w:t>
      </w:r>
    </w:p>
    <w:p>
      <w:pPr>
        <w:pStyle w:val="ListBullet"/>
        <w:keepLines/>
      </w:pPr>
      <w:r>
        <w:rPr>
          <w:rFonts w:ascii="Inter" w:hAnsi="Inter" w:eastAsia="Inter"/>
        </w:rPr>
        <w:t>Supplier, purchase type, cash/credit choice, receipt status, due terms, totals, and payment consequence shall be visible at the decision point.</w:t>
      </w:r>
    </w:p>
    <w:p>
      <w:pPr>
        <w:pStyle w:val="ListBullet"/>
        <w:keepLines/>
      </w:pPr>
      <w:r>
        <w:rPr>
          <w:rFonts w:ascii="Inter" w:hAnsi="Inter" w:eastAsia="Inter"/>
        </w:rPr>
        <w:t>The interface shall explain the difference among ordered, received, invoiced, due, scheduled, and paid amounts.</w:t>
      </w:r>
    </w:p>
    <w:p>
      <w:pPr>
        <w:pStyle w:val="ListBullet"/>
        <w:keepLines/>
      </w:pPr>
      <w:r>
        <w:rPr>
          <w:rFonts w:ascii="Inter" w:hAnsi="Inter" w:eastAsia="Inter"/>
        </w:rPr>
        <w:t>Advanced procurement controls shall use progressive disclosure and shall not overwhelm Free or Startup users.</w:t>
      </w:r>
    </w:p>
    <w:p>
      <w:pPr>
        <w:pStyle w:val="ListBullet"/>
        <w:keepLines/>
      </w:pPr>
      <w:r>
        <w:rPr>
          <w:rFonts w:ascii="Inter" w:hAnsi="Inter" w:eastAsia="Inter"/>
        </w:rPr>
        <w:t>Validation and error messages shall preserve valid input and describe the recovery action in business language.</w:t>
      </w:r>
    </w:p>
    <w:p>
      <w:pPr>
        <w:pStyle w:val="ListBullet"/>
        <w:keepLines/>
      </w:pPr>
      <w:r>
        <w:rPr>
          <w:rFonts w:ascii="Inter" w:hAnsi="Inter" w:eastAsia="Inter"/>
        </w:rPr>
        <w:t>Desktop, tablet, and mobile experiences shall preserve task completion and information priority; dense matching and ledger views may use responsive reflow or focused detail patterns.</w:t>
      </w:r>
    </w:p>
    <w:p>
      <w:pPr>
        <w:pStyle w:val="ListBullet"/>
        <w:keepLines/>
      </w:pPr>
      <w:r>
        <w:rPr>
          <w:rFonts w:ascii="Inter" w:hAnsi="Inter" w:eastAsia="Inter"/>
        </w:rPr>
        <w:t>Exact card placement, icons, typography, spacing, breakpoints, and component behavior remain governed by UID/WF/UI/SCR artifacts.</w:t>
      </w:r>
    </w:p>
    <w:p>
      <w:pPr>
        <w:pStyle w:val="Heading1"/>
        <w:keepNext/>
      </w:pPr>
      <w:r>
        <w:rPr>
          <w:rFonts w:ascii="Inter Display" w:hAnsi="Inter Display" w:eastAsia="Inter Display"/>
          <w:b/>
          <w:color w:val="2F78B7"/>
          <w:sz w:val="34"/>
        </w:rPr>
        <w:t>19. Quality, Testing, and AI Readiness</w:t>
      </w:r>
    </w:p>
    <w:p>
      <w:pPr>
        <w:pStyle w:val="Heading2"/>
        <w:keepNext/>
      </w:pPr>
      <w:r>
        <w:rPr>
          <w:rFonts w:ascii="Inter" w:hAnsi="Inter" w:eastAsia="Inter"/>
          <w:b/>
          <w:color w:val="1A2D44"/>
          <w:sz w:val="25"/>
        </w:rPr>
        <w:t>19.1 Non-Functional Requirements</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2268"/>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Quality area</w:t>
            </w:r>
          </w:p>
        </w:tc>
        <w:tc>
          <w:tcPr>
            <w:tcW w:type="dxa" w:w="7937"/>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Initial requirement</w:t>
            </w:r>
          </w:p>
        </w:tc>
      </w:tr>
      <w:tr>
        <w:trPr>
          <w:cantSplit/>
        </w:trPr>
        <w:tc>
          <w:tcPr>
            <w:tcW w:type="dxa" w:w="226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Performance</w:t>
            </w:r>
          </w:p>
        </w:tc>
        <w:tc>
          <w:tcPr>
            <w:tcW w:type="dxa" w:w="793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Common lists and summaries should load within approved product budgets; posting shall provide visible progress and idempotent completion status.</w:t>
            </w:r>
          </w:p>
        </w:tc>
      </w:tr>
      <w:tr>
        <w:trPr>
          <w:cantSplit/>
        </w:trPr>
        <w:tc>
          <w:tcPr>
            <w:tcW w:type="dxa" w:w="226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Availability and recovery</w:t>
            </w:r>
          </w:p>
        </w:tc>
        <w:tc>
          <w:tcPr>
            <w:tcW w:type="dxa" w:w="793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Failed processing shall recover safely without duplicate purchase, payable, receipt, stock, expense, or payment records.</w:t>
            </w:r>
          </w:p>
        </w:tc>
      </w:tr>
      <w:tr>
        <w:trPr>
          <w:cantSplit/>
        </w:trPr>
        <w:tc>
          <w:tcPr>
            <w:tcW w:type="dxa" w:w="226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Scalability</w:t>
            </w:r>
          </w:p>
        </w:tc>
        <w:tc>
          <w:tcPr>
            <w:tcW w:type="dxa" w:w="793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Queries and posting shall support growth from single-owner businesses to multi-branch ERP volumes using shared architecture.</w:t>
            </w:r>
          </w:p>
        </w:tc>
      </w:tr>
      <w:tr>
        <w:trPr>
          <w:cantSplit/>
        </w:trPr>
        <w:tc>
          <w:tcPr>
            <w:tcW w:type="dxa" w:w="226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Observability</w:t>
            </w:r>
          </w:p>
        </w:tc>
        <w:tc>
          <w:tcPr>
            <w:tcW w:type="dxa" w:w="793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Capture correlation IDs, event status, processing duration, failure reason, retry, integration result, and reconciliation signals.</w:t>
            </w:r>
          </w:p>
        </w:tc>
      </w:tr>
      <w:tr>
        <w:trPr>
          <w:cantSplit/>
        </w:trPr>
        <w:tc>
          <w:tcPr>
            <w:tcW w:type="dxa" w:w="226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Accessibility</w:t>
            </w:r>
          </w:p>
        </w:tc>
        <w:tc>
          <w:tcPr>
            <w:tcW w:type="dxa" w:w="793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Meet approved keyboard, focus, labels, contrast, zoom/reflow, target size, status messaging, and screen-reader standards.</w:t>
            </w:r>
          </w:p>
        </w:tc>
      </w:tr>
      <w:tr>
        <w:trPr>
          <w:cantSplit/>
        </w:trPr>
        <w:tc>
          <w:tcPr>
            <w:tcW w:type="dxa" w:w="226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Security and privacy</w:t>
            </w:r>
          </w:p>
        </w:tc>
        <w:tc>
          <w:tcPr>
            <w:tcW w:type="dxa" w:w="793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Use least privilege, encryption, secure sessions, tenant isolation, safe attachments, export controls, and dependency management.</w:t>
            </w:r>
          </w:p>
        </w:tc>
      </w:tr>
      <w:tr>
        <w:trPr>
          <w:cantSplit/>
        </w:trPr>
        <w:tc>
          <w:tcPr>
            <w:tcW w:type="dxa" w:w="226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Localization</w:t>
            </w:r>
          </w:p>
        </w:tc>
        <w:tc>
          <w:tcPr>
            <w:tcW w:type="dxa" w:w="793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Support locale-aware date, currency, number, tax, language, document labels, and time-zone behavior.</w:t>
            </w:r>
          </w:p>
        </w:tc>
      </w:tr>
      <w:tr>
        <w:trPr>
          <w:cantSplit/>
        </w:trPr>
        <w:tc>
          <w:tcPr>
            <w:tcW w:type="dxa" w:w="226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Maintainability</w:t>
            </w:r>
          </w:p>
        </w:tc>
        <w:tc>
          <w:tcPr>
            <w:tcW w:type="dxa" w:w="793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Use modular-monolith boundaries, shared services, documented contracts, tests, migration controls, and no duplicate transaction logic.</w:t>
            </w:r>
          </w:p>
        </w:tc>
      </w:tr>
    </w:tbl>
    <w:p>
      <w:pPr>
        <w:spacing w:after="0"/>
      </w:pPr>
    </w:p>
    <w:p>
      <w:pPr>
        <w:pStyle w:val="Heading2"/>
        <w:keepNext/>
      </w:pPr>
      <w:r>
        <w:rPr>
          <w:rFonts w:ascii="Inter" w:hAnsi="Inter" w:eastAsia="Inter"/>
          <w:b/>
          <w:color w:val="1A2D44"/>
          <w:sz w:val="25"/>
        </w:rPr>
        <w:t>19.2 Minimum Test Coverage</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2268"/>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Test category</w:t>
            </w:r>
          </w:p>
        </w:tc>
        <w:tc>
          <w:tcPr>
            <w:tcW w:type="dxa" w:w="7937"/>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Required scenarios</w:t>
            </w:r>
          </w:p>
        </w:tc>
      </w:tr>
      <w:tr>
        <w:trPr>
          <w:cantSplit/>
        </w:trPr>
        <w:tc>
          <w:tcPr>
            <w:tcW w:type="dxa" w:w="226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Functional</w:t>
            </w:r>
          </w:p>
        </w:tc>
        <w:tc>
          <w:tcPr>
            <w:tcW w:type="dxa" w:w="793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Direct purchase, PO, partial receipt, supplier invoice, match, payable, return, adjustment, hold, payment handoff, close, and reversal.</w:t>
            </w:r>
          </w:p>
        </w:tc>
      </w:tr>
      <w:tr>
        <w:trPr>
          <w:cantSplit/>
        </w:trPr>
        <w:tc>
          <w:tcPr>
            <w:tcW w:type="dxa" w:w="226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Boundary</w:t>
            </w:r>
          </w:p>
        </w:tc>
        <w:tc>
          <w:tcPr>
            <w:tcW w:type="dxa" w:w="793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PO creates no payable/stock; payment remains MDS-500; stock remains MDS-600; cash remains MDS-700; expense remains MDS-800.</w:t>
            </w:r>
          </w:p>
        </w:tc>
      </w:tr>
      <w:tr>
        <w:trPr>
          <w:cantSplit/>
        </w:trPr>
        <w:tc>
          <w:tcPr>
            <w:tcW w:type="dxa" w:w="226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Amounts and quantities</w:t>
            </w:r>
          </w:p>
        </w:tc>
        <w:tc>
          <w:tcPr>
            <w:tcW w:type="dxa" w:w="793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Tax, discount, freight, rounding, units, partial quantities, returns, credits, due dates, aging, and currency.</w:t>
            </w:r>
          </w:p>
        </w:tc>
      </w:tr>
      <w:tr>
        <w:trPr>
          <w:cantSplit/>
        </w:trPr>
        <w:tc>
          <w:tcPr>
            <w:tcW w:type="dxa" w:w="226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Concurrency / idempotency</w:t>
            </w:r>
          </w:p>
        </w:tc>
        <w:tc>
          <w:tcPr>
            <w:tcW w:type="dxa" w:w="793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Double click, retry, duplicate invoice, concurrent receipt, concurrent payment request, external callback, and network interruption.</w:t>
            </w:r>
          </w:p>
        </w:tc>
      </w:tr>
      <w:tr>
        <w:trPr>
          <w:cantSplit/>
        </w:trPr>
        <w:tc>
          <w:tcPr>
            <w:tcW w:type="dxa" w:w="226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Security</w:t>
            </w:r>
          </w:p>
        </w:tc>
        <w:tc>
          <w:tcPr>
            <w:tcW w:type="dxa" w:w="793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Role, scope, direct URL/API, approval threshold, sensitive field, attachment, print/export/share, and tenant isolation.</w:t>
            </w:r>
          </w:p>
        </w:tc>
      </w:tr>
      <w:tr>
        <w:trPr>
          <w:cantSplit/>
        </w:trPr>
        <w:tc>
          <w:tcPr>
            <w:tcW w:type="dxa" w:w="226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Integration</w:t>
            </w:r>
          </w:p>
        </w:tc>
        <w:tc>
          <w:tcPr>
            <w:tcW w:type="dxa" w:w="793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Atomic success/failure across purchase, stock, expense, payment, cash, report, Dashboard, and audit effects.</w:t>
            </w:r>
          </w:p>
        </w:tc>
      </w:tr>
      <w:tr>
        <w:trPr>
          <w:cantSplit/>
        </w:trPr>
        <w:tc>
          <w:tcPr>
            <w:tcW w:type="dxa" w:w="226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UX / accessibility</w:t>
            </w:r>
          </w:p>
        </w:tc>
        <w:tc>
          <w:tcPr>
            <w:tcW w:type="dxa" w:w="793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Keyboard, focus, validation, loading, empty, permission, stale, partial, error, responsive, zoom, and assistive technology.</w:t>
            </w:r>
          </w:p>
        </w:tc>
      </w:tr>
      <w:tr>
        <w:trPr>
          <w:cantSplit/>
        </w:trPr>
        <w:tc>
          <w:tcPr>
            <w:tcW w:type="dxa" w:w="226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Entitlement</w:t>
            </w:r>
          </w:p>
        </w:tc>
        <w:tc>
          <w:tcPr>
            <w:tcW w:type="dxa" w:w="793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Free through ERP availability, locked state, API enforcement, upgrade, downgrade, and preserved data.</w:t>
            </w:r>
          </w:p>
        </w:tc>
      </w:tr>
    </w:tbl>
    <w:p>
      <w:pPr>
        <w:spacing w:after="0"/>
      </w:pPr>
    </w:p>
    <w:p>
      <w:pPr>
        <w:pStyle w:val="Heading2"/>
        <w:keepNext/>
      </w:pPr>
      <w:r>
        <w:rPr>
          <w:rFonts w:ascii="Inter" w:hAnsi="Inter" w:eastAsia="Inter"/>
          <w:b/>
          <w:color w:val="1A2D44"/>
          <w:sz w:val="25"/>
        </w:rPr>
        <w:t>19.3 AI-Ready Controls</w:t>
      </w:r>
    </w:p>
    <w:p>
      <w:r>
        <w:rPr>
          <w:rFonts w:ascii="Inter" w:hAnsi="Inter" w:eastAsia="Inter"/>
        </w:rPr>
        <w:t>Structured purchase data may support AI-assisted supplier matching, duplicate detection, coding suggestions, due-date extraction, anomaly identification, price comparison, reorder suggestions, and document capture. AI shall remain advisory unless an explicitly approved automation policy applies.</w:t>
      </w:r>
    </w:p>
    <w:p>
      <w:pPr>
        <w:pStyle w:val="ListBullet"/>
        <w:keepLines/>
      </w:pPr>
      <w:r>
        <w:rPr>
          <w:rFonts w:ascii="Inter" w:hAnsi="Inter" w:eastAsia="Inter"/>
        </w:rPr>
        <w:t>Every suggestion shall identify source evidence, confidence or uncertainty where practical, affected fields, and the user action required.</w:t>
      </w:r>
    </w:p>
    <w:p>
      <w:pPr>
        <w:pStyle w:val="ListBullet"/>
        <w:keepLines/>
      </w:pPr>
      <w:r>
        <w:rPr>
          <w:rFonts w:ascii="Inter" w:hAnsi="Inter" w:eastAsia="Inter"/>
        </w:rPr>
        <w:t>AI shall not fabricate suppliers, invoice numbers, receipts, approvals, tax treatment, quantities, payment confirmation, or audit evidence.</w:t>
      </w:r>
    </w:p>
    <w:p>
      <w:pPr>
        <w:pStyle w:val="ListBullet"/>
        <w:keepLines/>
      </w:pPr>
      <w:r>
        <w:rPr>
          <w:rFonts w:ascii="Inter" w:hAnsi="Inter" w:eastAsia="Inter"/>
        </w:rPr>
        <w:t>Posting, approval, reversal, payment request, and exception override shall use the same permission and audit controls whether AI-assisted or manually entered.</w:t>
      </w:r>
    </w:p>
    <w:p>
      <w:pPr>
        <w:pStyle w:val="ListBullet"/>
        <w:keepLines/>
      </w:pPr>
      <w:r>
        <w:rPr>
          <w:rFonts w:ascii="Inter" w:hAnsi="Inter" w:eastAsia="Inter"/>
        </w:rPr>
        <w:t>A complete non-AI workflow shall remain available.</w:t>
      </w:r>
    </w:p>
    <w:p>
      <w:pPr>
        <w:pStyle w:val="ListBullet"/>
        <w:keepLines/>
      </w:pPr>
      <w:r>
        <w:rPr>
          <w:rFonts w:ascii="Inter" w:hAnsi="Inter" w:eastAsia="Inter"/>
        </w:rPr>
        <w:t>Training or model-improvement use of tenant data shall follow approved privacy, consent, security, and contractual controls.</w:t>
      </w:r>
    </w:p>
    <w:p>
      <w:pPr>
        <w:pStyle w:val="Heading1"/>
        <w:keepNext/>
      </w:pPr>
      <w:r>
        <w:rPr>
          <w:rFonts w:ascii="Inter Display" w:hAnsi="Inter Display" w:eastAsia="Inter Display"/>
          <w:b/>
          <w:color w:val="2F78B7"/>
          <w:sz w:val="34"/>
        </w:rPr>
        <w:t>20. Future ERP Expansion and Success Indicators</w:t>
      </w:r>
    </w:p>
    <w:p>
      <w:pPr>
        <w:pStyle w:val="Heading2"/>
        <w:keepNext/>
      </w:pPr>
      <w:r>
        <w:rPr>
          <w:rFonts w:ascii="Inter" w:hAnsi="Inter" w:eastAsia="Inter"/>
          <w:b/>
          <w:color w:val="1A2D44"/>
          <w:sz w:val="25"/>
        </w:rPr>
        <w:t>20.1 Future ERP Expansion</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2381"/>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Expansion domain</w:t>
            </w:r>
          </w:p>
        </w:tc>
        <w:tc>
          <w:tcPr>
            <w:tcW w:type="dxa" w:w="7824"/>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Potential capabilities</w:t>
            </w:r>
          </w:p>
        </w:tc>
      </w:tr>
      <w:tr>
        <w:trPr>
          <w:cantSplit/>
        </w:trPr>
        <w:tc>
          <w:tcPr>
            <w:tcW w:type="dxa" w:w="2381"/>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Strategic procurement</w:t>
            </w:r>
          </w:p>
        </w:tc>
        <w:tc>
          <w:tcPr>
            <w:tcW w:type="dxa" w:w="782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Purchase requisitions, RFQ/RFP, bid comparison, sourcing events, preferred suppliers, procurement categories, and approval matrix.</w:t>
            </w:r>
          </w:p>
        </w:tc>
      </w:tr>
      <w:tr>
        <w:trPr>
          <w:cantSplit/>
        </w:trPr>
        <w:tc>
          <w:tcPr>
            <w:tcW w:type="dxa" w:w="2381"/>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Contracts and commitments</w:t>
            </w:r>
          </w:p>
        </w:tc>
        <w:tc>
          <w:tcPr>
            <w:tcW w:type="dxa" w:w="782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Blanket POs, call-off orders, supplier contracts, commitments, minimum/maximum quantities, service-level terms, and renewal controls.</w:t>
            </w:r>
          </w:p>
        </w:tc>
      </w:tr>
      <w:tr>
        <w:trPr>
          <w:cantSplit/>
        </w:trPr>
        <w:tc>
          <w:tcPr>
            <w:tcW w:type="dxa" w:w="2381"/>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Advanced receiving</w:t>
            </w:r>
          </w:p>
        </w:tc>
        <w:tc>
          <w:tcPr>
            <w:tcW w:type="dxa" w:w="782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Quality inspection, quarantine, lot/serial, landed cost, import documents, container/shipment, three-way matching, and receiving accrual.</w:t>
            </w:r>
          </w:p>
        </w:tc>
      </w:tr>
      <w:tr>
        <w:trPr>
          <w:cantSplit/>
        </w:trPr>
        <w:tc>
          <w:tcPr>
            <w:tcW w:type="dxa" w:w="2381"/>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Supplier management</w:t>
            </w:r>
          </w:p>
        </w:tc>
        <w:tc>
          <w:tcPr>
            <w:tcW w:type="dxa" w:w="782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Onboarding, qualification, compliance documents, risk, scorecards, lead time, quality, delivery, sustainability, and portal collaboration.</w:t>
            </w:r>
          </w:p>
        </w:tc>
      </w:tr>
      <w:tr>
        <w:trPr>
          <w:cantSplit/>
        </w:trPr>
        <w:tc>
          <w:tcPr>
            <w:tcW w:type="dxa" w:w="2381"/>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Financial control</w:t>
            </w:r>
          </w:p>
        </w:tc>
        <w:tc>
          <w:tcPr>
            <w:tcW w:type="dxa" w:w="782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Multi-currency, withholding, recoverable tax, installment plans, supplier financing, dynamic discounting, intercompany, and close-period control.</w:t>
            </w:r>
          </w:p>
        </w:tc>
      </w:tr>
      <w:tr>
        <w:trPr>
          <w:cantSplit/>
        </w:trPr>
        <w:tc>
          <w:tcPr>
            <w:tcW w:type="dxa" w:w="2381"/>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Budget and planning</w:t>
            </w:r>
          </w:p>
        </w:tc>
        <w:tc>
          <w:tcPr>
            <w:tcW w:type="dxa" w:w="782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Budget checking, commitment accounting, project/cost-center control, purchase forecasts, replenishment planning, and spend analytics.</w:t>
            </w:r>
          </w:p>
        </w:tc>
      </w:tr>
      <w:tr>
        <w:trPr>
          <w:cantSplit/>
        </w:trPr>
        <w:tc>
          <w:tcPr>
            <w:tcW w:type="dxa" w:w="2381"/>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Automation and integration</w:t>
            </w:r>
          </w:p>
        </w:tc>
        <w:tc>
          <w:tcPr>
            <w:tcW w:type="dxa" w:w="782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EDI/e-invoicing, OCR/document intelligence, bank/payment integration, supplier portal, automated matching, exception workflow, and AI-assisted procurement.</w:t>
            </w:r>
          </w:p>
        </w:tc>
      </w:tr>
    </w:tbl>
    <w:p>
      <w:pPr>
        <w:spacing w:after="0"/>
      </w:pPr>
    </w:p>
    <w:p>
      <w:pPr>
        <w:pStyle w:val="Heading2"/>
        <w:keepNext/>
      </w:pPr>
      <w:r>
        <w:rPr>
          <w:rFonts w:ascii="Inter" w:hAnsi="Inter" w:eastAsia="Inter"/>
          <w:b/>
          <w:color w:val="1A2D44"/>
          <w:sz w:val="25"/>
        </w:rPr>
        <w:t>20.2 Success Indicators</w:t>
      </w:r>
    </w:p>
    <w:p>
      <w:pPr>
        <w:pStyle w:val="ListBullet"/>
        <w:keepLines/>
      </w:pPr>
      <w:r>
        <w:rPr>
          <w:rFonts w:ascii="Inter" w:hAnsi="Inter" w:eastAsia="Inter"/>
        </w:rPr>
        <w:t>Purchases and supplier obligations are recorded once, accurately, and completely.</w:t>
      </w:r>
    </w:p>
    <w:p>
      <w:pPr>
        <w:pStyle w:val="ListBullet"/>
        <w:keepLines/>
      </w:pPr>
      <w:r>
        <w:rPr>
          <w:rFonts w:ascii="Inter" w:hAnsi="Inter" w:eastAsia="Inter"/>
        </w:rPr>
        <w:t>Users can distinguish ordered, received, invoiced, due, scheduled, and paid states without accounting training.</w:t>
      </w:r>
    </w:p>
    <w:p>
      <w:pPr>
        <w:pStyle w:val="ListBullet"/>
        <w:keepLines/>
      </w:pPr>
      <w:r>
        <w:rPr>
          <w:rFonts w:ascii="Inter" w:hAnsi="Inter" w:eastAsia="Inter"/>
        </w:rPr>
        <w:t>Supplier balances, A/P aging, due-for-payment, and supplier ledger reconcile for the same scope.</w:t>
      </w:r>
    </w:p>
    <w:p>
      <w:pPr>
        <w:pStyle w:val="ListBullet"/>
        <w:keepLines/>
      </w:pPr>
      <w:r>
        <w:rPr>
          <w:rFonts w:ascii="Inter" w:hAnsi="Inter" w:eastAsia="Inter"/>
        </w:rPr>
        <w:t>Inventory receipts, expense recognition, payments, and cash movements are linked but remain owned by the correct modules.</w:t>
      </w:r>
    </w:p>
    <w:p>
      <w:pPr>
        <w:pStyle w:val="ListBullet"/>
        <w:keepLines/>
      </w:pPr>
      <w:r>
        <w:rPr>
          <w:rFonts w:ascii="Inter" w:hAnsi="Inter" w:eastAsia="Inter"/>
        </w:rPr>
        <w:t>Duplicate invoices, quantity/price mismatches, missing evidence, holds, and payment failures are visible and recoverable.</w:t>
      </w:r>
    </w:p>
    <w:p>
      <w:pPr>
        <w:pStyle w:val="ListBullet"/>
        <w:keepLines/>
      </w:pPr>
      <w:r>
        <w:rPr>
          <w:rFonts w:ascii="Inter" w:hAnsi="Inter" w:eastAsia="Inter"/>
        </w:rPr>
        <w:t>SMEs can complete common purchase tasks quickly while Advanced and ERP editions add control without redesigning the foundation.</w:t>
      </w:r>
    </w:p>
    <w:p>
      <w:pPr>
        <w:pStyle w:val="ListBullet"/>
        <w:keepLines/>
      </w:pPr>
      <w:r>
        <w:rPr>
          <w:rFonts w:ascii="Inter" w:hAnsi="Inter" w:eastAsia="Inter"/>
        </w:rPr>
        <w:t>Posted history remains traceable from supplier and source document through receipt, invoice, adjustment, payment allocation, return, and reversal.</w:t>
      </w:r>
    </w:p>
    <w:p>
      <w:pPr>
        <w:pStyle w:val="ListBullet"/>
        <w:keepLines/>
      </w:pPr>
      <w:r>
        <w:rPr>
          <w:rFonts w:ascii="Inter" w:hAnsi="Inter" w:eastAsia="Inter"/>
        </w:rPr>
        <w:t>Developers and testers can derive clear database, API, UI, workflow, security, and test artifacts from this specification.</w:t>
      </w:r>
    </w:p>
    <w:p>
      <w:r>
        <w:br w:type="page"/>
      </w:r>
    </w:p>
    <w:p>
      <w:pPr>
        <w:pStyle w:val="PartTitle"/>
        <w:spacing w:before="900" w:after="80"/>
      </w:pPr>
      <w:r>
        <w:rPr>
          <w:rFonts w:ascii="Inter" w:hAnsi="Inter" w:eastAsia="Inter"/>
          <w:b/>
          <w:color w:val="667485"/>
          <w:sz w:val="20"/>
        </w:rPr>
        <w:t>PART V</w:t>
      </w:r>
    </w:p>
    <w:p>
      <w:pPr>
        <w:pStyle w:val="PartName"/>
        <w:spacing w:after="120"/>
      </w:pPr>
      <w:r>
        <w:rPr>
          <w:rFonts w:ascii="Inter Display" w:hAnsi="Inter Display" w:eastAsia="Inter Display"/>
          <w:b/>
          <w:color w:val="2F78B7"/>
          <w:sz w:val="50"/>
        </w:rPr>
        <w:t>Formal Design Authority</w:t>
      </w:r>
    </w:p>
    <w:p>
      <w:pPr>
        <w:pStyle w:val="PartSubtitle"/>
        <w:spacing w:after="0"/>
      </w:pPr>
      <w:r>
        <w:rPr>
          <w:rFonts w:ascii="Inter" w:hAnsi="Inter" w:eastAsia="Inter"/>
          <w:color w:val="667485"/>
          <w:sz w:val="22"/>
        </w:rPr>
        <w:t>The normative module statement that governs downstream design, implementation, integration, and assurance artifacts.</w:t>
      </w:r>
    </w:p>
    <w:p>
      <w:pPr>
        <w:pStyle w:val="Heading1"/>
        <w:keepNext/>
      </w:pPr>
      <w:r>
        <w:rPr>
          <w:rFonts w:ascii="Inter Display" w:hAnsi="Inter Display" w:eastAsia="Inter Display"/>
          <w:b/>
          <w:color w:val="2F78B7"/>
          <w:sz w:val="34"/>
        </w:rPr>
        <w:t>21. Module Design Statement</w:t>
      </w:r>
    </w:p>
    <w:p>
      <w:r>
        <w:rPr>
          <w:rFonts w:ascii="Inter" w:hAnsi="Inter" w:eastAsia="Inter"/>
        </w:rPr>
        <w:t>The following statement is the normative summary of MDS-400 and shall guide all Purchases &amp; Payables design, implementation, integration, migration, testing, and assurance artifacts.</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2268"/>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6"/>
              </w:rPr>
              <w:t>Authority item</w:t>
            </w:r>
          </w:p>
        </w:tc>
        <w:tc>
          <w:tcPr>
            <w:tcW w:type="dxa" w:w="7937"/>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6"/>
              </w:rPr>
              <w:t>Normative statement</w:t>
            </w:r>
          </w:p>
        </w:tc>
      </w:tr>
      <w:tr>
        <w:trPr>
          <w:cantSplit/>
        </w:trPr>
        <w:tc>
          <w:tcPr>
            <w:tcW w:type="dxa" w:w="226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FORMAL STATEMENT</w:t>
            </w:r>
          </w:p>
        </w:tc>
        <w:tc>
          <w:tcPr>
            <w:tcW w:type="dxa" w:w="793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MDS-400 establishes Purchases &amp; Payables as the authoritative SimpleBIZ One module for buying goods and services, controlling supplier documents, recognizing supplier obligations, maintaining payable open items and supplier-side adjustments, and preserving complete purchase-side traceability. It shall coordinate receiving, payment, inventory, cash, expense, reporting, registry, configuration, and audit effects through governed Core services and explicit cross-module ownership.</w:t>
            </w:r>
          </w:p>
        </w:tc>
      </w:tr>
      <w:tr>
        <w:trPr>
          <w:cantSplit/>
        </w:trPr>
        <w:tc>
          <w:tcPr>
            <w:tcW w:type="dxa" w:w="226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Scope of application</w:t>
            </w:r>
          </w:p>
        </w:tc>
        <w:tc>
          <w:tcPr>
            <w:tcW w:type="dxa" w:w="793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All SimpleBIZ One editions and all entry points that create, view, change, approve, receive, invoice, adjust, return, dispute, hand off, report, or analyze purchases and supplier obligations.</w:t>
            </w:r>
          </w:p>
        </w:tc>
      </w:tr>
      <w:tr>
        <w:trPr>
          <w:cantSplit/>
        </w:trPr>
        <w:tc>
          <w:tcPr>
            <w:tcW w:type="dxa" w:w="226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Ownership safeguard</w:t>
            </w:r>
          </w:p>
        </w:tc>
        <w:tc>
          <w:tcPr>
            <w:tcW w:type="dxa" w:w="793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MDS-400 shall not become a second payment engine, stock ledger, cash ledger, expense ledger, master registry, settings area, or consolidated reporting engine.</w:t>
            </w:r>
          </w:p>
        </w:tc>
      </w:tr>
      <w:tr>
        <w:trPr>
          <w:cantSplit/>
        </w:trPr>
        <w:tc>
          <w:tcPr>
            <w:tcW w:type="dxa" w:w="226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User-experience safeguard</w:t>
            </w:r>
          </w:p>
        </w:tc>
        <w:tc>
          <w:tcPr>
            <w:tcW w:type="dxa" w:w="793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Simple user journeys may combine related actions, but shall preserve authoritative documents, permissions, validations, statuses, transaction effects, and audit evidence.</w:t>
            </w:r>
          </w:p>
        </w:tc>
      </w:tr>
      <w:tr>
        <w:trPr>
          <w:cantSplit/>
        </w:trPr>
        <w:tc>
          <w:tcPr>
            <w:tcW w:type="dxa" w:w="226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Exception control</w:t>
            </w:r>
          </w:p>
        </w:tc>
        <w:tc>
          <w:tcPr>
            <w:tcW w:type="dxa" w:w="793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Only through a documented and approved exception consistent with MDS-000, architecture, security, data integrity, and change-control requirements.</w:t>
            </w:r>
          </w:p>
        </w:tc>
      </w:tr>
      <w:tr>
        <w:trPr>
          <w:cantSplit/>
        </w:trPr>
        <w:tc>
          <w:tcPr>
            <w:tcW w:type="dxa" w:w="226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6"/>
              </w:rPr>
              <w:t>Review trigger</w:t>
            </w:r>
          </w:p>
        </w:tc>
        <w:tc>
          <w:tcPr>
            <w:tcW w:type="dxa" w:w="793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6"/>
              </w:rPr>
              <w:t>A change to purchase/payable ownership, supplier document meaning, matching, due-date/balance logic, payment handoff, receiving boundary, adjustment terminology, edition behavior, or current workspace baseline.</w:t>
            </w:r>
          </w:p>
        </w:tc>
      </w:tr>
    </w:tbl>
    <w:p>
      <w:pPr>
        <w:spacing w:after="0"/>
      </w:pPr>
    </w:p>
    <w:tbl>
      <w:tblPr>
        <w:tblW w:type="auto" w:w="0"/>
        <w:jc w:val="center"/>
        <w:tblLayout w:type="fixed"/>
        <w:tblLook w:firstColumn="1" w:firstRow="1" w:lastColumn="0" w:lastRow="0" w:noHBand="0" w:noVBand="1" w:val="04A0"/>
      </w:tblPr>
      <w:tblGrid>
        <w:gridCol w:w="10262"/>
      </w:tblGrid>
      <w:tr>
        <w:trPr>
          <w:cantSplit/>
        </w:trPr>
        <w:tc>
          <w:tcPr>
            <w:tcW w:type="dxa" w:w="10205"/>
            <w:shd w:fill="E7F0F8"/>
            <w:tcMar>
              <w:top w:w="110" w:type="dxa"/>
              <w:start w:w="140" w:type="dxa"/>
              <w:bottom w:w="110" w:type="dxa"/>
              <w:end w:w="140" w:type="dxa"/>
            </w:tcMar>
            <w:tcBorders>
              <w:top w:val="single" w:sz="3" w:color="2F78B7"/>
              <w:left w:val="single" w:sz="18" w:color="2F78B7"/>
              <w:bottom w:val="single" w:sz="3" w:color="2F78B7"/>
              <w:right w:val="single" w:sz="3" w:color="2F78B7"/>
            </w:tcBorders>
          </w:tcPr>
          <w:p>
            <w:pPr>
              <w:spacing w:after="0"/>
            </w:pPr>
            <w:r>
              <w:rPr>
                <w:rFonts w:ascii="Inter" w:hAnsi="Inter" w:eastAsia="Inter"/>
                <w:b/>
                <w:color w:val="1A2D44"/>
                <w:sz w:val="17"/>
              </w:rPr>
              <w:t xml:space="preserve">PURCHASES &amp; PAYABLES STATEMENT  </w:t>
            </w:r>
            <w:r>
              <w:rPr>
                <w:rFonts w:ascii="Inter" w:hAnsi="Inter" w:eastAsia="Inter"/>
                <w:color w:val="1A2D44"/>
                <w:sz w:val="18"/>
              </w:rPr>
              <w:t>Buy with clarity. Recognize the obligation correctly. Receive, pay, adjust, and report through governed ownership and one complete audit chain.</w:t>
            </w:r>
          </w:p>
        </w:tc>
      </w:tr>
    </w:tbl>
    <w:p>
      <w:pPr>
        <w:spacing w:after="0"/>
      </w:pPr>
    </w:p>
    <w:p>
      <w:r>
        <w:br w:type="page"/>
      </w:r>
    </w:p>
    <w:p>
      <w:pPr>
        <w:pStyle w:val="PartTitle"/>
        <w:spacing w:before="900" w:after="80"/>
      </w:pPr>
      <w:r>
        <w:rPr>
          <w:rFonts w:ascii="Inter" w:hAnsi="Inter" w:eastAsia="Inter"/>
          <w:b/>
          <w:color w:val="667485"/>
          <w:sz w:val="20"/>
        </w:rPr>
        <w:t>PART VI</w:t>
      </w:r>
    </w:p>
    <w:p>
      <w:pPr>
        <w:pStyle w:val="PartName"/>
        <w:spacing w:after="120"/>
      </w:pPr>
      <w:r>
        <w:rPr>
          <w:rFonts w:ascii="Inter Display" w:hAnsi="Inter Display" w:eastAsia="Inter Display"/>
          <w:b/>
          <w:color w:val="2F78B7"/>
          <w:sz w:val="50"/>
        </w:rPr>
        <w:t>Appendices</w:t>
      </w:r>
    </w:p>
    <w:p>
      <w:pPr>
        <w:pStyle w:val="PartSubtitle"/>
        <w:spacing w:after="0"/>
      </w:pPr>
      <w:r>
        <w:rPr>
          <w:rFonts w:ascii="Inter" w:hAnsi="Inter" w:eastAsia="Inter"/>
          <w:color w:val="667485"/>
          <w:sz w:val="22"/>
        </w:rPr>
        <w:t>Reference catalogs for ownership, documents, events, requirements, current UI, legacy continuity, and review evidence.</w:t>
      </w:r>
    </w:p>
    <w:p>
      <w:pPr>
        <w:pStyle w:val="Heading1"/>
        <w:keepNext/>
      </w:pPr>
      <w:r>
        <w:rPr>
          <w:rFonts w:ascii="Inter Display" w:hAnsi="Inter Display" w:eastAsia="Inter Display"/>
          <w:b/>
          <w:color w:val="2F78B7"/>
          <w:sz w:val="34"/>
        </w:rPr>
        <w:t>Appendix A — Functional Ownership Matrix</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948"/>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Capability</w:t>
            </w:r>
          </w:p>
        </w:tc>
        <w:tc>
          <w:tcPr>
            <w:tcW w:type="dxa" w:w="2608"/>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Owning MDS</w:t>
            </w:r>
          </w:p>
        </w:tc>
        <w:tc>
          <w:tcPr>
            <w:tcW w:type="dxa" w:w="4649"/>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Approved additional entry points</w:t>
            </w:r>
          </w:p>
        </w:tc>
      </w:tr>
      <w:tr>
        <w:trPr>
          <w:cantSplit/>
        </w:trPr>
        <w:tc>
          <w:tcPr>
            <w:tcW w:type="dxa" w:w="294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New cash or credit purchase</w:t>
            </w:r>
          </w:p>
        </w:tc>
        <w:tc>
          <w:tcPr>
            <w:tcW w:type="dxa" w:w="260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MDS-400</w:t>
            </w:r>
          </w:p>
        </w:tc>
        <w:tc>
          <w:tcPr>
            <w:tcW w:type="dxa" w:w="4649"/>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Dashboard; supplier context; Inventory reorder context; Expenses when linked.</w:t>
            </w:r>
          </w:p>
        </w:tc>
      </w:tr>
      <w:tr>
        <w:trPr>
          <w:cantSplit/>
        </w:trPr>
        <w:tc>
          <w:tcPr>
            <w:tcW w:type="dxa" w:w="294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Purchase Order</w:t>
            </w:r>
          </w:p>
        </w:tc>
        <w:tc>
          <w:tcPr>
            <w:tcW w:type="dxa" w:w="260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MDS-400</w:t>
            </w:r>
          </w:p>
        </w:tc>
        <w:tc>
          <w:tcPr>
            <w:tcW w:type="dxa" w:w="4649"/>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Supplier context; Inventory reorder context; Action Center.</w:t>
            </w:r>
          </w:p>
        </w:tc>
      </w:tr>
      <w:tr>
        <w:trPr>
          <w:cantSplit/>
        </w:trPr>
        <w:tc>
          <w:tcPr>
            <w:tcW w:type="dxa" w:w="294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Receive Items</w:t>
            </w:r>
          </w:p>
        </w:tc>
        <w:tc>
          <w:tcPr>
            <w:tcW w:type="dxa" w:w="260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MDS-400 evidence / MDS-600 stock effect</w:t>
            </w:r>
          </w:p>
        </w:tc>
        <w:tc>
          <w:tcPr>
            <w:tcW w:type="dxa" w:w="4649"/>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Purchases workspace; Inventory workspace; PO detail; Dashboard attention.</w:t>
            </w:r>
          </w:p>
        </w:tc>
      </w:tr>
      <w:tr>
        <w:trPr>
          <w:cantSplit/>
        </w:trPr>
        <w:tc>
          <w:tcPr>
            <w:tcW w:type="dxa" w:w="294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Supplier invoice / payable</w:t>
            </w:r>
          </w:p>
        </w:tc>
        <w:tc>
          <w:tcPr>
            <w:tcW w:type="dxa" w:w="260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MDS-400</w:t>
            </w:r>
          </w:p>
        </w:tc>
        <w:tc>
          <w:tcPr>
            <w:tcW w:type="dxa" w:w="4649"/>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Payments workspace; supplier context; Dashboard; global search.</w:t>
            </w:r>
          </w:p>
        </w:tc>
      </w:tr>
      <w:tr>
        <w:trPr>
          <w:cantSplit/>
        </w:trPr>
        <w:tc>
          <w:tcPr>
            <w:tcW w:type="dxa" w:w="294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Supplier payment</w:t>
            </w:r>
          </w:p>
        </w:tc>
        <w:tc>
          <w:tcPr>
            <w:tcW w:type="dxa" w:w="260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MDS-500</w:t>
            </w:r>
          </w:p>
        </w:tc>
        <w:tc>
          <w:tcPr>
            <w:tcW w:type="dxa" w:w="4649"/>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Purchases workspace; supplier ledger; due-for-payment queue; Dashboard.</w:t>
            </w:r>
          </w:p>
        </w:tc>
      </w:tr>
      <w:tr>
        <w:trPr>
          <w:cantSplit/>
        </w:trPr>
        <w:tc>
          <w:tcPr>
            <w:tcW w:type="dxa" w:w="294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Cash-account movement</w:t>
            </w:r>
          </w:p>
        </w:tc>
        <w:tc>
          <w:tcPr>
            <w:tcW w:type="dxa" w:w="260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MDS-700</w:t>
            </w:r>
          </w:p>
        </w:tc>
        <w:tc>
          <w:tcPr>
            <w:tcW w:type="dxa" w:w="4649"/>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Payments; Purchases paid-now context; Dashboard.</w:t>
            </w:r>
          </w:p>
        </w:tc>
      </w:tr>
      <w:tr>
        <w:trPr>
          <w:cantSplit/>
        </w:trPr>
        <w:tc>
          <w:tcPr>
            <w:tcW w:type="dxa" w:w="294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Expense recognition from purchase</w:t>
            </w:r>
          </w:p>
        </w:tc>
        <w:tc>
          <w:tcPr>
            <w:tcW w:type="dxa" w:w="260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MDS-800</w:t>
            </w:r>
          </w:p>
        </w:tc>
        <w:tc>
          <w:tcPr>
            <w:tcW w:type="dxa" w:w="4649"/>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Purchases entry; supplier invoice; Dashboard; Action Center.</w:t>
            </w:r>
          </w:p>
        </w:tc>
      </w:tr>
      <w:tr>
        <w:trPr>
          <w:cantSplit/>
        </w:trPr>
        <w:tc>
          <w:tcPr>
            <w:tcW w:type="dxa" w:w="294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Supplier ledger</w:t>
            </w:r>
          </w:p>
        </w:tc>
        <w:tc>
          <w:tcPr>
            <w:tcW w:type="dxa" w:w="260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MDS-400 projection</w:t>
            </w:r>
          </w:p>
        </w:tc>
        <w:tc>
          <w:tcPr>
            <w:tcW w:type="dxa" w:w="4649"/>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Purchases workspace; Payments; supplier profile; Dashboard.</w:t>
            </w:r>
          </w:p>
        </w:tc>
      </w:tr>
      <w:tr>
        <w:trPr>
          <w:cantSplit/>
        </w:trPr>
        <w:tc>
          <w:tcPr>
            <w:tcW w:type="dxa" w:w="294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Supplier registry</w:t>
            </w:r>
          </w:p>
        </w:tc>
        <w:tc>
          <w:tcPr>
            <w:tcW w:type="dxa" w:w="260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MDS-1000</w:t>
            </w:r>
          </w:p>
        </w:tc>
        <w:tc>
          <w:tcPr>
            <w:tcW w:type="dxa" w:w="4649"/>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Purchases; Payments; global search; contextual quick create.</w:t>
            </w:r>
          </w:p>
        </w:tc>
      </w:tr>
      <w:tr>
        <w:trPr>
          <w:cantSplit/>
        </w:trPr>
        <w:tc>
          <w:tcPr>
            <w:tcW w:type="dxa" w:w="294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Purchase report</w:t>
            </w:r>
          </w:p>
        </w:tc>
        <w:tc>
          <w:tcPr>
            <w:tcW w:type="dxa" w:w="260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MDS-400 definition / MDS-900 delivery</w:t>
            </w:r>
          </w:p>
        </w:tc>
        <w:tc>
          <w:tcPr>
            <w:tcW w:type="dxa" w:w="4649"/>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Purchases workspace; Reports; Dashboard.</w:t>
            </w:r>
          </w:p>
        </w:tc>
      </w:tr>
    </w:tbl>
    <w:p>
      <w:pPr>
        <w:spacing w:after="0"/>
      </w:pPr>
    </w:p>
    <w:p>
      <w:pPr>
        <w:pStyle w:val="Heading1"/>
        <w:keepNext/>
      </w:pPr>
      <w:r>
        <w:rPr>
          <w:rFonts w:ascii="Inter Display" w:hAnsi="Inter Display" w:eastAsia="Inter Display"/>
          <w:b/>
          <w:color w:val="2F78B7"/>
          <w:sz w:val="34"/>
        </w:rPr>
        <w:t>Appendix B — Document and Status Reference</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1984"/>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Document</w:t>
            </w:r>
          </w:p>
        </w:tc>
        <w:tc>
          <w:tcPr>
            <w:tcW w:type="dxa" w:w="4932"/>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Minimum source links</w:t>
            </w:r>
          </w:p>
        </w:tc>
        <w:tc>
          <w:tcPr>
            <w:tcW w:type="dxa" w:w="3288"/>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Key completion condition</w:t>
            </w:r>
          </w:p>
        </w:tc>
      </w:tr>
      <w:tr>
        <w:trPr>
          <w:cantSplit/>
        </w:trPr>
        <w:tc>
          <w:tcPr>
            <w:tcW w:type="dxa" w:w="198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Purchase</w:t>
            </w:r>
          </w:p>
        </w:tc>
        <w:tc>
          <w:tcPr>
            <w:tcW w:type="dxa" w:w="4932"/>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Supplier; lines; branch; classification; linked order/receipt/invoice/payment.</w:t>
            </w:r>
          </w:p>
        </w:tc>
        <w:tc>
          <w:tcPr>
            <w:tcW w:type="dxa" w:w="328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All required linked effects completed or explicitly closed/cancelled.</w:t>
            </w:r>
          </w:p>
        </w:tc>
      </w:tr>
      <w:tr>
        <w:trPr>
          <w:cantSplit/>
        </w:trPr>
        <w:tc>
          <w:tcPr>
            <w:tcW w:type="dxa" w:w="198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Purchase Order</w:t>
            </w:r>
          </w:p>
        </w:tc>
        <w:tc>
          <w:tcPr>
            <w:tcW w:type="dxa" w:w="4932"/>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Supplier; requested items/services; expected date; terms; approval.</w:t>
            </w:r>
          </w:p>
        </w:tc>
        <w:tc>
          <w:tcPr>
            <w:tcW w:type="dxa" w:w="328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Remaining quantity/amount is zero or order is authorized closed/cancelled.</w:t>
            </w:r>
          </w:p>
        </w:tc>
      </w:tr>
      <w:tr>
        <w:trPr>
          <w:cantSplit/>
        </w:trPr>
        <w:tc>
          <w:tcPr>
            <w:tcW w:type="dxa" w:w="198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Goods Receipt</w:t>
            </w:r>
          </w:p>
        </w:tc>
        <w:tc>
          <w:tcPr>
            <w:tcW w:type="dxa" w:w="4932"/>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PO/direct source; warehouse; lines; accepted/rejected quantities; evidence.</w:t>
            </w:r>
          </w:p>
        </w:tc>
        <w:tc>
          <w:tcPr>
            <w:tcW w:type="dxa" w:w="328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Authoritative MDS-600 movement posted or controlled non-stock confirmation completed.</w:t>
            </w:r>
          </w:p>
        </w:tc>
      </w:tr>
      <w:tr>
        <w:trPr>
          <w:cantSplit/>
        </w:trPr>
        <w:tc>
          <w:tcPr>
            <w:tcW w:type="dxa" w:w="198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Supplier Invoice</w:t>
            </w:r>
          </w:p>
        </w:tc>
        <w:tc>
          <w:tcPr>
            <w:tcW w:type="dxa" w:w="4932"/>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Supplier; external number/date; lines; tax; terms; due date; evidence; match.</w:t>
            </w:r>
          </w:p>
        </w:tc>
        <w:tc>
          <w:tcPr>
            <w:tcW w:type="dxa" w:w="328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Validated and posted or cancelled/reversed.</w:t>
            </w:r>
          </w:p>
        </w:tc>
      </w:tr>
      <w:tr>
        <w:trPr>
          <w:cantSplit/>
        </w:trPr>
        <w:tc>
          <w:tcPr>
            <w:tcW w:type="dxa" w:w="198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Payable Open Item</w:t>
            </w:r>
          </w:p>
        </w:tc>
        <w:tc>
          <w:tcPr>
            <w:tcW w:type="dxa" w:w="4932"/>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Posted supplier invoice/adjustment; due date; currency; outstanding amount.</w:t>
            </w:r>
          </w:p>
        </w:tc>
        <w:tc>
          <w:tcPr>
            <w:tcW w:type="dxa" w:w="328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Outstanding amount is zero or item is validly reversed/closed.</w:t>
            </w:r>
          </w:p>
        </w:tc>
      </w:tr>
      <w:tr>
        <w:trPr>
          <w:cantSplit/>
        </w:trPr>
        <w:tc>
          <w:tcPr>
            <w:tcW w:type="dxa" w:w="198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Purchase Return</w:t>
            </w:r>
          </w:p>
        </w:tc>
        <w:tc>
          <w:tcPr>
            <w:tcW w:type="dxa" w:w="4932"/>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Original receipt/invoice; eligible quantity; reason; destination; evidence.</w:t>
            </w:r>
          </w:p>
        </w:tc>
        <w:tc>
          <w:tcPr>
            <w:tcW w:type="dxa" w:w="328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Stock/expense and supplier credit/replacement/refund disposition completed.</w:t>
            </w:r>
          </w:p>
        </w:tc>
      </w:tr>
      <w:tr>
        <w:trPr>
          <w:cantSplit/>
        </w:trPr>
        <w:tc>
          <w:tcPr>
            <w:tcW w:type="dxa" w:w="198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Supplier Adjustment</w:t>
            </w:r>
          </w:p>
        </w:tc>
        <w:tc>
          <w:tcPr>
            <w:tcW w:type="dxa" w:w="4932"/>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Source; reason; amount; tax; approver; affected open item.</w:t>
            </w:r>
          </w:p>
        </w:tc>
        <w:tc>
          <w:tcPr>
            <w:tcW w:type="dxa" w:w="328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Posted and applied or reversed.</w:t>
            </w:r>
          </w:p>
        </w:tc>
      </w:tr>
      <w:tr>
        <w:trPr>
          <w:cantSplit/>
        </w:trPr>
        <w:tc>
          <w:tcPr>
            <w:tcW w:type="dxa" w:w="198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Payment Handoff</w:t>
            </w:r>
          </w:p>
        </w:tc>
        <w:tc>
          <w:tcPr>
            <w:tcW w:type="dxa" w:w="4932"/>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Eligible open item; requested amount; due date; priority; approval context.</w:t>
            </w:r>
          </w:p>
        </w:tc>
        <w:tc>
          <w:tcPr>
            <w:tcW w:type="dxa" w:w="328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MDS-500 accepts/rejects/executes and returns authoritative result.</w:t>
            </w:r>
          </w:p>
        </w:tc>
      </w:tr>
    </w:tbl>
    <w:p>
      <w:pPr>
        <w:spacing w:after="0"/>
      </w:pPr>
    </w:p>
    <w:p>
      <w:pPr>
        <w:pStyle w:val="Heading1"/>
        <w:keepNext/>
      </w:pPr>
      <w:r>
        <w:rPr>
          <w:rFonts w:ascii="Inter Display" w:hAnsi="Inter Display" w:eastAsia="Inter Display"/>
          <w:b/>
          <w:color w:val="2F78B7"/>
          <w:sz w:val="34"/>
        </w:rPr>
        <w:t>Appendix C — Initial Business Event Catalog</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1474"/>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4"/>
              </w:rPr>
              <w:t>Code</w:t>
            </w:r>
          </w:p>
        </w:tc>
        <w:tc>
          <w:tcPr>
            <w:tcW w:type="dxa" w:w="3515"/>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4"/>
              </w:rPr>
              <w:t>Event</w:t>
            </w:r>
          </w:p>
        </w:tc>
        <w:tc>
          <w:tcPr>
            <w:tcW w:type="dxa" w:w="5216"/>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4"/>
              </w:rPr>
              <w:t>Critical downstream dependency</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EVT-PUR-001</w:t>
            </w:r>
          </w:p>
        </w:tc>
        <w:tc>
          <w:tcPr>
            <w:tcW w:type="dxa" w:w="351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Create Purchase</w:t>
            </w:r>
          </w:p>
        </w:tc>
        <w:tc>
          <w:tcPr>
            <w:tcW w:type="dxa" w:w="521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None until posting.</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EVT-PUR-002</w:t>
            </w:r>
          </w:p>
        </w:tc>
        <w:tc>
          <w:tcPr>
            <w:tcW w:type="dxa" w:w="351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Create PO</w:t>
            </w:r>
          </w:p>
        </w:tc>
        <w:tc>
          <w:tcPr>
            <w:tcW w:type="dxa" w:w="521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Approval/configuration.</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EVT-PUR-003</w:t>
            </w:r>
          </w:p>
        </w:tc>
        <w:tc>
          <w:tcPr>
            <w:tcW w:type="dxa" w:w="351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Submit PO</w:t>
            </w:r>
          </w:p>
        </w:tc>
        <w:tc>
          <w:tcPr>
            <w:tcW w:type="dxa" w:w="521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Action Center/approval.</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EVT-PUR-004</w:t>
            </w:r>
          </w:p>
        </w:tc>
        <w:tc>
          <w:tcPr>
            <w:tcW w:type="dxa" w:w="351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Approve PO</w:t>
            </w:r>
          </w:p>
        </w:tc>
        <w:tc>
          <w:tcPr>
            <w:tcW w:type="dxa" w:w="521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Procurement authorization.</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EVT-PUR-005</w:t>
            </w:r>
          </w:p>
        </w:tc>
        <w:tc>
          <w:tcPr>
            <w:tcW w:type="dxa" w:w="351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Amend/Reopen PO</w:t>
            </w:r>
          </w:p>
        </w:tc>
        <w:tc>
          <w:tcPr>
            <w:tcW w:type="dxa" w:w="521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Version and remaining quantity.</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EVT-PUR-006</w:t>
            </w:r>
          </w:p>
        </w:tc>
        <w:tc>
          <w:tcPr>
            <w:tcW w:type="dxa" w:w="351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Close/Cancel PO</w:t>
            </w:r>
          </w:p>
        </w:tc>
        <w:tc>
          <w:tcPr>
            <w:tcW w:type="dxa" w:w="521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Open receipt/invoice validation.</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EVT-PUR-007</w:t>
            </w:r>
          </w:p>
        </w:tc>
        <w:tc>
          <w:tcPr>
            <w:tcW w:type="dxa" w:w="351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Record Goods Receipt</w:t>
            </w:r>
          </w:p>
        </w:tc>
        <w:tc>
          <w:tcPr>
            <w:tcW w:type="dxa" w:w="521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MDS-600 stock receipt.</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EVT-PUR-008</w:t>
            </w:r>
          </w:p>
        </w:tc>
        <w:tc>
          <w:tcPr>
            <w:tcW w:type="dxa" w:w="351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Reverse Goods Receipt</w:t>
            </w:r>
          </w:p>
        </w:tc>
        <w:tc>
          <w:tcPr>
            <w:tcW w:type="dxa" w:w="521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MDS-600 stock reversal.</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EVT-PUR-009</w:t>
            </w:r>
          </w:p>
        </w:tc>
        <w:tc>
          <w:tcPr>
            <w:tcW w:type="dxa" w:w="351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Record Supplier Invoice</w:t>
            </w:r>
          </w:p>
        </w:tc>
        <w:tc>
          <w:tcPr>
            <w:tcW w:type="dxa" w:w="521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Matching, tax, evidence.</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EVT-PUR-010</w:t>
            </w:r>
          </w:p>
        </w:tc>
        <w:tc>
          <w:tcPr>
            <w:tcW w:type="dxa" w:w="351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Match Supplier Invoice</w:t>
            </w:r>
          </w:p>
        </w:tc>
        <w:tc>
          <w:tcPr>
            <w:tcW w:type="dxa" w:w="521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PO/GR/tolerance.</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EVT-PUR-011</w:t>
            </w:r>
          </w:p>
        </w:tc>
        <w:tc>
          <w:tcPr>
            <w:tcW w:type="dxa" w:w="351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Post Supplier Payable</w:t>
            </w:r>
          </w:p>
        </w:tc>
        <w:tc>
          <w:tcPr>
            <w:tcW w:type="dxa" w:w="521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MDS-800/MDS-600/accounting.</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EVT-PUR-012</w:t>
            </w:r>
          </w:p>
        </w:tc>
        <w:tc>
          <w:tcPr>
            <w:tcW w:type="dxa" w:w="351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Record Purchase Return</w:t>
            </w:r>
          </w:p>
        </w:tc>
        <w:tc>
          <w:tcPr>
            <w:tcW w:type="dxa" w:w="521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MDS-600 and supplier credit.</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EVT-PUR-013</w:t>
            </w:r>
          </w:p>
        </w:tc>
        <w:tc>
          <w:tcPr>
            <w:tcW w:type="dxa" w:w="351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Post Supplier Debit Adjustment</w:t>
            </w:r>
          </w:p>
        </w:tc>
        <w:tc>
          <w:tcPr>
            <w:tcW w:type="dxa" w:w="521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Payable reduction/credit.</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EVT-PUR-014</w:t>
            </w:r>
          </w:p>
        </w:tc>
        <w:tc>
          <w:tcPr>
            <w:tcW w:type="dxa" w:w="351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Post Supplier Credit Adjustment</w:t>
            </w:r>
          </w:p>
        </w:tc>
        <w:tc>
          <w:tcPr>
            <w:tcW w:type="dxa" w:w="521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Payable increase.</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EVT-PUR-015</w:t>
            </w:r>
          </w:p>
        </w:tc>
        <w:tc>
          <w:tcPr>
            <w:tcW w:type="dxa" w:w="351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Hold/Dispute Payable</w:t>
            </w:r>
          </w:p>
        </w:tc>
        <w:tc>
          <w:tcPr>
            <w:tcW w:type="dxa" w:w="521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Payment eligibility.</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EVT-PUR-016</w:t>
            </w:r>
          </w:p>
        </w:tc>
        <w:tc>
          <w:tcPr>
            <w:tcW w:type="dxa" w:w="351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Release/Resolve Hold</w:t>
            </w:r>
          </w:p>
        </w:tc>
        <w:tc>
          <w:tcPr>
            <w:tcW w:type="dxa" w:w="521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Payment readiness.</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EVT-PUR-017</w:t>
            </w:r>
          </w:p>
        </w:tc>
        <w:tc>
          <w:tcPr>
            <w:tcW w:type="dxa" w:w="351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Request/Schedule Payment</w:t>
            </w:r>
          </w:p>
        </w:tc>
        <w:tc>
          <w:tcPr>
            <w:tcW w:type="dxa" w:w="521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MDS-500 handoff.</w:t>
            </w:r>
          </w:p>
        </w:tc>
      </w:tr>
      <w:tr>
        <w:trPr>
          <w:cantSplit/>
        </w:trPr>
        <w:tc>
          <w:tcPr>
            <w:tcW w:type="dxa" w:w="1474"/>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EVT-PUR-018</w:t>
            </w:r>
          </w:p>
        </w:tc>
        <w:tc>
          <w:tcPr>
            <w:tcW w:type="dxa" w:w="351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Cancel/Reverse Supplier Invoice</w:t>
            </w:r>
          </w:p>
        </w:tc>
        <w:tc>
          <w:tcPr>
            <w:tcW w:type="dxa" w:w="5216"/>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All downstream reversals.</w:t>
            </w:r>
          </w:p>
        </w:tc>
      </w:tr>
      <w:tr>
        <w:trPr>
          <w:cantSplit/>
        </w:trPr>
        <w:tc>
          <w:tcPr>
            <w:tcW w:type="dxa" w:w="1474"/>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4"/>
              </w:rPr>
              <w:t>EVT-PUR-019</w:t>
            </w:r>
          </w:p>
        </w:tc>
        <w:tc>
          <w:tcPr>
            <w:tcW w:type="dxa" w:w="351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Close Purchase</w:t>
            </w:r>
          </w:p>
        </w:tc>
        <w:tc>
          <w:tcPr>
            <w:tcW w:type="dxa" w:w="5216"/>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4"/>
              </w:rPr>
              <w:t>Completion conditions.</w:t>
            </w:r>
          </w:p>
        </w:tc>
      </w:tr>
    </w:tbl>
    <w:p>
      <w:pPr>
        <w:spacing w:after="0"/>
      </w:pPr>
    </w:p>
    <w:p>
      <w:pPr>
        <w:pStyle w:val="Heading1"/>
        <w:keepNext/>
      </w:pPr>
      <w:r>
        <w:rPr>
          <w:rFonts w:ascii="Inter Display" w:hAnsi="Inter Display" w:eastAsia="Inter Display"/>
          <w:b/>
          <w:color w:val="2F78B7"/>
          <w:sz w:val="34"/>
        </w:rPr>
        <w:t>Appendix D — Requirement-to-Evidence Matrix</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2438"/>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MDS area</w:t>
            </w:r>
          </w:p>
        </w:tc>
        <w:tc>
          <w:tcPr>
            <w:tcW w:type="dxa" w:w="7767"/>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Required downstream evidence</w:t>
            </w:r>
          </w:p>
        </w:tc>
      </w:tr>
      <w:tr>
        <w:trPr>
          <w:cantSplit/>
        </w:trPr>
        <w:tc>
          <w:tcPr>
            <w:tcW w:type="dxa" w:w="243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Purchase entry</w:t>
            </w:r>
          </w:p>
        </w:tc>
        <w:tc>
          <w:tcPr>
            <w:tcW w:type="dxa" w:w="776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WF/SCR for cash and credit purchase; line classification; totals; tax; attachments; paid-now handoff; validation and recovery tests.</w:t>
            </w:r>
          </w:p>
        </w:tc>
      </w:tr>
      <w:tr>
        <w:trPr>
          <w:cantSplit/>
        </w:trPr>
        <w:tc>
          <w:tcPr>
            <w:tcW w:type="dxa" w:w="243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Purchase Orders</w:t>
            </w:r>
          </w:p>
        </w:tc>
        <w:tc>
          <w:tcPr>
            <w:tcW w:type="dxa" w:w="776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Document lifecycle, approval, amendment, close/cancel, remaining quantity/amount, print/export, and concurrency tests.</w:t>
            </w:r>
          </w:p>
        </w:tc>
      </w:tr>
      <w:tr>
        <w:trPr>
          <w:cantSplit/>
        </w:trPr>
        <w:tc>
          <w:tcPr>
            <w:tcW w:type="dxa" w:w="243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Receiving</w:t>
            </w:r>
          </w:p>
        </w:tc>
        <w:tc>
          <w:tcPr>
            <w:tcW w:type="dxa" w:w="776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Eligible source, partial/over/short/damaged receipt, warehouse, MDS-600 contract, reversal, and duplicate-prevention tests.</w:t>
            </w:r>
          </w:p>
        </w:tc>
      </w:tr>
      <w:tr>
        <w:trPr>
          <w:cantSplit/>
        </w:trPr>
        <w:tc>
          <w:tcPr>
            <w:tcW w:type="dxa" w:w="243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Supplier invoices</w:t>
            </w:r>
          </w:p>
        </w:tc>
        <w:tc>
          <w:tcPr>
            <w:tcW w:type="dxa" w:w="776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External-reference preservation, duplicate detection, tax/terms, matching, posting, evidence, and reversal tests.</w:t>
            </w:r>
          </w:p>
        </w:tc>
      </w:tr>
      <w:tr>
        <w:trPr>
          <w:cantSplit/>
        </w:trPr>
        <w:tc>
          <w:tcPr>
            <w:tcW w:type="dxa" w:w="243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Payables</w:t>
            </w:r>
          </w:p>
        </w:tc>
        <w:tc>
          <w:tcPr>
            <w:tcW w:type="dxa" w:w="776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Open-item schema, due date, aging, holds/disputes, supplier ledger, MDS-500 allocation, and reconciliation tests.</w:t>
            </w:r>
          </w:p>
        </w:tc>
      </w:tr>
      <w:tr>
        <w:trPr>
          <w:cantSplit/>
        </w:trPr>
        <w:tc>
          <w:tcPr>
            <w:tcW w:type="dxa" w:w="243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Returns/adjustments</w:t>
            </w:r>
          </w:p>
        </w:tc>
        <w:tc>
          <w:tcPr>
            <w:tcW w:type="dxa" w:w="776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Source eligibility, quantity/amount limits, debit/credit semantics, tax, approvals, downstream effects, and reversal tests.</w:t>
            </w:r>
          </w:p>
        </w:tc>
      </w:tr>
      <w:tr>
        <w:trPr>
          <w:cantSplit/>
        </w:trPr>
        <w:tc>
          <w:tcPr>
            <w:tcW w:type="dxa" w:w="2438"/>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Security/privacy</w:t>
            </w:r>
          </w:p>
        </w:tc>
        <w:tc>
          <w:tcPr>
            <w:tcW w:type="dxa" w:w="7767"/>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Access matrix, segregation, supplier bank/tax data, attachments, export/print/share, audit, and penetration tests.</w:t>
            </w:r>
          </w:p>
        </w:tc>
      </w:tr>
      <w:tr>
        <w:trPr>
          <w:cantSplit/>
        </w:trPr>
        <w:tc>
          <w:tcPr>
            <w:tcW w:type="dxa" w:w="2438"/>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Edition and AI behavior</w:t>
            </w:r>
          </w:p>
        </w:tc>
        <w:tc>
          <w:tcPr>
            <w:tcW w:type="dxa" w:w="7767"/>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Entitlement keys, locked state/API enforcement, AI human control, audit, uncertainty, and non-AI fallback tests.</w:t>
            </w:r>
          </w:p>
        </w:tc>
      </w:tr>
    </w:tbl>
    <w:p>
      <w:pPr>
        <w:spacing w:after="0"/>
      </w:pPr>
    </w:p>
    <w:p>
      <w:pPr>
        <w:pStyle w:val="Heading1"/>
        <w:keepNext/>
      </w:pPr>
      <w:r>
        <w:rPr>
          <w:rFonts w:ascii="Inter Display" w:hAnsi="Inter Display" w:eastAsia="Inter Display"/>
          <w:b/>
          <w:color w:val="2F78B7"/>
          <w:sz w:val="34"/>
        </w:rPr>
        <w:t>Appendix E — Current UI Baseline</w:t>
      </w:r>
    </w:p>
    <w:p>
      <w:pPr>
        <w:pStyle w:val="ListBullet"/>
        <w:keepLines/>
      </w:pPr>
      <w:r>
        <w:rPr>
          <w:rFonts w:ascii="Inter" w:hAnsi="Inter" w:eastAsia="Inter"/>
        </w:rPr>
        <w:t>Official workspace name: Purchases &amp; Payables.</w:t>
      </w:r>
    </w:p>
    <w:p>
      <w:pPr>
        <w:pStyle w:val="ListBullet"/>
        <w:keepLines/>
      </w:pPr>
      <w:r>
        <w:rPr>
          <w:rFonts w:ascii="Inter" w:hAnsi="Inter" w:eastAsia="Inter"/>
        </w:rPr>
        <w:t>Landing-page title: Purchase Management.</w:t>
      </w:r>
    </w:p>
    <w:p>
      <w:pPr>
        <w:pStyle w:val="ListBullet"/>
        <w:keepLines/>
      </w:pPr>
      <w:r>
        <w:rPr>
          <w:rFonts w:ascii="Inter" w:hAnsi="Inter" w:eastAsia="Inter"/>
        </w:rPr>
        <w:t>Purpose statement: Buy goods and services, receive items, track what you owe, and manage suppliers.</w:t>
      </w:r>
    </w:p>
    <w:p>
      <w:pPr>
        <w:pStyle w:val="ListBullet"/>
        <w:keepLines/>
      </w:pPr>
      <w:r>
        <w:rPr>
          <w:rFonts w:ascii="Inter" w:hAnsi="Inter" w:eastAsia="Inter"/>
        </w:rPr>
        <w:t>Prominent actions: New Purchase, Receive Items, and Add Supplier.</w:t>
      </w:r>
    </w:p>
    <w:p>
      <w:pPr>
        <w:pStyle w:val="ListBullet"/>
        <w:keepLines/>
      </w:pPr>
      <w:r>
        <w:rPr>
          <w:rFonts w:ascii="Inter" w:hAnsi="Inter" w:eastAsia="Inter"/>
        </w:rPr>
        <w:t>Summary may show Purchases This Month, Amount to Pay, Due Soon, Overdue, or approved equivalents.</w:t>
      </w:r>
    </w:p>
    <w:p>
      <w:pPr>
        <w:pStyle w:val="ListBullet"/>
        <w:keepLines/>
      </w:pPr>
      <w:r>
        <w:rPr>
          <w:rFonts w:ascii="Inter" w:hAnsi="Inter" w:eastAsia="Inter"/>
        </w:rPr>
        <w:t>Needs Attention, Purchase History, Payments Due, and Recent Activity use reusable Core patterns.</w:t>
      </w:r>
    </w:p>
    <w:p>
      <w:pPr>
        <w:pStyle w:val="ListBullet"/>
        <w:keepLines/>
      </w:pPr>
      <w:r>
        <w:rPr>
          <w:rFonts w:ascii="Inter" w:hAnsi="Inter" w:eastAsia="Inter"/>
        </w:rPr>
        <w:t>Supporting destinations may include Suppliers, Purchase Orders, Receiving History, Supplier Balances, Debit/Credit Adjustments, Purchase Reports, and More.</w:t>
      </w:r>
    </w:p>
    <w:p>
      <w:pPr>
        <w:pStyle w:val="ListBullet"/>
        <w:keepLines/>
      </w:pPr>
      <w:r>
        <w:rPr>
          <w:rFonts w:ascii="Inter" w:hAnsi="Inter" w:eastAsia="Inter"/>
        </w:rPr>
        <w:t>Payments Due may route into MDS-500 while retaining MDS-400 source obligation context.</w:t>
      </w:r>
    </w:p>
    <w:p>
      <w:pPr>
        <w:pStyle w:val="ListBullet"/>
        <w:keepLines/>
      </w:pPr>
      <w:r>
        <w:rPr>
          <w:rFonts w:ascii="Inter" w:hAnsi="Inter" w:eastAsia="Inter"/>
        </w:rPr>
        <w:t>Exact card placement, iconography, spacing, breakpoints, and screen interactions remain governed by UID/WF/UI/SCR artifacts.</w:t>
      </w:r>
    </w:p>
    <w:tbl>
      <w:tblPr>
        <w:tblW w:type="auto" w:w="0"/>
        <w:jc w:val="center"/>
        <w:tblLayout w:type="fixed"/>
        <w:tblLook w:firstColumn="1" w:firstRow="1" w:lastColumn="0" w:lastRow="0" w:noHBand="0" w:noVBand="1" w:val="04A0"/>
      </w:tblPr>
      <w:tblGrid>
        <w:gridCol w:w="10262"/>
      </w:tblGrid>
      <w:tr>
        <w:trPr>
          <w:cantSplit/>
        </w:trPr>
        <w:tc>
          <w:tcPr>
            <w:tcW w:type="dxa" w:w="10205"/>
            <w:shd w:fill="E7F0F8"/>
            <w:tcMar>
              <w:top w:w="110" w:type="dxa"/>
              <w:start w:w="140" w:type="dxa"/>
              <w:bottom w:w="110" w:type="dxa"/>
              <w:end w:w="140" w:type="dxa"/>
            </w:tcMar>
            <w:tcBorders>
              <w:top w:val="single" w:sz="3" w:color="2F78B7"/>
              <w:left w:val="single" w:sz="18" w:color="2F78B7"/>
              <w:bottom w:val="single" w:sz="3" w:color="2F78B7"/>
              <w:right w:val="single" w:sz="3" w:color="2F78B7"/>
            </w:tcBorders>
          </w:tcPr>
          <w:p>
            <w:pPr>
              <w:spacing w:after="0"/>
            </w:pPr>
            <w:r>
              <w:rPr>
                <w:rFonts w:ascii="Inter" w:hAnsi="Inter" w:eastAsia="Inter"/>
                <w:b/>
                <w:color w:val="1A2D44"/>
                <w:sz w:val="17"/>
              </w:rPr>
              <w:t xml:space="preserve">UI TRACEABILITY RULE  </w:t>
            </w:r>
            <w:r>
              <w:rPr>
                <w:rFonts w:ascii="Inter" w:hAnsi="Inter" w:eastAsia="Inter"/>
                <w:color w:val="1A2D44"/>
                <w:sz w:val="18"/>
              </w:rPr>
              <w:t>Every prominent action, summary, supporting destination, alert, and ledger shall map to an owning MDS capability, authorized entry point, source record, status, permission, and acceptance test.</w:t>
            </w:r>
          </w:p>
        </w:tc>
      </w:tr>
    </w:tbl>
    <w:p>
      <w:pPr>
        <w:spacing w:after="0"/>
      </w:pPr>
    </w:p>
    <w:p>
      <w:pPr>
        <w:pStyle w:val="Heading1"/>
        <w:keepNext/>
      </w:pPr>
      <w:r>
        <w:rPr>
          <w:rFonts w:ascii="Inter Display" w:hAnsi="Inter Display" w:eastAsia="Inter Display"/>
          <w:b/>
          <w:color w:val="2F78B7"/>
          <w:sz w:val="34"/>
        </w:rPr>
        <w:t>Appendix F — Legacy Functional Continuity</w:t>
      </w:r>
    </w:p>
    <w:p>
      <w:r>
        <w:rPr>
          <w:rFonts w:ascii="Inter" w:hAnsi="Inter" w:eastAsia="Inter"/>
        </w:rPr>
        <w:t>The legacy SimpleBIZ SME Tools screens are historical functional evidence. They demonstrate enduring SME concepts but do not govern the modern web architecture or visual design.</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2835"/>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Legacy capability</w:t>
            </w:r>
          </w:p>
        </w:tc>
        <w:tc>
          <w:tcPr>
            <w:tcW w:type="dxa" w:w="7370"/>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Modern disposition</w:t>
            </w:r>
          </w:p>
        </w:tc>
      </w:tr>
      <w:tr>
        <w:trPr>
          <w:cantSplit/>
        </w:trPr>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Purchase Order</w:t>
            </w:r>
          </w:p>
        </w:tc>
        <w:tc>
          <w:tcPr>
            <w:tcW w:type="dxa" w:w="737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MDS-400 governed order commitment, approval, remaining quantities, receipt/invoice links, and close/cancel controls.</w:t>
            </w:r>
          </w:p>
        </w:tc>
      </w:tr>
      <w:tr>
        <w:trPr>
          <w:cantSplit/>
        </w:trPr>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Cash Purchase / Credit Purchase</w:t>
            </w:r>
          </w:p>
        </w:tc>
        <w:tc>
          <w:tcPr>
            <w:tcW w:type="dxa" w:w="737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Unified New Purchase journey with distinct purchase, payable, payment, stock, cash, expense, and audit ownership.</w:t>
            </w:r>
          </w:p>
        </w:tc>
      </w:tr>
      <w:tr>
        <w:trPr>
          <w:cantSplit/>
        </w:trPr>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Supplier Invoice / Payables</w:t>
            </w:r>
          </w:p>
        </w:tc>
        <w:tc>
          <w:tcPr>
            <w:tcW w:type="dxa" w:w="737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MDS-400 supplier invoice, open item, due date, aging, hold/dispute, and supplier ledger.</w:t>
            </w:r>
          </w:p>
        </w:tc>
      </w:tr>
      <w:tr>
        <w:trPr>
          <w:cantSplit/>
        </w:trPr>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Supplier Payment</w:t>
            </w:r>
          </w:p>
        </w:tc>
        <w:tc>
          <w:tcPr>
            <w:tcW w:type="dxa" w:w="737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Removed from purchase ownership; MDS-500 executes outgoing payment and allocation, with MDS-700 cash effect.</w:t>
            </w:r>
          </w:p>
        </w:tc>
      </w:tr>
      <w:tr>
        <w:trPr>
          <w:cantSplit/>
        </w:trPr>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Goods Receipt</w:t>
            </w:r>
          </w:p>
        </w:tc>
        <w:tc>
          <w:tcPr>
            <w:tcW w:type="dxa" w:w="737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MDS-400 receiving evidence integrated with authoritative MDS-600 stock movement.</w:t>
            </w:r>
          </w:p>
        </w:tc>
      </w:tr>
      <w:tr>
        <w:trPr>
          <w:cantSplit/>
        </w:trPr>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Purchase Return</w:t>
            </w:r>
          </w:p>
        </w:tc>
        <w:tc>
          <w:tcPr>
            <w:tcW w:type="dxa" w:w="737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MDS-400 return and supplier credit chain integrated with MDS-600 and payment/refund owners.</w:t>
            </w:r>
          </w:p>
        </w:tc>
      </w:tr>
      <w:tr>
        <w:trPr>
          <w:cantSplit/>
        </w:trPr>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Supplier Ledger</w:t>
            </w:r>
          </w:p>
        </w:tc>
        <w:tc>
          <w:tcPr>
            <w:tcW w:type="dxa" w:w="737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Governed projection of MDS-400 obligations/adjustments plus MDS-500 payment applications.</w:t>
            </w:r>
          </w:p>
        </w:tc>
      </w:tr>
      <w:tr>
        <w:trPr>
          <w:cantSplit/>
        </w:trPr>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Debit/Credit Adjustments</w:t>
            </w:r>
          </w:p>
        </w:tc>
        <w:tc>
          <w:tcPr>
            <w:tcW w:type="dxa" w:w="737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Explicit Supplier Debit Adjustment and Supplier Credit Adjustment with plain-language effect and controlled posting.</w:t>
            </w:r>
          </w:p>
        </w:tc>
      </w:tr>
      <w:tr>
        <w:trPr>
          <w:cantSplit/>
        </w:trPr>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Due for Payment Reports</w:t>
            </w:r>
          </w:p>
        </w:tc>
        <w:tc>
          <w:tcPr>
            <w:tcW w:type="dxa" w:w="737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MDS-400 obligation/due readiness plus MDS-500 payment preparation and execution.</w:t>
            </w:r>
          </w:p>
        </w:tc>
      </w:tr>
      <w:tr>
        <w:trPr>
          <w:cantSplit/>
        </w:trPr>
        <w:tc>
          <w:tcPr>
            <w:tcW w:type="dxa" w:w="2835"/>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Fixed report buttons</w:t>
            </w:r>
          </w:p>
        </w:tc>
        <w:tc>
          <w:tcPr>
            <w:tcW w:type="dxa" w:w="7370"/>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Module-owned report definitions with MDS-900 centralized viewing, filtering, export, and analytics.</w:t>
            </w:r>
          </w:p>
        </w:tc>
      </w:tr>
      <w:tr>
        <w:trPr>
          <w:cantSplit/>
        </w:trPr>
        <w:tc>
          <w:tcPr>
            <w:tcW w:type="dxa" w:w="2835"/>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Desktop single-entry navigation</w:t>
            </w:r>
          </w:p>
        </w:tc>
        <w:tc>
          <w:tcPr>
            <w:tcW w:type="dxa" w:w="7370"/>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Responsive workspaces, global navigation, Dashboard, Action Center, and Multiple UI Entry Points.</w:t>
            </w:r>
          </w:p>
        </w:tc>
      </w:tr>
    </w:tbl>
    <w:p>
      <w:pPr>
        <w:spacing w:after="0"/>
      </w:pPr>
    </w:p>
    <w:tbl>
      <w:tblPr>
        <w:tblW w:type="auto" w:w="0"/>
        <w:jc w:val="center"/>
        <w:tblLayout w:type="fixed"/>
        <w:tblLook w:firstColumn="1" w:firstRow="1" w:lastColumn="0" w:lastRow="0" w:noHBand="0" w:noVBand="1" w:val="04A0"/>
      </w:tblPr>
      <w:tblGrid>
        <w:gridCol w:w="10262"/>
      </w:tblGrid>
      <w:tr>
        <w:trPr>
          <w:cantSplit/>
        </w:trPr>
        <w:tc>
          <w:tcPr>
            <w:tcW w:type="dxa" w:w="10205"/>
            <w:shd w:fill="E7F0F8"/>
            <w:tcMar>
              <w:top w:w="110" w:type="dxa"/>
              <w:start w:w="140" w:type="dxa"/>
              <w:bottom w:w="110" w:type="dxa"/>
              <w:end w:w="140" w:type="dxa"/>
            </w:tcMar>
            <w:tcBorders>
              <w:top w:val="single" w:sz="3" w:color="2F78B7"/>
              <w:left w:val="single" w:sz="18" w:color="2F78B7"/>
              <w:bottom w:val="single" w:sz="3" w:color="2F78B7"/>
              <w:right w:val="single" w:sz="3" w:color="2F78B7"/>
            </w:tcBorders>
          </w:tcPr>
          <w:p>
            <w:pPr>
              <w:spacing w:after="0"/>
            </w:pPr>
            <w:r>
              <w:rPr>
                <w:rFonts w:ascii="Inter" w:hAnsi="Inter" w:eastAsia="Inter"/>
                <w:b/>
                <w:color w:val="1A2D44"/>
                <w:sz w:val="17"/>
              </w:rPr>
              <w:t xml:space="preserve">CONTINUITY PRINCIPLE  </w:t>
            </w:r>
            <w:r>
              <w:rPr>
                <w:rFonts w:ascii="Inter" w:hAnsi="Inter" w:eastAsia="Inter"/>
                <w:color w:val="1A2D44"/>
                <w:sz w:val="18"/>
              </w:rPr>
              <w:t>Preserve the business lesson; redesign the interface, architecture, controls, and integration for the modern SimpleBIZ One platform.</w:t>
            </w:r>
          </w:p>
        </w:tc>
      </w:tr>
    </w:tbl>
    <w:p>
      <w:pPr>
        <w:spacing w:after="0"/>
      </w:pPr>
    </w:p>
    <w:p>
      <w:pPr>
        <w:pStyle w:val="Heading1"/>
        <w:keepNext/>
      </w:pPr>
      <w:r>
        <w:rPr>
          <w:rFonts w:ascii="Inter Display" w:hAnsi="Inter Display" w:eastAsia="Inter Display"/>
          <w:b/>
          <w:color w:val="2F78B7"/>
          <w:sz w:val="34"/>
        </w:rPr>
        <w:t>Appendix G — Review Checklist</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3402"/>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Review question</w:t>
            </w:r>
          </w:p>
        </w:tc>
        <w:tc>
          <w:tcPr>
            <w:tcW w:type="dxa" w:w="6803"/>
            <w:shd w:fill="E7F0F8"/>
            <w:tcMar>
              <w:top w:w="80" w:type="dxa"/>
              <w:start w:w="90" w:type="dxa"/>
              <w:bottom w:w="80" w:type="dxa"/>
              <w:end w:w="90" w:type="dxa"/>
            </w:tcMar>
            <w:tcBorders>
              <w:top w:val="single" w:sz="4" w:color="B9C8D5"/>
              <w:left w:val="single" w:sz="4" w:color="B9C8D5"/>
              <w:bottom w:val="single" w:sz="4" w:color="B9C8D5"/>
              <w:right w:val="single" w:sz="4" w:color="B9C8D5"/>
            </w:tcBorders>
            <w:vAlign w:val="center"/>
          </w:tcPr>
          <w:p>
            <w:pPr>
              <w:spacing w:after="0"/>
            </w:pPr>
            <w:r>
              <w:rPr>
                <w:rFonts w:ascii="Inter" w:hAnsi="Inter" w:eastAsia="Inter"/>
                <w:b/>
                <w:color w:val="1A2D44"/>
                <w:sz w:val="15"/>
              </w:rPr>
              <w:t>Expected evidence</w:t>
            </w:r>
          </w:p>
        </w:tc>
      </w:tr>
      <w:tr>
        <w:trPr>
          <w:cantSplit/>
        </w:trPr>
        <w:tc>
          <w:tcPr>
            <w:tcW w:type="dxa" w:w="3402"/>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Is the purchase obligation recorded once?</w:t>
            </w:r>
          </w:p>
        </w:tc>
        <w:tc>
          <w:tcPr>
            <w:tcW w:type="dxa" w:w="680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One authoritative supplier invoice/open item with source, due date, totals, status, and duplicate protection.</w:t>
            </w:r>
          </w:p>
        </w:tc>
      </w:tr>
      <w:tr>
        <w:trPr>
          <w:cantSplit/>
        </w:trPr>
        <w:tc>
          <w:tcPr>
            <w:tcW w:type="dxa" w:w="3402"/>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Is payment ownership clear?</w:t>
            </w:r>
          </w:p>
        </w:tc>
        <w:tc>
          <w:tcPr>
            <w:tcW w:type="dxa" w:w="680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MDS-400 obligation and payment readiness; MDS-500 execution/allocation; MDS-700 cash effect; no competing payment record.</w:t>
            </w:r>
          </w:p>
        </w:tc>
      </w:tr>
      <w:tr>
        <w:trPr>
          <w:cantSplit/>
        </w:trPr>
        <w:tc>
          <w:tcPr>
            <w:tcW w:type="dxa" w:w="3402"/>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Are ordered, received, invoiced, due, and paid amounts distinct?</w:t>
            </w:r>
          </w:p>
        </w:tc>
        <w:tc>
          <w:tcPr>
            <w:tcW w:type="dxa" w:w="680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Separate fields/statuses with reconciled links and no silent equivalence.</w:t>
            </w:r>
          </w:p>
        </w:tc>
      </w:tr>
      <w:tr>
        <w:trPr>
          <w:cantSplit/>
        </w:trPr>
        <w:tc>
          <w:tcPr>
            <w:tcW w:type="dxa" w:w="3402"/>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Can the supplier balance be explained?</w:t>
            </w:r>
          </w:p>
        </w:tc>
        <w:tc>
          <w:tcPr>
            <w:tcW w:type="dxa" w:w="680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Posted invoices + credit adjustments − debit adjustments − valid payment applications − applied credits.</w:t>
            </w:r>
          </w:p>
        </w:tc>
      </w:tr>
      <w:tr>
        <w:trPr>
          <w:cantSplit/>
        </w:trPr>
        <w:tc>
          <w:tcPr>
            <w:tcW w:type="dxa" w:w="3402"/>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Are inventory and expense effects owned correctly?</w:t>
            </w:r>
          </w:p>
        </w:tc>
        <w:tc>
          <w:tcPr>
            <w:tcW w:type="dxa" w:w="680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MDS-600 stock movement; MDS-800 expense recognition; MDS-400 source purchase/payable.</w:t>
            </w:r>
          </w:p>
        </w:tc>
      </w:tr>
      <w:tr>
        <w:trPr>
          <w:cantSplit/>
        </w:trPr>
        <w:tc>
          <w:tcPr>
            <w:tcW w:type="dxa" w:w="3402"/>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Are duplicate and match risks controlled?</w:t>
            </w:r>
          </w:p>
        </w:tc>
        <w:tc>
          <w:tcPr>
            <w:tcW w:type="dxa" w:w="680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Supplier/external invoice checks, idempotency, tolerances, exception queue, approval, and audit.</w:t>
            </w:r>
          </w:p>
        </w:tc>
      </w:tr>
      <w:tr>
        <w:trPr>
          <w:cantSplit/>
        </w:trPr>
        <w:tc>
          <w:tcPr>
            <w:tcW w:type="dxa" w:w="3402"/>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Are corrections controlled?</w:t>
            </w:r>
          </w:p>
        </w:tc>
        <w:tc>
          <w:tcPr>
            <w:tcW w:type="dxa" w:w="680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Source link, reason, permission/approval, audit, effective date, downstream reversal, and no silent edit.</w:t>
            </w:r>
          </w:p>
        </w:tc>
      </w:tr>
      <w:tr>
        <w:trPr>
          <w:cantSplit/>
        </w:trPr>
        <w:tc>
          <w:tcPr>
            <w:tcW w:type="dxa" w:w="3402"/>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Does the current workspace remain simple?</w:t>
            </w:r>
          </w:p>
        </w:tc>
        <w:tc>
          <w:tcPr>
            <w:tcW w:type="dxa" w:w="680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New Purchase, Receive Items, Add Supplier, clear summaries, supporting destinations, and progressive disclosure.</w:t>
            </w:r>
          </w:p>
        </w:tc>
      </w:tr>
      <w:tr>
        <w:trPr>
          <w:cantSplit/>
        </w:trPr>
        <w:tc>
          <w:tcPr>
            <w:tcW w:type="dxa" w:w="3402"/>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Are edition and AI controls safe?</w:t>
            </w:r>
          </w:p>
        </w:tc>
        <w:tc>
          <w:tcPr>
            <w:tcW w:type="dxa" w:w="6803"/>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Server-side entitlement, human authority, traceable suggestion, non-AI fallback, and no fabricated evidence.</w:t>
            </w:r>
          </w:p>
        </w:tc>
      </w:tr>
      <w:tr>
        <w:trPr>
          <w:cantSplit/>
        </w:trPr>
        <w:tc>
          <w:tcPr>
            <w:tcW w:type="dxa" w:w="3402"/>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color w:val="1A2D44"/>
                <w:sz w:val="15"/>
              </w:rPr>
              <w:t>Can implementation be accepted?</w:t>
            </w:r>
          </w:p>
        </w:tc>
        <w:tc>
          <w:tcPr>
            <w:tcW w:type="dxa" w:w="6803"/>
            <w:shd w:fill="FAFCFE"/>
            <w:tcMar>
              <w:top w:w="70" w:type="dxa"/>
              <w:start w:w="90" w:type="dxa"/>
              <w:bottom w:w="70" w:type="dxa"/>
              <w:end w:w="90" w:type="dxa"/>
            </w:tcMar>
            <w:tcBorders>
              <w:top w:val="single" w:sz="3" w:color="B9C8D5"/>
              <w:left w:val="single" w:sz="3" w:color="B9C8D5"/>
              <w:bottom w:val="single" w:sz="3" w:color="B9C8D5"/>
              <w:right w:val="single" w:sz="3" w:color="B9C8D5"/>
            </w:tcBorders>
            <w:vAlign w:val="top"/>
          </w:tcPr>
          <w:p>
            <w:pPr>
              <w:spacing w:after="0" w:line="245" w:lineRule="auto"/>
            </w:pPr>
            <w:r>
              <w:rPr>
                <w:rFonts w:ascii="Inter" w:hAnsi="Inter" w:eastAsia="Inter"/>
                <w:b w:val="0"/>
                <w:color w:val="172033"/>
                <w:sz w:val="15"/>
              </w:rPr>
              <w:t>Traceability from MDS requirement to UID/WF/SCR, API/DBS, permission, transaction, test, and observed result.</w:t>
            </w:r>
          </w:p>
        </w:tc>
      </w:tr>
    </w:tbl>
    <w:p>
      <w:pPr>
        <w:spacing w:after="0"/>
      </w:pPr>
    </w:p>
    <w:p>
      <w:pPr>
        <w:spacing w:before="200"/>
        <w:jc w:val="center"/>
      </w:pPr>
      <w:r>
        <w:rPr>
          <w:rFonts w:ascii="Inter" w:hAnsi="Inter" w:eastAsia="Inter"/>
          <w:b/>
          <w:color w:val="667485"/>
          <w:sz w:val="17"/>
        </w:rPr>
        <w:t>END OF MDS-400</w:t>
      </w:r>
    </w:p>
    <w:sectPr w:rsidR="00FC693F" w:rsidRPr="0006063C" w:rsidSect="00034616">
      <w:headerReference w:type="default" r:id="rId9"/>
      <w:footerReference w:type="default" r:id="rId10"/>
      <w:pgSz w:w="11906" w:h="16838"/>
      <w:pgMar w:top="822" w:right="822" w:bottom="822" w:left="822"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420"/>
      <w:gridCol w:w="3420"/>
      <w:gridCol w:w="3420"/>
    </w:tblGrid>
    <w:tr>
      <w:tc>
        <w:tcPr>
          <w:tcW w:type="dxa" w:w="3402"/>
          <w:tcMar>
            <w:top w:w="0" w:type="dxa"/>
            <w:start w:w="0" w:type="dxa"/>
            <w:bottom w:w="0" w:type="dxa"/>
            <w:end w:w="0" w:type="dxa"/>
          </w:tcMar>
          <w:tcBorders>
            <w:top w:val="single" w:sz="4" w:color="B9C8D5"/>
          </w:tcBorders>
        </w:tcPr>
        <w:p>
          <w:r>
            <w:rPr>
              <w:rFonts w:ascii="Inter" w:hAnsi="Inter" w:eastAsia="Inter"/>
              <w:color w:val="667485"/>
              <w:sz w:val="16"/>
            </w:rPr>
            <w:t>SimpleBIZ Systems</w:t>
          </w:r>
        </w:p>
      </w:tc>
      <w:tc>
        <w:tcPr>
          <w:tcW w:type="dxa" w:w="3458"/>
          <w:tcMar>
            <w:top w:w="0" w:type="dxa"/>
            <w:start w:w="0" w:type="dxa"/>
            <w:bottom w:w="0" w:type="dxa"/>
            <w:end w:w="0" w:type="dxa"/>
          </w:tcMar>
          <w:tcBorders>
            <w:top w:val="single" w:sz="4" w:color="B9C8D5"/>
          </w:tcBorders>
        </w:tcPr>
        <w:p>
          <w:pPr>
            <w:jc w:val="center"/>
          </w:pPr>
          <w:r>
            <w:rPr>
              <w:rFonts w:ascii="Inter" w:hAnsi="Inter" w:eastAsia="Inter"/>
              <w:color w:val="667485"/>
              <w:sz w:val="17"/>
            </w:rPr>
            <w:t xml:space="preserve">Page </w:t>
            <w:fldChar w:fldCharType="begin"/>
            <w:instrText xml:space="preserve">PAGE</w:instrText>
            <w:fldChar w:fldCharType="end"/>
          </w:r>
        </w:p>
      </w:tc>
      <w:tc>
        <w:tcPr>
          <w:tcW w:type="dxa" w:w="3402"/>
          <w:tcMar>
            <w:top w:w="0" w:type="dxa"/>
            <w:start w:w="0" w:type="dxa"/>
            <w:bottom w:w="0" w:type="dxa"/>
            <w:end w:w="0" w:type="dxa"/>
          </w:tcMar>
          <w:tcBorders>
            <w:top w:val="single" w:sz="4" w:color="B9C8D5"/>
          </w:tcBorders>
        </w:tcPr>
        <w:p>
          <w:pPr>
            <w:jc w:val="right"/>
          </w:pPr>
          <w:r>
            <w:rPr>
              <w:rFonts w:ascii="Inter" w:hAnsi="Inter" w:eastAsia="Inter"/>
              <w:color w:val="667485"/>
              <w:sz w:val="16"/>
            </w:rPr>
            <w:t>MDS-400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5131"/>
      <w:gridCol w:w="5131"/>
    </w:tblGrid>
    <w:tr>
      <w:tc>
        <w:tcPr>
          <w:tcW w:type="dxa" w:w="6633"/>
          <w:tcMar>
            <w:top w:w="0" w:type="dxa"/>
            <w:start w:w="0" w:type="dxa"/>
            <w:bottom w:w="0" w:type="dxa"/>
            <w:end w:w="0" w:type="dxa"/>
          </w:tcMar>
          <w:tcBorders>
            <w:bottom w:val="single" w:sz="4" w:color="B9C8D5"/>
          </w:tcBorders>
          <w:vAlign w:val="center"/>
        </w:tcPr>
        <w:p>
          <w:pPr>
            <w:spacing w:after="40"/>
          </w:pPr>
          <w:r>
            <w:rPr>
              <w:rFonts w:ascii="Inter" w:hAnsi="Inter" w:eastAsia="Inter"/>
              <w:b/>
              <w:color w:val="1A2D44"/>
              <w:sz w:val="17"/>
            </w:rPr>
            <w:t>SimpleBIZ</w:t>
          </w:r>
          <w:r>
            <w:rPr>
              <w:rFonts w:ascii="Inter" w:hAnsi="Inter" w:eastAsia="Inter"/>
              <w:b/>
              <w:color w:val="1A2D44"/>
              <w:sz w:val="17"/>
            </w:rPr>
            <w:t xml:space="preserve">  |  Module Design Specification</w:t>
          </w:r>
        </w:p>
      </w:tc>
      <w:tc>
        <w:tcPr>
          <w:tcW w:type="dxa" w:w="3628"/>
          <w:tcMar>
            <w:top w:w="0" w:type="dxa"/>
            <w:start w:w="0" w:type="dxa"/>
            <w:bottom w:w="0" w:type="dxa"/>
            <w:end w:w="0" w:type="dxa"/>
          </w:tcMar>
          <w:tcBorders>
            <w:bottom w:val="single" w:sz="4" w:color="B9C8D5"/>
          </w:tcBorders>
          <w:vAlign w:val="center"/>
        </w:tcPr>
        <w:p>
          <w:pPr>
            <w:jc w:val="right"/>
          </w:pPr>
          <w:r>
            <w:rPr>
              <w:rFonts w:ascii="Inter" w:hAnsi="Inter" w:eastAsia="Inter"/>
              <w:color w:val="667485"/>
              <w:sz w:val="17"/>
            </w:rPr>
            <w:t>MDS-400  |  v1.1  |  For Review</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Inter" w:hAnsi="Inter" w:eastAsia="Inter"/>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Inter Display" w:hAnsi="Inter Display" w:eastAsia="Inter Display"/>
      <w:b/>
      <w:bCs/>
      <w:color w:val="2F78B7"/>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Inter" w:hAnsi="Inter" w:eastAsia="Inter"/>
      <w:b/>
      <w:bCs/>
      <w:color w:val="1A2D44"/>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Inter" w:hAnsi="Inter" w:eastAsia="Inter"/>
      <w:b/>
      <w:bCs/>
      <w:color w:val="1A2D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2" w:hanging="142"/>
      <w:contextualSpacing/>
    </w:pPr>
    <w:rPr>
      <w:rFonts w:ascii="Inter" w:hAnsi="Inte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2" w:hanging="142"/>
      <w:contextualSpacing/>
    </w:pPr>
    <w:rPr>
      <w:rFonts w:ascii="Inter" w:hAnsi="Inte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B">
    <w:name w:val="Title SB"/>
    <w:pPr>
      <w:keepNext/>
      <w:spacing w:before="0" w:after="100"/>
    </w:pPr>
    <w:rPr>
      <w:rFonts w:ascii="Inter Display" w:hAnsi="Inter Display" w:eastAsia="Inter Display"/>
      <w:b/>
      <w:color w:val="1A2D44"/>
      <w:sz w:val="60"/>
    </w:rPr>
  </w:style>
  <w:style w:type="paragraph" w:customStyle="1" w:styleId="SubtitleSB">
    <w:name w:val="Subtitle SB"/>
    <w:pPr>
      <w:keepNext/>
      <w:spacing w:before="0" w:after="100"/>
    </w:pPr>
    <w:rPr>
      <w:rFonts w:ascii="Inter" w:hAnsi="Inter" w:eastAsia="Inter"/>
      <w:b w:val="0"/>
      <w:color w:val="667485"/>
      <w:sz w:val="26"/>
    </w:rPr>
  </w:style>
  <w:style w:type="paragraph" w:customStyle="1" w:styleId="PartTitle">
    <w:name w:val="Part Title"/>
    <w:pPr>
      <w:keepNext/>
      <w:spacing w:before="0" w:after="100"/>
    </w:pPr>
    <w:rPr>
      <w:rFonts w:ascii="Inter" w:hAnsi="Inter" w:eastAsia="Inter"/>
      <w:b/>
      <w:color w:val="667485"/>
      <w:sz w:val="20"/>
    </w:rPr>
  </w:style>
  <w:style w:type="paragraph" w:customStyle="1" w:styleId="PartName">
    <w:name w:val="Part Name"/>
    <w:pPr>
      <w:keepNext/>
      <w:spacing w:before="0" w:after="100"/>
    </w:pPr>
    <w:rPr>
      <w:rFonts w:ascii="Inter Display" w:hAnsi="Inter Display" w:eastAsia="Inter Display"/>
      <w:b/>
      <w:color w:val="2F78B7"/>
      <w:sz w:val="50"/>
    </w:rPr>
  </w:style>
  <w:style w:type="paragraph" w:customStyle="1" w:styleId="PartSubtitle">
    <w:name w:val="Part Subtitle"/>
    <w:pPr>
      <w:keepNext/>
      <w:spacing w:before="0" w:after="100"/>
    </w:pPr>
    <w:rPr>
      <w:rFonts w:ascii="Inter" w:hAnsi="Inter" w:eastAsia="Inter"/>
      <w:b w:val="0"/>
      <w:color w:val="667485"/>
      <w:sz w:val="22"/>
    </w:rPr>
  </w:style>
  <w:style w:type="paragraph" w:customStyle="1" w:styleId="SmallLabel">
    <w:name w:val="Small Label"/>
    <w:pPr>
      <w:keepNext/>
      <w:spacing w:before="0" w:after="100"/>
    </w:pPr>
    <w:rPr>
      <w:rFonts w:ascii="Inter" w:hAnsi="Inter" w:eastAsia="Inter"/>
      <w:b/>
      <w:color w:val="667485"/>
      <w:sz w:val="16"/>
    </w:rPr>
  </w:style>
  <w:style w:type="paragraph" w:customStyle="1" w:styleId="Callout">
    <w:name w:val="Callout"/>
    <w:pPr>
      <w:keepNext/>
      <w:spacing w:before="0" w:after="100"/>
    </w:pPr>
    <w:rPr>
      <w:rFonts w:ascii="Inter" w:hAnsi="Inter" w:eastAsia="Inter"/>
      <w:b w:val="0"/>
      <w:color w:val="1A2D4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MDS-400 Purchases &amp; Payables Module Design Specification v1.1</dc:title>
  <dc:subject>SimpleBIZ One Module Design Specification</dc:subject>
  <dc:creator>SimpleBIZ Systems</dc:creator>
  <cp:keywords>SimpleBIZ, MDS-400, Purchases, Payables, Procurement, Supplier, Module Design Specification</cp:keywords>
  <dc:description>For Review — 30 July 2026</dc:description>
  <cp:lastModifiedBy/>
  <cp:revision>1</cp:revision>
  <dcterms:created xsi:type="dcterms:W3CDTF">2013-12-23T23:15:00Z</dcterms:created>
  <dcterms:modified xsi:type="dcterms:W3CDTF">2013-12-23T23:15:00Z</dcterms:modified>
  <cp:category/>
</cp:coreProperties>
</file>