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after="80" w:line="259" w:lineRule="auto"/>
      </w:pPr>
      <w:r>
        <w:rPr>
          <w:rFonts w:ascii="Inter" w:hAnsi="Inter"/>
          <w:b/>
          <w:color w:val="667485"/>
          <w:sz w:val="21"/>
        </w:rPr>
        <w:t>SimpleBIZ  |  SIMPLEBIZ ONE</w:t>
      </w:r>
    </w:p>
    <w:p>
      <w:pPr>
        <w:spacing w:before="360" w:after="80" w:line="259" w:lineRule="auto"/>
      </w:pPr>
      <w:r>
        <w:rPr>
          <w:rFonts w:ascii="Inter Display" w:hAnsi="Inter Display"/>
          <w:b/>
          <w:color w:val="2F78B7"/>
          <w:sz w:val="58"/>
        </w:rPr>
        <w:t>MDS-900</w:t>
      </w:r>
    </w:p>
    <w:p>
      <w:pPr>
        <w:spacing w:after="80" w:line="259" w:lineRule="auto"/>
      </w:pPr>
      <w:r>
        <w:rPr>
          <w:rFonts w:ascii="Inter Display" w:hAnsi="Inter Display"/>
          <w:b/>
          <w:color w:val="1A2D44"/>
          <w:sz w:val="62"/>
        </w:rPr>
        <w:t>Reports &amp; Analytics</w:t>
      </w:r>
    </w:p>
    <w:p>
      <w:pPr>
        <w:spacing w:after="80" w:line="259" w:lineRule="auto"/>
      </w:pPr>
      <w:r>
        <w:rPr>
          <w:rFonts w:ascii="Inter Display" w:hAnsi="Inter Display"/>
          <w:b/>
          <w:color w:val="1A2D44"/>
          <w:sz w:val="42"/>
        </w:rPr>
        <w:t>Module Design Specification</w:t>
      </w:r>
    </w:p>
    <w:p>
      <w:pPr>
        <w:spacing w:after="80" w:line="259" w:lineRule="auto"/>
      </w:pPr>
      <w:r>
        <w:rPr>
          <w:rFonts w:ascii="Inter" w:hAnsi="Inter"/>
          <w:color w:val="667485"/>
          <w:sz w:val="24"/>
        </w:rPr>
        <w:t>The governed design for transforming authoritative business data into accurate, reproducible, understandable, and decision-useful reports and analytics without creating a competing ledger or transaction source.</w:t>
      </w:r>
    </w:p>
    <w:tbl>
      <w:tblPr>
        <w:tblStyle w:val="TableGrid"/>
        <w:tblW w:type="auto" w:w="0"/>
        <w:jc w:val="center"/>
        <w:tblLayout w:type="fixed"/>
        <w:tblLook w:firstColumn="1" w:firstRow="1" w:lastColumn="0" w:lastRow="0" w:noHBand="0" w:noVBand="1" w:val="04A0"/>
      </w:tblPr>
      <w:tblGrid>
        <w:gridCol w:w="5131"/>
        <w:gridCol w:w="5131"/>
      </w:tblGrid>
      <w:tr>
        <w:trPr>
          <w:cantSplit/>
        </w:trPr>
        <w:tc>
          <w:tcPr>
            <w:tcW w:type="dxa" w:w="2376"/>
            <w:vAlign w:val="center"/>
            <w:tcMar>
              <w:top w:w="55" w:type="dxa"/>
              <w:start w:w="75" w:type="dxa"/>
              <w:bottom w:w="55" w:type="dxa"/>
              <w:end w:w="75" w:type="dxa"/>
            </w:tcMar>
          </w:tcPr>
          <w:p>
            <w:pPr>
              <w:spacing w:before="0" w:after="0" w:line="240" w:lineRule="auto"/>
            </w:pPr>
            <w:r>
              <w:rPr>
                <w:rFonts w:ascii="Inter" w:hAnsi="Inter"/>
                <w:b/>
                <w:color w:val="172033"/>
                <w:sz w:val="18"/>
              </w:rPr>
              <w:t>Version</w:t>
            </w:r>
          </w:p>
        </w:tc>
        <w:tc>
          <w:tcPr>
            <w:tcW w:type="dxa" w:w="7200"/>
            <w:vAlign w:val="center"/>
            <w:tcMar>
              <w:top w:w="55" w:type="dxa"/>
              <w:start w:w="75" w:type="dxa"/>
              <w:bottom w:w="55" w:type="dxa"/>
              <w:end w:w="75" w:type="dxa"/>
            </w:tcMar>
          </w:tcPr>
          <w:p>
            <w:pPr>
              <w:spacing w:before="0" w:after="0" w:line="240" w:lineRule="auto"/>
            </w:pPr>
            <w:r>
              <w:rPr>
                <w:rFonts w:ascii="Inter" w:hAnsi="Inter"/>
                <w:b w:val="0"/>
                <w:color w:val="172033"/>
                <w:sz w:val="18"/>
              </w:rPr>
              <w:t>1.0</w:t>
            </w:r>
          </w:p>
        </w:tc>
      </w:tr>
      <w:tr>
        <w:trPr>
          <w:cantSplit/>
        </w:trPr>
        <w:tc>
          <w:tcPr>
            <w:tcW w:type="dxa" w:w="2376"/>
            <w:shd w:fill="F6F9FC"/>
            <w:vAlign w:val="center"/>
            <w:tcMar>
              <w:top w:w="55" w:type="dxa"/>
              <w:start w:w="75" w:type="dxa"/>
              <w:bottom w:w="55" w:type="dxa"/>
              <w:end w:w="75" w:type="dxa"/>
            </w:tcMar>
          </w:tcPr>
          <w:p>
            <w:pPr>
              <w:spacing w:before="0" w:after="0" w:line="240" w:lineRule="auto"/>
            </w:pPr>
            <w:r>
              <w:rPr>
                <w:rFonts w:ascii="Inter" w:hAnsi="Inter"/>
                <w:b/>
                <w:color w:val="172033"/>
                <w:sz w:val="18"/>
              </w:rPr>
              <w:t>Status</w:t>
            </w:r>
          </w:p>
        </w:tc>
        <w:tc>
          <w:tcPr>
            <w:tcW w:type="dxa" w:w="7200"/>
            <w:shd w:fill="F6F9FC"/>
            <w:vAlign w:val="center"/>
            <w:tcMar>
              <w:top w:w="55" w:type="dxa"/>
              <w:start w:w="75" w:type="dxa"/>
              <w:bottom w:w="55" w:type="dxa"/>
              <w:end w:w="75" w:type="dxa"/>
            </w:tcMar>
          </w:tcPr>
          <w:p>
            <w:pPr>
              <w:spacing w:before="0" w:after="0" w:line="240" w:lineRule="auto"/>
            </w:pPr>
            <w:r>
              <w:rPr>
                <w:rFonts w:ascii="Inter" w:hAnsi="Inter"/>
                <w:b w:val="0"/>
                <w:color w:val="172033"/>
                <w:sz w:val="18"/>
              </w:rPr>
              <w:t>For Review</w:t>
            </w:r>
          </w:p>
        </w:tc>
      </w:tr>
      <w:tr>
        <w:trPr>
          <w:cantSplit/>
        </w:trPr>
        <w:tc>
          <w:tcPr>
            <w:tcW w:type="dxa" w:w="2376"/>
            <w:vAlign w:val="center"/>
            <w:tcMar>
              <w:top w:w="55" w:type="dxa"/>
              <w:start w:w="75" w:type="dxa"/>
              <w:bottom w:w="55" w:type="dxa"/>
              <w:end w:w="75" w:type="dxa"/>
            </w:tcMar>
          </w:tcPr>
          <w:p>
            <w:pPr>
              <w:spacing w:before="0" w:after="0" w:line="240" w:lineRule="auto"/>
            </w:pPr>
            <w:r>
              <w:rPr>
                <w:rFonts w:ascii="Inter" w:hAnsi="Inter"/>
                <w:b/>
                <w:color w:val="172033"/>
                <w:sz w:val="18"/>
              </w:rPr>
              <w:t>Date</w:t>
            </w:r>
          </w:p>
        </w:tc>
        <w:tc>
          <w:tcPr>
            <w:tcW w:type="dxa" w:w="7200"/>
            <w:vAlign w:val="center"/>
            <w:tcMar>
              <w:top w:w="55" w:type="dxa"/>
              <w:start w:w="75" w:type="dxa"/>
              <w:bottom w:w="55" w:type="dxa"/>
              <w:end w:w="75" w:type="dxa"/>
            </w:tcMar>
          </w:tcPr>
          <w:p>
            <w:pPr>
              <w:spacing w:before="0" w:after="0" w:line="240" w:lineRule="auto"/>
            </w:pPr>
            <w:r>
              <w:rPr>
                <w:rFonts w:ascii="Inter" w:hAnsi="Inter"/>
                <w:b w:val="0"/>
                <w:color w:val="172033"/>
                <w:sz w:val="18"/>
              </w:rPr>
              <w:t>31 July 2026</w:t>
            </w:r>
          </w:p>
        </w:tc>
      </w:tr>
      <w:tr>
        <w:trPr>
          <w:cantSplit/>
        </w:trPr>
        <w:tc>
          <w:tcPr>
            <w:tcW w:type="dxa" w:w="2376"/>
            <w:shd w:fill="F6F9FC"/>
            <w:vAlign w:val="center"/>
            <w:tcMar>
              <w:top w:w="55" w:type="dxa"/>
              <w:start w:w="75" w:type="dxa"/>
              <w:bottom w:w="55" w:type="dxa"/>
              <w:end w:w="75" w:type="dxa"/>
            </w:tcMar>
          </w:tcPr>
          <w:p>
            <w:pPr>
              <w:spacing w:before="0" w:after="0" w:line="240" w:lineRule="auto"/>
            </w:pPr>
            <w:r>
              <w:rPr>
                <w:rFonts w:ascii="Inter" w:hAnsi="Inter"/>
                <w:b/>
                <w:color w:val="172033"/>
                <w:sz w:val="18"/>
              </w:rPr>
              <w:t>Product</w:t>
            </w:r>
          </w:p>
        </w:tc>
        <w:tc>
          <w:tcPr>
            <w:tcW w:type="dxa" w:w="7200"/>
            <w:shd w:fill="F6F9FC"/>
            <w:vAlign w:val="center"/>
            <w:tcMar>
              <w:top w:w="55" w:type="dxa"/>
              <w:start w:w="75" w:type="dxa"/>
              <w:bottom w:w="55" w:type="dxa"/>
              <w:end w:w="75" w:type="dxa"/>
            </w:tcMar>
          </w:tcPr>
          <w:p>
            <w:pPr>
              <w:spacing w:before="0" w:after="0" w:line="240" w:lineRule="auto"/>
            </w:pPr>
            <w:r>
              <w:rPr>
                <w:rFonts w:ascii="Inter" w:hAnsi="Inter"/>
                <w:b w:val="0"/>
                <w:color w:val="172033"/>
                <w:sz w:val="18"/>
              </w:rPr>
              <w:t>SimpleBIZ One</w:t>
            </w:r>
          </w:p>
        </w:tc>
      </w:tr>
      <w:tr>
        <w:trPr>
          <w:cantSplit/>
        </w:trPr>
        <w:tc>
          <w:tcPr>
            <w:tcW w:type="dxa" w:w="2376"/>
            <w:vAlign w:val="center"/>
            <w:tcMar>
              <w:top w:w="55" w:type="dxa"/>
              <w:start w:w="75" w:type="dxa"/>
              <w:bottom w:w="55" w:type="dxa"/>
              <w:end w:w="75" w:type="dxa"/>
            </w:tcMar>
          </w:tcPr>
          <w:p>
            <w:pPr>
              <w:spacing w:before="0" w:after="0" w:line="240" w:lineRule="auto"/>
            </w:pPr>
            <w:r>
              <w:rPr>
                <w:rFonts w:ascii="Inter" w:hAnsi="Inter"/>
                <w:b/>
                <w:color w:val="172033"/>
                <w:sz w:val="18"/>
              </w:rPr>
              <w:t>Classification</w:t>
            </w:r>
          </w:p>
        </w:tc>
        <w:tc>
          <w:tcPr>
            <w:tcW w:type="dxa" w:w="7200"/>
            <w:vAlign w:val="center"/>
            <w:tcMar>
              <w:top w:w="55" w:type="dxa"/>
              <w:start w:w="75" w:type="dxa"/>
              <w:bottom w:w="55" w:type="dxa"/>
              <w:end w:w="75" w:type="dxa"/>
            </w:tcMar>
          </w:tcPr>
          <w:p>
            <w:pPr>
              <w:spacing w:before="0" w:after="0" w:line="240" w:lineRule="auto"/>
            </w:pPr>
            <w:r>
              <w:rPr>
                <w:rFonts w:ascii="Inter" w:hAnsi="Inter"/>
                <w:b w:val="0"/>
                <w:color w:val="172033"/>
                <w:sz w:val="18"/>
              </w:rPr>
              <w:t>Module Design Specification</w:t>
            </w:r>
          </w:p>
        </w:tc>
      </w:tr>
      <w:tr>
        <w:trPr>
          <w:cantSplit/>
        </w:trPr>
        <w:tc>
          <w:tcPr>
            <w:tcW w:type="dxa" w:w="2376"/>
            <w:shd w:fill="F6F9FC"/>
            <w:vAlign w:val="center"/>
            <w:tcMar>
              <w:top w:w="55" w:type="dxa"/>
              <w:start w:w="75" w:type="dxa"/>
              <w:bottom w:w="55" w:type="dxa"/>
              <w:end w:w="75" w:type="dxa"/>
            </w:tcMar>
          </w:tcPr>
          <w:p>
            <w:pPr>
              <w:spacing w:before="0" w:after="0" w:line="240" w:lineRule="auto"/>
            </w:pPr>
            <w:r>
              <w:rPr>
                <w:rFonts w:ascii="Inter" w:hAnsi="Inter"/>
                <w:b/>
                <w:color w:val="172033"/>
                <w:sz w:val="18"/>
              </w:rPr>
              <w:t>Prepared for</w:t>
            </w:r>
          </w:p>
        </w:tc>
        <w:tc>
          <w:tcPr>
            <w:tcW w:type="dxa" w:w="7200"/>
            <w:shd w:fill="F6F9FC"/>
            <w:vAlign w:val="center"/>
            <w:tcMar>
              <w:top w:w="55" w:type="dxa"/>
              <w:start w:w="75" w:type="dxa"/>
              <w:bottom w:w="55" w:type="dxa"/>
              <w:end w:w="75" w:type="dxa"/>
            </w:tcMar>
          </w:tcPr>
          <w:p>
            <w:pPr>
              <w:spacing w:before="0" w:after="0" w:line="240" w:lineRule="auto"/>
            </w:pPr>
            <w:r>
              <w:rPr>
                <w:rFonts w:ascii="Inter" w:hAnsi="Inter"/>
                <w:b w:val="0"/>
                <w:color w:val="172033"/>
                <w:sz w:val="18"/>
              </w:rPr>
              <w:t>SimpleBIZ Systems</w:t>
            </w:r>
          </w:p>
        </w:tc>
      </w:tr>
    </w:tbl>
    <w:p>
      <w:pPr>
        <w:spacing w:after="80" w:line="259" w:lineRule="auto"/>
      </w:pPr>
    </w:p>
    <w:tbl>
      <w:tblPr>
        <w:tblStyle w:val="TableGrid"/>
        <w:tblW w:type="auto" w:w="0"/>
        <w:jc w:val="center"/>
        <w:tblLayout w:type="fixed"/>
        <w:tblLook w:firstColumn="1" w:firstRow="1" w:lastColumn="0" w:lastRow="0" w:noHBand="0" w:noVBand="1" w:val="04A0"/>
      </w:tblPr>
      <w:tblGrid>
        <w:gridCol w:w="10262"/>
      </w:tblGrid>
      <w:tr>
        <w:tc>
          <w:tcPr>
            <w:tcW w:type="dxa" w:w="9576"/>
            <w:shd w:fill="E7F0F8"/>
            <w:tcBorders>
              <w:left w:val="single" w:sz="18" w:color="2F78B7"/>
              <w:top w:val="single" w:sz="4" w:color="B7C9DA"/>
              <w:bottom w:val="single" w:sz="4" w:color="B7C9DA"/>
              <w:right w:val="single" w:sz="4" w:color="B7C9DA"/>
            </w:tcBorders>
          </w:tcPr>
          <w:p>
            <w:pPr>
              <w:spacing w:after="0"/>
            </w:pPr>
            <w:r>
              <w:rPr>
                <w:rFonts w:ascii="Inter" w:hAnsi="Inter"/>
                <w:b/>
                <w:color w:val="1A2D44"/>
                <w:sz w:val="17"/>
              </w:rPr>
              <w:t xml:space="preserve">DESIGN DIRECTIVE  </w:t>
            </w:r>
            <w:r>
              <w:rPr>
                <w:rFonts w:ascii="Inter" w:hAnsi="Inter"/>
                <w:color w:val="172033"/>
                <w:sz w:val="17"/>
              </w:rPr>
              <w:t>Operational modules create and own business facts. MDS-900 transforms those governed facts into information through one report catalog, one shared parameter framework, one secure generation path, and one traceable output history.</w:t>
            </w:r>
          </w:p>
        </w:tc>
      </w:tr>
    </w:tbl>
    <w:p>
      <w:pPr>
        <w:spacing w:after="80" w:line="259" w:lineRule="auto"/>
      </w:pPr>
    </w:p>
    <w:p>
      <w:pPr>
        <w:spacing w:before="440" w:after="80" w:line="259" w:lineRule="auto"/>
      </w:pPr>
      <w:r>
        <w:rPr>
          <w:rFonts w:ascii="Inter" w:hAnsi="Inter"/>
          <w:b/>
          <w:color w:val="1A2D44"/>
          <w:sz w:val="21"/>
        </w:rPr>
        <w:t>SimpleBIZ Systems</w:t>
      </w:r>
    </w:p>
    <w:p>
      <w:pPr>
        <w:spacing w:after="80" w:line="259" w:lineRule="auto"/>
      </w:pPr>
      <w:r>
        <w:rPr>
          <w:rFonts w:ascii="Inter" w:hAnsi="Inter"/>
          <w:color w:val="667485"/>
          <w:sz w:val="19"/>
        </w:rPr>
        <w:t>Turn business records into clear information, practical insight, and confident decisions.</w:t>
      </w:r>
    </w:p>
    <w:p>
      <w:pPr>
        <w:spacing w:after="80" w:line="259" w:lineRule="auto"/>
      </w:pPr>
      <w:r>
        <w:br w:type="page"/>
      </w:r>
    </w:p>
    <w:p>
      <w:pPr>
        <w:pStyle w:val="Heading1"/>
        <w:keepNext/>
        <w:pageBreakBefore w:val="0"/>
      </w:pPr>
      <w:r>
        <w:t>Document Control</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88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Field</w:t>
            </w:r>
          </w:p>
        </w:tc>
        <w:tc>
          <w:tcPr>
            <w:tcW w:type="dxa" w:w="6696"/>
            <w:shd w:fill="E7F0F8"/>
            <w:vAlign w:val="center"/>
            <w:tcMar>
              <w:top w:w="55" w:type="dxa"/>
              <w:start w:w="75" w:type="dxa"/>
              <w:bottom w:w="55" w:type="dxa"/>
              <w:end w:w="75" w:type="dxa"/>
            </w:tcMar>
          </w:tcPr>
          <w:p>
            <w:pPr>
              <w:spacing w:before="0" w:after="0" w:line="240" w:lineRule="auto"/>
            </w:pPr>
            <w:r>
              <w:rPr>
                <w:rFonts w:ascii="Inter" w:hAnsi="Inter"/>
                <w:b/>
                <w:color w:val="172033"/>
                <w:sz w:val="16"/>
              </w:rPr>
              <w:t>Value</w:t>
            </w:r>
          </w:p>
        </w:tc>
      </w:tr>
      <w:tr>
        <w:trPr>
          <w:cantSplit/>
        </w:trPr>
        <w:tc>
          <w:tcPr>
            <w:tcW w:type="dxa" w:w="2880"/>
            <w:vAlign w:val="center"/>
            <w:tcMar>
              <w:top w:w="55" w:type="dxa"/>
              <w:start w:w="75" w:type="dxa"/>
              <w:bottom w:w="55" w:type="dxa"/>
              <w:end w:w="75" w:type="dxa"/>
            </w:tcMar>
          </w:tcPr>
          <w:p>
            <w:pPr>
              <w:spacing w:before="0" w:after="0" w:line="240" w:lineRule="auto"/>
            </w:pPr>
            <w:r>
              <w:rPr>
                <w:rFonts w:ascii="Inter" w:hAnsi="Inter"/>
                <w:b/>
                <w:color w:val="172033"/>
                <w:sz w:val="16"/>
              </w:rPr>
              <w:t>Document ID</w:t>
            </w:r>
          </w:p>
        </w:tc>
        <w:tc>
          <w:tcPr>
            <w:tcW w:type="dxa" w:w="6696"/>
            <w:vAlign w:val="center"/>
            <w:tcMar>
              <w:top w:w="55" w:type="dxa"/>
              <w:start w:w="75" w:type="dxa"/>
              <w:bottom w:w="55" w:type="dxa"/>
              <w:end w:w="75" w:type="dxa"/>
            </w:tcMar>
          </w:tcPr>
          <w:p>
            <w:pPr>
              <w:spacing w:before="0" w:after="0" w:line="240" w:lineRule="auto"/>
            </w:pPr>
            <w:r>
              <w:rPr>
                <w:rFonts w:ascii="Inter" w:hAnsi="Inter"/>
                <w:b w:val="0"/>
                <w:color w:val="172033"/>
                <w:sz w:val="16"/>
              </w:rPr>
              <w:t>MDS-900</w:t>
            </w:r>
          </w:p>
        </w:tc>
      </w:tr>
      <w:tr>
        <w:trPr>
          <w:cantSplit/>
        </w:trPr>
        <w:tc>
          <w:tcPr>
            <w:tcW w:type="dxa" w:w="2880"/>
            <w:shd w:fill="F6F9FC"/>
            <w:vAlign w:val="center"/>
            <w:tcMar>
              <w:top w:w="55" w:type="dxa"/>
              <w:start w:w="75" w:type="dxa"/>
              <w:bottom w:w="55" w:type="dxa"/>
              <w:end w:w="75" w:type="dxa"/>
            </w:tcMar>
          </w:tcPr>
          <w:p>
            <w:pPr>
              <w:spacing w:before="0" w:after="0" w:line="240" w:lineRule="auto"/>
            </w:pPr>
            <w:r>
              <w:rPr>
                <w:rFonts w:ascii="Inter" w:hAnsi="Inter"/>
                <w:b/>
                <w:color w:val="172033"/>
                <w:sz w:val="16"/>
              </w:rPr>
              <w:t>Document Title</w:t>
            </w:r>
          </w:p>
        </w:tc>
        <w:tc>
          <w:tcPr>
            <w:tcW w:type="dxa" w:w="6696"/>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Reports &amp; Analytics Module Design Specification</w:t>
            </w:r>
          </w:p>
        </w:tc>
      </w:tr>
      <w:tr>
        <w:trPr>
          <w:cantSplit/>
        </w:trPr>
        <w:tc>
          <w:tcPr>
            <w:tcW w:type="dxa" w:w="2880"/>
            <w:vAlign w:val="center"/>
            <w:tcMar>
              <w:top w:w="55" w:type="dxa"/>
              <w:start w:w="75" w:type="dxa"/>
              <w:bottom w:w="55" w:type="dxa"/>
              <w:end w:w="75" w:type="dxa"/>
            </w:tcMar>
          </w:tcPr>
          <w:p>
            <w:pPr>
              <w:spacing w:before="0" w:after="0" w:line="240" w:lineRule="auto"/>
            </w:pPr>
            <w:r>
              <w:rPr>
                <w:rFonts w:ascii="Inter" w:hAnsi="Inter"/>
                <w:b/>
                <w:color w:val="172033"/>
                <w:sz w:val="16"/>
              </w:rPr>
              <w:t>Version</w:t>
            </w:r>
          </w:p>
        </w:tc>
        <w:tc>
          <w:tcPr>
            <w:tcW w:type="dxa" w:w="6696"/>
            <w:vAlign w:val="center"/>
            <w:tcMar>
              <w:top w:w="55" w:type="dxa"/>
              <w:start w:w="75" w:type="dxa"/>
              <w:bottom w:w="55" w:type="dxa"/>
              <w:end w:w="75" w:type="dxa"/>
            </w:tcMar>
          </w:tcPr>
          <w:p>
            <w:pPr>
              <w:spacing w:before="0" w:after="0" w:line="240" w:lineRule="auto"/>
            </w:pPr>
            <w:r>
              <w:rPr>
                <w:rFonts w:ascii="Inter" w:hAnsi="Inter"/>
                <w:b w:val="0"/>
                <w:color w:val="172033"/>
                <w:sz w:val="16"/>
              </w:rPr>
              <w:t>1.0</w:t>
            </w:r>
          </w:p>
        </w:tc>
      </w:tr>
      <w:tr>
        <w:trPr>
          <w:cantSplit/>
        </w:trPr>
        <w:tc>
          <w:tcPr>
            <w:tcW w:type="dxa" w:w="2880"/>
            <w:shd w:fill="F6F9FC"/>
            <w:vAlign w:val="center"/>
            <w:tcMar>
              <w:top w:w="55" w:type="dxa"/>
              <w:start w:w="75" w:type="dxa"/>
              <w:bottom w:w="55" w:type="dxa"/>
              <w:end w:w="75" w:type="dxa"/>
            </w:tcMar>
          </w:tcPr>
          <w:p>
            <w:pPr>
              <w:spacing w:before="0" w:after="0" w:line="240" w:lineRule="auto"/>
            </w:pPr>
            <w:r>
              <w:rPr>
                <w:rFonts w:ascii="Inter" w:hAnsi="Inter"/>
                <w:b/>
                <w:color w:val="172033"/>
                <w:sz w:val="16"/>
              </w:rPr>
              <w:t>Status</w:t>
            </w:r>
          </w:p>
        </w:tc>
        <w:tc>
          <w:tcPr>
            <w:tcW w:type="dxa" w:w="6696"/>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For Review</w:t>
            </w:r>
          </w:p>
        </w:tc>
      </w:tr>
      <w:tr>
        <w:trPr>
          <w:cantSplit/>
        </w:trPr>
        <w:tc>
          <w:tcPr>
            <w:tcW w:type="dxa" w:w="2880"/>
            <w:vAlign w:val="center"/>
            <w:tcMar>
              <w:top w:w="55" w:type="dxa"/>
              <w:start w:w="75" w:type="dxa"/>
              <w:bottom w:w="55" w:type="dxa"/>
              <w:end w:w="75" w:type="dxa"/>
            </w:tcMar>
          </w:tcPr>
          <w:p>
            <w:pPr>
              <w:spacing w:before="0" w:after="0" w:line="240" w:lineRule="auto"/>
            </w:pPr>
            <w:r>
              <w:rPr>
                <w:rFonts w:ascii="Inter" w:hAnsi="Inter"/>
                <w:b/>
                <w:color w:val="172033"/>
                <w:sz w:val="16"/>
              </w:rPr>
              <w:t>Date</w:t>
            </w:r>
          </w:p>
        </w:tc>
        <w:tc>
          <w:tcPr>
            <w:tcW w:type="dxa" w:w="6696"/>
            <w:vAlign w:val="center"/>
            <w:tcMar>
              <w:top w:w="55" w:type="dxa"/>
              <w:start w:w="75" w:type="dxa"/>
              <w:bottom w:w="55" w:type="dxa"/>
              <w:end w:w="75" w:type="dxa"/>
            </w:tcMar>
          </w:tcPr>
          <w:p>
            <w:pPr>
              <w:spacing w:before="0" w:after="0" w:line="240" w:lineRule="auto"/>
            </w:pPr>
            <w:r>
              <w:rPr>
                <w:rFonts w:ascii="Inter" w:hAnsi="Inter"/>
                <w:b w:val="0"/>
                <w:color w:val="172033"/>
                <w:sz w:val="16"/>
              </w:rPr>
              <w:t>31 July 2026</w:t>
            </w:r>
          </w:p>
        </w:tc>
      </w:tr>
      <w:tr>
        <w:trPr>
          <w:cantSplit/>
        </w:trPr>
        <w:tc>
          <w:tcPr>
            <w:tcW w:type="dxa" w:w="2880"/>
            <w:shd w:fill="F6F9FC"/>
            <w:vAlign w:val="center"/>
            <w:tcMar>
              <w:top w:w="55" w:type="dxa"/>
              <w:start w:w="75" w:type="dxa"/>
              <w:bottom w:w="55" w:type="dxa"/>
              <w:end w:w="75" w:type="dxa"/>
            </w:tcMar>
          </w:tcPr>
          <w:p>
            <w:pPr>
              <w:spacing w:before="0" w:after="0" w:line="240" w:lineRule="auto"/>
            </w:pPr>
            <w:r>
              <w:rPr>
                <w:rFonts w:ascii="Inter" w:hAnsi="Inter"/>
                <w:b/>
                <w:color w:val="172033"/>
                <w:sz w:val="16"/>
              </w:rPr>
              <w:t>Product Scope</w:t>
            </w:r>
          </w:p>
        </w:tc>
        <w:tc>
          <w:tcPr>
            <w:tcW w:type="dxa" w:w="6696"/>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SimpleBIZ One - Free through ERP</w:t>
            </w:r>
          </w:p>
        </w:tc>
      </w:tr>
      <w:tr>
        <w:trPr>
          <w:cantSplit/>
        </w:trPr>
        <w:tc>
          <w:tcPr>
            <w:tcW w:type="dxa" w:w="2880"/>
            <w:vAlign w:val="center"/>
            <w:tcMar>
              <w:top w:w="55" w:type="dxa"/>
              <w:start w:w="75" w:type="dxa"/>
              <w:bottom w:w="55" w:type="dxa"/>
              <w:end w:w="75" w:type="dxa"/>
            </w:tcMar>
          </w:tcPr>
          <w:p>
            <w:pPr>
              <w:spacing w:before="0" w:after="0" w:line="240" w:lineRule="auto"/>
            </w:pPr>
            <w:r>
              <w:rPr>
                <w:rFonts w:ascii="Inter" w:hAnsi="Inter"/>
                <w:b/>
                <w:color w:val="172033"/>
                <w:sz w:val="16"/>
              </w:rPr>
              <w:t>Primary Module</w:t>
            </w:r>
          </w:p>
        </w:tc>
        <w:tc>
          <w:tcPr>
            <w:tcW w:type="dxa" w:w="6696"/>
            <w:vAlign w:val="center"/>
            <w:tcMar>
              <w:top w:w="55" w:type="dxa"/>
              <w:start w:w="75" w:type="dxa"/>
              <w:bottom w:w="55" w:type="dxa"/>
              <w:end w:w="75" w:type="dxa"/>
            </w:tcMar>
          </w:tcPr>
          <w:p>
            <w:pPr>
              <w:spacing w:before="0" w:after="0" w:line="240" w:lineRule="auto"/>
            </w:pPr>
            <w:r>
              <w:rPr>
                <w:rFonts w:ascii="Inter" w:hAnsi="Inter"/>
                <w:b w:val="0"/>
                <w:color w:val="172033"/>
                <w:sz w:val="16"/>
              </w:rPr>
              <w:t>Reports &amp; Analytics</w:t>
            </w:r>
          </w:p>
        </w:tc>
      </w:tr>
      <w:tr>
        <w:trPr>
          <w:cantSplit/>
        </w:trPr>
        <w:tc>
          <w:tcPr>
            <w:tcW w:type="dxa" w:w="2880"/>
            <w:shd w:fill="F6F9FC"/>
            <w:vAlign w:val="center"/>
            <w:tcMar>
              <w:top w:w="55" w:type="dxa"/>
              <w:start w:w="75" w:type="dxa"/>
              <w:bottom w:w="55" w:type="dxa"/>
              <w:end w:w="75" w:type="dxa"/>
            </w:tcMar>
          </w:tcPr>
          <w:p>
            <w:pPr>
              <w:spacing w:before="0" w:after="0" w:line="240" w:lineRule="auto"/>
            </w:pPr>
            <w:r>
              <w:rPr>
                <w:rFonts w:ascii="Inter" w:hAnsi="Inter"/>
                <w:b/>
                <w:color w:val="172033"/>
                <w:sz w:val="16"/>
              </w:rPr>
              <w:t>Repository Location</w:t>
            </w:r>
          </w:p>
        </w:tc>
        <w:tc>
          <w:tcPr>
            <w:tcW w:type="dxa" w:w="6696"/>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03 - Architecture &amp; Design / 02 - Module Design Specifications</w:t>
            </w:r>
          </w:p>
        </w:tc>
      </w:tr>
      <w:tr>
        <w:trPr>
          <w:cantSplit/>
        </w:trPr>
        <w:tc>
          <w:tcPr>
            <w:tcW w:type="dxa" w:w="2880"/>
            <w:vAlign w:val="center"/>
            <w:tcMar>
              <w:top w:w="55" w:type="dxa"/>
              <w:start w:w="75" w:type="dxa"/>
              <w:bottom w:w="55" w:type="dxa"/>
              <w:end w:w="75" w:type="dxa"/>
            </w:tcMar>
          </w:tcPr>
          <w:p>
            <w:pPr>
              <w:spacing w:before="0" w:after="0" w:line="240" w:lineRule="auto"/>
            </w:pPr>
            <w:r>
              <w:rPr>
                <w:rFonts w:ascii="Inter" w:hAnsi="Inter"/>
                <w:b/>
                <w:color w:val="172033"/>
                <w:sz w:val="16"/>
              </w:rPr>
              <w:t>Supersedes</w:t>
            </w:r>
          </w:p>
        </w:tc>
        <w:tc>
          <w:tcPr>
            <w:tcW w:type="dxa" w:w="6696"/>
            <w:vAlign w:val="center"/>
            <w:tcMar>
              <w:top w:w="55" w:type="dxa"/>
              <w:start w:w="75" w:type="dxa"/>
              <w:bottom w:w="55" w:type="dxa"/>
              <w:end w:w="75" w:type="dxa"/>
            </w:tcMar>
          </w:tcPr>
          <w:p>
            <w:pPr>
              <w:spacing w:before="0" w:after="0" w:line="240" w:lineRule="auto"/>
            </w:pPr>
            <w:r>
              <w:rPr>
                <w:rFonts w:ascii="Inter" w:hAnsi="Inter"/>
                <w:b w:val="0"/>
                <w:color w:val="172033"/>
                <w:sz w:val="16"/>
              </w:rPr>
              <w:t>MDS-700 REPORTS Module Design Specification v1.0 (previous numbering)</w:t>
            </w:r>
          </w:p>
        </w:tc>
      </w:tr>
      <w:tr>
        <w:trPr>
          <w:cantSplit/>
        </w:trPr>
        <w:tc>
          <w:tcPr>
            <w:tcW w:type="dxa" w:w="2880"/>
            <w:shd w:fill="F6F9FC"/>
            <w:vAlign w:val="center"/>
            <w:tcMar>
              <w:top w:w="55" w:type="dxa"/>
              <w:start w:w="75" w:type="dxa"/>
              <w:bottom w:w="55" w:type="dxa"/>
              <w:end w:w="75" w:type="dxa"/>
            </w:tcMar>
          </w:tcPr>
          <w:p>
            <w:pPr>
              <w:spacing w:before="0" w:after="0" w:line="240" w:lineRule="auto"/>
            </w:pPr>
            <w:r>
              <w:rPr>
                <w:rFonts w:ascii="Inter" w:hAnsi="Inter"/>
                <w:b/>
                <w:color w:val="172033"/>
                <w:sz w:val="16"/>
              </w:rPr>
              <w:t>Prepared for</w:t>
            </w:r>
          </w:p>
        </w:tc>
        <w:tc>
          <w:tcPr>
            <w:tcW w:type="dxa" w:w="6696"/>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SimpleBIZ Systems</w:t>
            </w:r>
          </w:p>
        </w:tc>
      </w:tr>
      <w:tr>
        <w:trPr>
          <w:cantSplit/>
        </w:trPr>
        <w:tc>
          <w:tcPr>
            <w:tcW w:type="dxa" w:w="2880"/>
            <w:vAlign w:val="center"/>
            <w:tcMar>
              <w:top w:w="55" w:type="dxa"/>
              <w:start w:w="75" w:type="dxa"/>
              <w:bottom w:w="55" w:type="dxa"/>
              <w:end w:w="75" w:type="dxa"/>
            </w:tcMar>
          </w:tcPr>
          <w:p>
            <w:pPr>
              <w:spacing w:before="0" w:after="0" w:line="240" w:lineRule="auto"/>
            </w:pPr>
            <w:r>
              <w:rPr>
                <w:rFonts w:ascii="Inter" w:hAnsi="Inter"/>
                <w:b/>
                <w:color w:val="172033"/>
                <w:sz w:val="16"/>
              </w:rPr>
              <w:t>Confidentiality</w:t>
            </w:r>
          </w:p>
        </w:tc>
        <w:tc>
          <w:tcPr>
            <w:tcW w:type="dxa" w:w="6696"/>
            <w:vAlign w:val="center"/>
            <w:tcMar>
              <w:top w:w="55" w:type="dxa"/>
              <w:start w:w="75" w:type="dxa"/>
              <w:bottom w:w="55" w:type="dxa"/>
              <w:end w:w="75" w:type="dxa"/>
            </w:tcMar>
          </w:tcPr>
          <w:p>
            <w:pPr>
              <w:spacing w:before="0" w:after="0" w:line="240" w:lineRule="auto"/>
            </w:pPr>
            <w:r>
              <w:rPr>
                <w:rFonts w:ascii="Inter" w:hAnsi="Inter"/>
                <w:b w:val="0"/>
                <w:color w:val="172033"/>
                <w:sz w:val="16"/>
              </w:rPr>
              <w:t>Internal Product and Engineering Document</w:t>
            </w:r>
          </w:p>
        </w:tc>
      </w:tr>
    </w:tbl>
    <w:p>
      <w:pPr>
        <w:spacing w:after="80" w:line="259" w:lineRule="auto"/>
      </w:pPr>
    </w:p>
    <w:p>
      <w:pPr>
        <w:pStyle w:val="Heading1"/>
        <w:keepNext/>
        <w:pageBreakBefore w:val="0"/>
      </w:pPr>
      <w:r>
        <w:t>Revision History</w:t>
      </w:r>
    </w:p>
    <w:tbl>
      <w:tblPr>
        <w:tblStyle w:val="TableGrid"/>
        <w:tblW w:type="auto" w:w="0"/>
        <w:jc w:val="center"/>
        <w:tblLayout w:type="fixed"/>
        <w:tblLook w:firstColumn="1" w:firstRow="1" w:lastColumn="0" w:lastRow="0" w:noHBand="0" w:noVBand="1" w:val="04A0"/>
      </w:tblPr>
      <w:tblGrid>
        <w:gridCol w:w="2565"/>
        <w:gridCol w:w="2565"/>
        <w:gridCol w:w="2565"/>
        <w:gridCol w:w="2565"/>
      </w:tblGrid>
      <w:tr>
        <w:trPr>
          <w:tblHeader w:val="true"/>
          <w:cantSplit/>
        </w:trPr>
        <w:tc>
          <w:tcPr>
            <w:tcW w:type="dxa" w:w="108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Version</w:t>
            </w:r>
          </w:p>
        </w:tc>
        <w:tc>
          <w:tcPr>
            <w:tcW w:type="dxa" w:w="172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Date</w:t>
            </w:r>
          </w:p>
        </w:tc>
        <w:tc>
          <w:tcPr>
            <w:tcW w:type="dxa" w:w="1656"/>
            <w:shd w:fill="E7F0F8"/>
            <w:vAlign w:val="center"/>
            <w:tcMar>
              <w:top w:w="55" w:type="dxa"/>
              <w:start w:w="75" w:type="dxa"/>
              <w:bottom w:w="55" w:type="dxa"/>
              <w:end w:w="75" w:type="dxa"/>
            </w:tcMar>
          </w:tcPr>
          <w:p>
            <w:pPr>
              <w:spacing w:before="0" w:after="0" w:line="240" w:lineRule="auto"/>
            </w:pPr>
            <w:r>
              <w:rPr>
                <w:rFonts w:ascii="Inter" w:hAnsi="Inter"/>
                <w:b/>
                <w:color w:val="172033"/>
                <w:sz w:val="16"/>
              </w:rPr>
              <w:t>Status</w:t>
            </w:r>
          </w:p>
        </w:tc>
        <w:tc>
          <w:tcPr>
            <w:tcW w:type="dxa" w:w="5112"/>
            <w:shd w:fill="E7F0F8"/>
            <w:vAlign w:val="center"/>
            <w:tcMar>
              <w:top w:w="55" w:type="dxa"/>
              <w:start w:w="75" w:type="dxa"/>
              <w:bottom w:w="55" w:type="dxa"/>
              <w:end w:w="75" w:type="dxa"/>
            </w:tcMar>
          </w:tcPr>
          <w:p>
            <w:pPr>
              <w:spacing w:before="0" w:after="0" w:line="240" w:lineRule="auto"/>
            </w:pPr>
            <w:r>
              <w:rPr>
                <w:rFonts w:ascii="Inter" w:hAnsi="Inter"/>
                <w:b/>
                <w:color w:val="172033"/>
                <w:sz w:val="16"/>
              </w:rPr>
              <w:t>Summary</w:t>
            </w:r>
          </w:p>
        </w:tc>
      </w:tr>
      <w:tr>
        <w:trPr>
          <w:cantSplit/>
        </w:trPr>
        <w:tc>
          <w:tcPr>
            <w:tcW w:type="dxa" w:w="1080"/>
            <w:vAlign w:val="center"/>
            <w:tcMar>
              <w:top w:w="55" w:type="dxa"/>
              <w:start w:w="75" w:type="dxa"/>
              <w:bottom w:w="55" w:type="dxa"/>
              <w:end w:w="75" w:type="dxa"/>
            </w:tcMar>
          </w:tcPr>
          <w:p>
            <w:pPr>
              <w:spacing w:before="0" w:after="0" w:line="240" w:lineRule="auto"/>
            </w:pPr>
            <w:r>
              <w:rPr>
                <w:rFonts w:ascii="Inter" w:hAnsi="Inter"/>
                <w:b w:val="0"/>
                <w:color w:val="172033"/>
                <w:sz w:val="16"/>
              </w:rPr>
              <w:t>1.0</w:t>
            </w:r>
          </w:p>
        </w:tc>
        <w:tc>
          <w:tcPr>
            <w:tcW w:type="dxa" w:w="1728"/>
            <w:vAlign w:val="center"/>
            <w:tcMar>
              <w:top w:w="55" w:type="dxa"/>
              <w:start w:w="75" w:type="dxa"/>
              <w:bottom w:w="55" w:type="dxa"/>
              <w:end w:w="75" w:type="dxa"/>
            </w:tcMar>
          </w:tcPr>
          <w:p>
            <w:pPr>
              <w:spacing w:before="0" w:after="0" w:line="240" w:lineRule="auto"/>
            </w:pPr>
            <w:r>
              <w:rPr>
                <w:rFonts w:ascii="Inter" w:hAnsi="Inter"/>
                <w:b w:val="0"/>
                <w:color w:val="172033"/>
                <w:sz w:val="16"/>
              </w:rPr>
              <w:t>31 July 2026</w:t>
            </w:r>
          </w:p>
        </w:tc>
        <w:tc>
          <w:tcPr>
            <w:tcW w:type="dxa" w:w="1656"/>
            <w:vAlign w:val="center"/>
            <w:tcMar>
              <w:top w:w="55" w:type="dxa"/>
              <w:start w:w="75" w:type="dxa"/>
              <w:bottom w:w="55" w:type="dxa"/>
              <w:end w:w="75" w:type="dxa"/>
            </w:tcMar>
          </w:tcPr>
          <w:p>
            <w:pPr>
              <w:spacing w:before="0" w:after="0" w:line="240" w:lineRule="auto"/>
            </w:pPr>
            <w:r>
              <w:rPr>
                <w:rFonts w:ascii="Inter" w:hAnsi="Inter"/>
                <w:b w:val="0"/>
                <w:color w:val="172033"/>
                <w:sz w:val="16"/>
              </w:rPr>
              <w:t>For Review</w:t>
            </w:r>
          </w:p>
        </w:tc>
        <w:tc>
          <w:tcPr>
            <w:tcW w:type="dxa" w:w="5112"/>
            <w:vAlign w:val="center"/>
            <w:tcMar>
              <w:top w:w="55" w:type="dxa"/>
              <w:start w:w="75" w:type="dxa"/>
              <w:bottom w:w="55" w:type="dxa"/>
              <w:end w:w="75" w:type="dxa"/>
            </w:tcMar>
          </w:tcPr>
          <w:p>
            <w:pPr>
              <w:spacing w:before="0" w:after="0" w:line="240" w:lineRule="auto"/>
            </w:pPr>
            <w:r>
              <w:rPr>
                <w:rFonts w:ascii="Inter" w:hAnsi="Inter"/>
                <w:b w:val="0"/>
                <w:color w:val="172033"/>
                <w:sz w:val="16"/>
              </w:rPr>
              <w:t>Recast the prior Reports design as MDS-900 Reports &amp; Analytics; aligned ownership, structure, terminology, cross-module analytics, security, editions, AI readiness, and report governance with MDS-000 v1.2 and the approved 12-document MDS series.</w:t>
            </w:r>
          </w:p>
        </w:tc>
      </w:tr>
    </w:tbl>
    <w:p>
      <w:pPr>
        <w:spacing w:after="80" w:line="259" w:lineRule="auto"/>
      </w:pPr>
    </w:p>
    <w:p>
      <w:pPr>
        <w:pStyle w:val="Heading1"/>
        <w:keepNext/>
        <w:pageBreakBefore w:val="0"/>
      </w:pPr>
      <w:r>
        <w:t>Related and Governing Documents</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80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Reference</w:t>
            </w:r>
          </w:p>
        </w:tc>
        <w:tc>
          <w:tcPr>
            <w:tcW w:type="dxa" w:w="244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Document / Domain</w:t>
            </w:r>
          </w:p>
        </w:tc>
        <w:tc>
          <w:tcPr>
            <w:tcW w:type="dxa" w:w="532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Relevance</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val="0"/>
                <w:color w:val="172033"/>
                <w:sz w:val="15"/>
              </w:rPr>
              <w:t>MDS-000 v1.2</w:t>
            </w:r>
          </w:p>
        </w:tc>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5"/>
              </w:rPr>
              <w:t>SimpleBIZ One Core</w:t>
            </w:r>
          </w:p>
        </w:tc>
        <w:tc>
          <w:tcPr>
            <w:tcW w:type="dxa" w:w="5328"/>
            <w:vAlign w:val="center"/>
            <w:tcMar>
              <w:top w:w="55" w:type="dxa"/>
              <w:start w:w="75" w:type="dxa"/>
              <w:bottom w:w="55" w:type="dxa"/>
              <w:end w:w="75" w:type="dxa"/>
            </w:tcMar>
          </w:tcPr>
          <w:p>
            <w:pPr>
              <w:spacing w:before="0" w:after="0" w:line="240" w:lineRule="auto"/>
            </w:pPr>
            <w:r>
              <w:rPr>
                <w:rFonts w:ascii="Inter" w:hAnsi="Inter"/>
                <w:b w:val="0"/>
                <w:color w:val="172033"/>
                <w:sz w:val="15"/>
              </w:rPr>
              <w:t>Governs ownership, source-of-truth, shared reporting, permissions, reproducibility, drill-down, export, audit, AI, and the 21-section MDS structure.</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MDS-100</w:t>
            </w:r>
          </w:p>
        </w:tc>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Dashboard</w:t>
            </w:r>
          </w:p>
        </w:tc>
        <w:tc>
          <w:tcPr>
            <w:tcW w:type="dxa" w:w="532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Consumes governed MDS-900 outputs and provides report entry points; never becomes a second reporting source.</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val="0"/>
                <w:color w:val="172033"/>
                <w:sz w:val="15"/>
              </w:rPr>
              <w:t>MDS-200</w:t>
            </w:r>
          </w:p>
        </w:tc>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5"/>
              </w:rPr>
              <w:t>Sales &amp; Receivables</w:t>
            </w:r>
          </w:p>
        </w:tc>
        <w:tc>
          <w:tcPr>
            <w:tcW w:type="dxa" w:w="5328"/>
            <w:vAlign w:val="center"/>
            <w:tcMar>
              <w:top w:w="55" w:type="dxa"/>
              <w:start w:w="75" w:type="dxa"/>
              <w:bottom w:w="55" w:type="dxa"/>
              <w:end w:w="75" w:type="dxa"/>
            </w:tcMar>
          </w:tcPr>
          <w:p>
            <w:pPr>
              <w:spacing w:before="0" w:after="0" w:line="240" w:lineRule="auto"/>
            </w:pPr>
            <w:r>
              <w:rPr>
                <w:rFonts w:ascii="Inter" w:hAnsi="Inter"/>
                <w:b w:val="0"/>
                <w:color w:val="172033"/>
                <w:sz w:val="15"/>
              </w:rPr>
              <w:t>Owns sales, revenue, customer charge, receivable, sales adjustment, and module report definitions.</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MDS-300</w:t>
            </w:r>
          </w:p>
        </w:tc>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Collections &amp; Receipts</w:t>
            </w:r>
          </w:p>
        </w:tc>
        <w:tc>
          <w:tcPr>
            <w:tcW w:type="dxa" w:w="532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Owns receipts, collection applications, remittance, collection history, and related report definitions.</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val="0"/>
                <w:color w:val="172033"/>
                <w:sz w:val="15"/>
              </w:rPr>
              <w:t>MDS-400</w:t>
            </w:r>
          </w:p>
        </w:tc>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5"/>
              </w:rPr>
              <w:t>Purchases &amp; Payables</w:t>
            </w:r>
          </w:p>
        </w:tc>
        <w:tc>
          <w:tcPr>
            <w:tcW w:type="dxa" w:w="5328"/>
            <w:vAlign w:val="center"/>
            <w:tcMar>
              <w:top w:w="55" w:type="dxa"/>
              <w:start w:w="75" w:type="dxa"/>
              <w:bottom w:w="55" w:type="dxa"/>
              <w:end w:w="75" w:type="dxa"/>
            </w:tcMar>
          </w:tcPr>
          <w:p>
            <w:pPr>
              <w:spacing w:before="0" w:after="0" w:line="240" w:lineRule="auto"/>
            </w:pPr>
            <w:r>
              <w:rPr>
                <w:rFonts w:ascii="Inter" w:hAnsi="Inter"/>
                <w:b w:val="0"/>
                <w:color w:val="172033"/>
                <w:sz w:val="15"/>
              </w:rPr>
              <w:t>Owns purchase, supplier obligation, due-date, and payable report definitions.</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MDS-500</w:t>
            </w:r>
          </w:p>
        </w:tc>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Payments &amp; Disbursements</w:t>
            </w:r>
          </w:p>
        </w:tc>
        <w:tc>
          <w:tcPr>
            <w:tcW w:type="dxa" w:w="532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Owns outgoing payment, allocation, confirmation, void, failure, and disbursement report definitions.</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val="0"/>
                <w:color w:val="172033"/>
                <w:sz w:val="15"/>
              </w:rPr>
              <w:t>MDS-600</w:t>
            </w:r>
          </w:p>
        </w:tc>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5"/>
              </w:rPr>
              <w:t>Inventory</w:t>
            </w:r>
          </w:p>
        </w:tc>
        <w:tc>
          <w:tcPr>
            <w:tcW w:type="dxa" w:w="5328"/>
            <w:vAlign w:val="center"/>
            <w:tcMar>
              <w:top w:w="55" w:type="dxa"/>
              <w:start w:w="75" w:type="dxa"/>
              <w:bottom w:w="55" w:type="dxa"/>
              <w:end w:w="75" w:type="dxa"/>
            </w:tcMar>
          </w:tcPr>
          <w:p>
            <w:pPr>
              <w:spacing w:before="0" w:after="0" w:line="240" w:lineRule="auto"/>
            </w:pPr>
            <w:r>
              <w:rPr>
                <w:rFonts w:ascii="Inter" w:hAnsi="Inter"/>
                <w:b w:val="0"/>
                <w:color w:val="172033"/>
                <w:sz w:val="15"/>
              </w:rPr>
              <w:t>Owns stock quantity, movement, availability, count, and valuation source definitions.</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MDS-700</w:t>
            </w:r>
          </w:p>
        </w:tc>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Cash Accounts</w:t>
            </w:r>
          </w:p>
        </w:tc>
        <w:tc>
          <w:tcPr>
            <w:tcW w:type="dxa" w:w="532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Owns cash-account ledgers, balances, transfers, reconciliation, and cash report source definitions.</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val="0"/>
                <w:color w:val="172033"/>
                <w:sz w:val="15"/>
              </w:rPr>
              <w:t>MDS-800</w:t>
            </w:r>
          </w:p>
        </w:tc>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5"/>
              </w:rPr>
              <w:t>Expenses</w:t>
            </w:r>
          </w:p>
        </w:tc>
        <w:tc>
          <w:tcPr>
            <w:tcW w:type="dxa" w:w="5328"/>
            <w:vAlign w:val="center"/>
            <w:tcMar>
              <w:top w:w="55" w:type="dxa"/>
              <w:start w:w="75" w:type="dxa"/>
              <w:bottom w:w="55" w:type="dxa"/>
              <w:end w:w="75" w:type="dxa"/>
            </w:tcMar>
          </w:tcPr>
          <w:p>
            <w:pPr>
              <w:spacing w:before="0" w:after="0" w:line="240" w:lineRule="auto"/>
            </w:pPr>
            <w:r>
              <w:rPr>
                <w:rFonts w:ascii="Inter" w:hAnsi="Inter"/>
                <w:b w:val="0"/>
                <w:color w:val="172033"/>
                <w:sz w:val="15"/>
              </w:rPr>
              <w:t>Owns expense recognition, classification, evidence, allocation, obligation, and expense report source definitions.</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MDS-1000</w:t>
            </w:r>
          </w:p>
        </w:tc>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Master Registries</w:t>
            </w:r>
          </w:p>
        </w:tc>
        <w:tc>
          <w:tcPr>
            <w:tcW w:type="dxa" w:w="532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Owns the shared business dimensions referenced by reports.</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val="0"/>
                <w:color w:val="172033"/>
                <w:sz w:val="15"/>
              </w:rPr>
              <w:t>MDS-1100</w:t>
            </w:r>
          </w:p>
        </w:tc>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5"/>
              </w:rPr>
              <w:t>Settings &amp; Administration</w:t>
            </w:r>
          </w:p>
        </w:tc>
        <w:tc>
          <w:tcPr>
            <w:tcW w:type="dxa" w:w="5328"/>
            <w:vAlign w:val="center"/>
            <w:tcMar>
              <w:top w:w="55" w:type="dxa"/>
              <w:start w:w="75" w:type="dxa"/>
              <w:bottom w:w="55" w:type="dxa"/>
              <w:end w:w="75" w:type="dxa"/>
            </w:tcMar>
          </w:tcPr>
          <w:p>
            <w:pPr>
              <w:spacing w:before="0" w:after="0" w:line="240" w:lineRule="auto"/>
            </w:pPr>
            <w:r>
              <w:rPr>
                <w:rFonts w:ascii="Inter" w:hAnsi="Inter"/>
                <w:b w:val="0"/>
                <w:color w:val="172033"/>
                <w:sz w:val="15"/>
              </w:rPr>
              <w:t>Owns reporting permissions, formats, schedules, retention, localization, delivery, and integration settings.</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UID-000 / WF-RPT-001</w:t>
            </w:r>
          </w:p>
        </w:tc>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UI and Reports Workspace</w:t>
            </w:r>
          </w:p>
        </w:tc>
        <w:tc>
          <w:tcPr>
            <w:tcW w:type="dxa" w:w="532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Governs the report catalog, Display Report experience, filters, drill-down, responsiveness, accessibility, and screen flow.</w:t>
            </w:r>
          </w:p>
        </w:tc>
      </w:tr>
    </w:tbl>
    <w:p>
      <w:pPr>
        <w:spacing w:after="80" w:line="259" w:lineRule="auto"/>
      </w:pPr>
    </w:p>
    <w:p>
      <w:pPr>
        <w:pStyle w:val="Heading1"/>
        <w:keepNext/>
        <w:pageBreakBefore w:val="0"/>
      </w:pPr>
      <w:r>
        <w:t>Contents at a Glance</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80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Part</w:t>
            </w:r>
          </w:p>
        </w:tc>
        <w:tc>
          <w:tcPr>
            <w:tcW w:type="dxa" w:w="4896"/>
            <w:shd w:fill="E7F0F8"/>
            <w:vAlign w:val="center"/>
            <w:tcMar>
              <w:top w:w="55" w:type="dxa"/>
              <w:start w:w="75" w:type="dxa"/>
              <w:bottom w:w="55" w:type="dxa"/>
              <w:end w:w="75" w:type="dxa"/>
            </w:tcMar>
          </w:tcPr>
          <w:p>
            <w:pPr>
              <w:spacing w:before="0" w:after="0" w:line="240" w:lineRule="auto"/>
            </w:pPr>
            <w:r>
              <w:rPr>
                <w:rFonts w:ascii="Inter" w:hAnsi="Inter"/>
                <w:b/>
                <w:color w:val="172033"/>
                <w:sz w:val="16"/>
              </w:rPr>
              <w:t>Coverage</w:t>
            </w:r>
          </w:p>
        </w:tc>
        <w:tc>
          <w:tcPr>
            <w:tcW w:type="dxa" w:w="288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Sections</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val="0"/>
                <w:color w:val="172033"/>
                <w:sz w:val="16"/>
              </w:rPr>
              <w:t>I - Foundation</w:t>
            </w:r>
          </w:p>
        </w:tc>
        <w:tc>
          <w:tcPr>
            <w:tcW w:type="dxa" w:w="4896"/>
            <w:vAlign w:val="center"/>
            <w:tcMar>
              <w:top w:w="55" w:type="dxa"/>
              <w:start w:w="75" w:type="dxa"/>
              <w:bottom w:w="55" w:type="dxa"/>
              <w:end w:w="75" w:type="dxa"/>
            </w:tcMar>
          </w:tcPr>
          <w:p>
            <w:pPr>
              <w:spacing w:before="0" w:after="0" w:line="240" w:lineRule="auto"/>
            </w:pPr>
            <w:r>
              <w:rPr>
                <w:rFonts w:ascii="Inter" w:hAnsi="Inter"/>
                <w:b w:val="0"/>
                <w:color w:val="172033"/>
                <w:sz w:val="16"/>
              </w:rPr>
              <w:t>Purpose, scope, ownership, users, information products, and module boundaries.</w:t>
            </w:r>
          </w:p>
        </w:tc>
        <w:tc>
          <w:tcPr>
            <w:tcW w:type="dxa" w:w="2880"/>
            <w:vAlign w:val="center"/>
            <w:tcMar>
              <w:top w:w="55" w:type="dxa"/>
              <w:start w:w="75" w:type="dxa"/>
              <w:bottom w:w="55" w:type="dxa"/>
              <w:end w:w="75" w:type="dxa"/>
            </w:tcMar>
          </w:tcPr>
          <w:p>
            <w:pPr>
              <w:spacing w:before="0" w:after="0" w:line="240" w:lineRule="auto"/>
            </w:pPr>
            <w:r>
              <w:rPr>
                <w:rFonts w:ascii="Inter" w:hAnsi="Inter"/>
                <w:b w:val="0"/>
                <w:color w:val="172033"/>
                <w:sz w:val="16"/>
              </w:rPr>
              <w:t>1-4</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II - Functional Design</w:t>
            </w:r>
          </w:p>
        </w:tc>
        <w:tc>
          <w:tcPr>
            <w:tcW w:type="dxa" w:w="4896"/>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Catalog, parameters, generation, display, outputs, events, requirements, rules, workflows, statuses, and exceptions.</w:t>
            </w:r>
          </w:p>
        </w:tc>
        <w:tc>
          <w:tcPr>
            <w:tcW w:type="dxa" w:w="2880"/>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5-11</w:t>
            </w:r>
          </w:p>
        </w:tc>
      </w:tr>
      <w:tr>
        <w:trPr>
          <w:cantSplit/>
        </w:trPr>
        <w:tc>
          <w:tcPr>
            <w:tcW w:type="dxa" w:w="1800"/>
            <w:vAlign w:val="center"/>
            <w:tcMar>
              <w:top w:w="55" w:type="dxa"/>
              <w:start w:w="75" w:type="dxa"/>
              <w:bottom w:w="55" w:type="dxa"/>
              <w:end w:w="75" w:type="dxa"/>
            </w:tcMar>
          </w:tcPr>
          <w:p>
            <w:pPr>
              <w:spacing w:before="0" w:after="0" w:line="240" w:lineRule="auto"/>
            </w:pPr>
            <w:r>
              <w:rPr>
                <w:rFonts w:ascii="Inter" w:hAnsi="Inter"/>
                <w:b w:val="0"/>
                <w:color w:val="172033"/>
                <w:sz w:val="16"/>
              </w:rPr>
              <w:t>III - Integration and Information</w:t>
            </w:r>
          </w:p>
        </w:tc>
        <w:tc>
          <w:tcPr>
            <w:tcW w:type="dxa" w:w="4896"/>
            <w:vAlign w:val="center"/>
            <w:tcMar>
              <w:top w:w="55" w:type="dxa"/>
              <w:start w:w="75" w:type="dxa"/>
              <w:bottom w:w="55" w:type="dxa"/>
              <w:end w:w="75" w:type="dxa"/>
            </w:tcMar>
          </w:tcPr>
          <w:p>
            <w:pPr>
              <w:spacing w:before="0" w:after="0" w:line="240" w:lineRule="auto"/>
            </w:pPr>
            <w:r>
              <w:rPr>
                <w:rFonts w:ascii="Inter" w:hAnsi="Inter"/>
                <w:b w:val="0"/>
                <w:color w:val="172033"/>
                <w:sz w:val="16"/>
              </w:rPr>
              <w:t>Source contracts, report categories, analytics, notifications, security, entities, and editions.</w:t>
            </w:r>
          </w:p>
        </w:tc>
        <w:tc>
          <w:tcPr>
            <w:tcW w:type="dxa" w:w="2880"/>
            <w:vAlign w:val="center"/>
            <w:tcMar>
              <w:top w:w="55" w:type="dxa"/>
              <w:start w:w="75" w:type="dxa"/>
              <w:bottom w:w="55" w:type="dxa"/>
              <w:end w:w="75" w:type="dxa"/>
            </w:tcMar>
          </w:tcPr>
          <w:p>
            <w:pPr>
              <w:spacing w:before="0" w:after="0" w:line="240" w:lineRule="auto"/>
            </w:pPr>
            <w:r>
              <w:rPr>
                <w:rFonts w:ascii="Inter" w:hAnsi="Inter"/>
                <w:b w:val="0"/>
                <w:color w:val="172033"/>
                <w:sz w:val="16"/>
              </w:rPr>
              <w:t>12-17</w:t>
            </w:r>
          </w:p>
        </w:tc>
      </w:tr>
      <w:tr>
        <w:trPr>
          <w:cantSplit/>
        </w:trPr>
        <w:tc>
          <w:tcPr>
            <w:tcW w:type="dxa" w:w="1800"/>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IV - Quality and Evolution</w:t>
            </w:r>
          </w:p>
        </w:tc>
        <w:tc>
          <w:tcPr>
            <w:tcW w:type="dxa" w:w="4896"/>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Performance, reliability, accessibility, AI readiness, ERP growth, success measures, and formal statement.</w:t>
            </w:r>
          </w:p>
        </w:tc>
        <w:tc>
          <w:tcPr>
            <w:tcW w:type="dxa" w:w="2880"/>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18-21 and Appendices</w:t>
            </w:r>
          </w:p>
        </w:tc>
      </w:tr>
    </w:tbl>
    <w:p>
      <w:pPr>
        <w:pStyle w:val="PartTitle"/>
        <w:pageBreakBefore/>
      </w:pPr>
      <w:r>
        <w:t>PART I</w:t>
      </w:r>
    </w:p>
    <w:p>
      <w:pPr>
        <w:pStyle w:val="PartName"/>
      </w:pPr>
      <w:r>
        <w:t>Foundation</w:t>
      </w:r>
    </w:p>
    <w:p>
      <w:pPr>
        <w:pStyle w:val="PartSubtitle"/>
      </w:pPr>
      <w:r>
        <w:t>Purpose, scope, ownership, business value, users, information products, and module boundaries.</w:t>
      </w:r>
    </w:p>
    <w:p>
      <w:pPr>
        <w:pStyle w:val="Heading1"/>
        <w:keepNext/>
        <w:pageBreakBefore w:val="0"/>
      </w:pPr>
      <w:r>
        <w:t>1. Introduction</w:t>
      </w:r>
    </w:p>
    <w:p>
      <w:pPr>
        <w:spacing w:after="80" w:line="259" w:lineRule="auto"/>
      </w:pPr>
      <w:r>
        <w:rPr>
          <w:rFonts w:ascii="Inter" w:hAnsi="Inter"/>
          <w:color w:val="172033"/>
          <w:sz w:val="18"/>
        </w:rPr>
        <w:t>The Reports &amp; Analytics Module transforms validated SimpleBIZ business data into understandable information for owners, managers, accountants, bookkeepers, supervisors, and authorized operational users. It provides one governed place to find, generate, display, compare, print, export, schedule, and revisit reports across the platform.</w:t>
      </w:r>
    </w:p>
    <w:p>
      <w:pPr>
        <w:spacing w:after="80" w:line="259" w:lineRule="auto"/>
      </w:pPr>
      <w:r>
        <w:rPr>
          <w:rFonts w:ascii="Inter" w:hAnsi="Inter"/>
          <w:color w:val="172033"/>
          <w:sz w:val="18"/>
        </w:rPr>
        <w:t>MDS-900 is not a transaction module and is not a second ledger. Sales, Collections, Purchases, Payments, Inventory, Cash Accounts, Expenses, Master Registries, and Settings continue to own their authoritative records, rules, calculations, statuses, and corrections. MDS-900 applies approved report definitions to those governed sources and preserves the context required to reproduce and explain each output.</w:t>
      </w:r>
    </w:p>
    <w:tbl>
      <w:tblPr>
        <w:tblStyle w:val="TableGrid"/>
        <w:tblW w:type="auto" w:w="0"/>
        <w:jc w:val="center"/>
        <w:tblLayout w:type="fixed"/>
        <w:tblLook w:firstColumn="1" w:firstRow="1" w:lastColumn="0" w:lastRow="0" w:noHBand="0" w:noVBand="1" w:val="04A0"/>
      </w:tblPr>
      <w:tblGrid>
        <w:gridCol w:w="10262"/>
      </w:tblGrid>
      <w:tr>
        <w:tc>
          <w:tcPr>
            <w:tcW w:type="dxa" w:w="9576"/>
            <w:shd w:fill="E7F0F8"/>
            <w:tcBorders>
              <w:left w:val="single" w:sz="18" w:color="2F78B7"/>
              <w:top w:val="single" w:sz="4" w:color="B7C9DA"/>
              <w:bottom w:val="single" w:sz="4" w:color="B7C9DA"/>
              <w:right w:val="single" w:sz="4" w:color="B7C9DA"/>
            </w:tcBorders>
          </w:tcPr>
          <w:p>
            <w:pPr>
              <w:spacing w:after="0"/>
            </w:pPr>
            <w:r>
              <w:rPr>
                <w:rFonts w:ascii="Inter" w:hAnsi="Inter"/>
                <w:b/>
                <w:color w:val="1A2D44"/>
                <w:sz w:val="17"/>
              </w:rPr>
              <w:t xml:space="preserve">REPORTING DOCTRINE  </w:t>
            </w:r>
            <w:r>
              <w:rPr>
                <w:rFonts w:ascii="Inter" w:hAnsi="Inter"/>
                <w:color w:val="172033"/>
                <w:sz w:val="17"/>
              </w:rPr>
              <w:t>Operational modules create and own business facts. Reports &amp; Analytics transforms those facts into information. It shall never silently replace source calculations, rewrite business records, or maintain competing balances.</w:t>
            </w:r>
          </w:p>
        </w:tc>
      </w:tr>
    </w:tbl>
    <w:p>
      <w:pPr>
        <w:spacing w:after="80" w:line="259" w:lineRule="auto"/>
      </w:pPr>
    </w:p>
    <w:p>
      <w:pPr>
        <w:pStyle w:val="Heading1"/>
        <w:keepNext/>
        <w:pageBreakBefore w:val="0"/>
      </w:pPr>
      <w:r>
        <w:t>2. Purpose</w:t>
      </w:r>
    </w:p>
    <w:p>
      <w:pPr>
        <w:spacing w:after="80" w:line="259" w:lineRule="auto"/>
      </w:pPr>
      <w:r>
        <w:rPr>
          <w:rFonts w:ascii="Inter" w:hAnsi="Inter"/>
          <w:color w:val="172033"/>
          <w:sz w:val="18"/>
        </w:rPr>
        <w:t>This specification defines the functional, information, control, integration, security, user-experience, edition, and quality design of MDS-900. It provides the acceptance source for UID, WF, SCR, API, DBS, TST, development, deployment, and operational-support artifacts related to reporting and analytics.</w:t>
      </w:r>
    </w:p>
    <w:p>
      <w:pPr>
        <w:pStyle w:val="ListBullet"/>
        <w:spacing w:after="40" w:line="247" w:lineRule="auto"/>
      </w:pPr>
      <w:r>
        <w:rPr>
          <w:rFonts w:ascii="Inter" w:hAnsi="Inter"/>
          <w:color w:val="172033"/>
          <w:sz w:val="18"/>
        </w:rPr>
        <w:t>Provide one authorized report catalog across all SimpleBIZ modules.</w:t>
      </w:r>
    </w:p>
    <w:p>
      <w:pPr>
        <w:pStyle w:val="ListBullet"/>
        <w:spacing w:after="40" w:line="247" w:lineRule="auto"/>
      </w:pPr>
      <w:r>
        <w:rPr>
          <w:rFonts w:ascii="Inter" w:hAnsi="Inter"/>
          <w:color w:val="172033"/>
          <w:sz w:val="18"/>
        </w:rPr>
        <w:t>Standardize report parameters, periods, filters, grouping, sorting, currency, accounting basis, status basis, and data-freshness disclosure.</w:t>
      </w:r>
    </w:p>
    <w:p>
      <w:pPr>
        <w:pStyle w:val="ListBullet"/>
        <w:spacing w:after="40" w:line="247" w:lineRule="auto"/>
      </w:pPr>
      <w:r>
        <w:rPr>
          <w:rFonts w:ascii="Inter" w:hAnsi="Inter"/>
          <w:color w:val="172033"/>
          <w:sz w:val="18"/>
        </w:rPr>
        <w:t>Generate accurate and reproducible outputs from governed source data.</w:t>
      </w:r>
    </w:p>
    <w:p>
      <w:pPr>
        <w:pStyle w:val="ListBullet"/>
        <w:spacing w:after="40" w:line="247" w:lineRule="auto"/>
      </w:pPr>
      <w:r>
        <w:rPr>
          <w:rFonts w:ascii="Inter" w:hAnsi="Inter"/>
          <w:color w:val="172033"/>
          <w:sz w:val="18"/>
        </w:rPr>
        <w:t>Use Display Report as the plain-language on-screen presentation action, with print and export as controlled follow-on actions.</w:t>
      </w:r>
    </w:p>
    <w:p>
      <w:pPr>
        <w:pStyle w:val="ListBullet"/>
        <w:spacing w:after="40" w:line="247" w:lineRule="auto"/>
      </w:pPr>
      <w:r>
        <w:rPr>
          <w:rFonts w:ascii="Inter" w:hAnsi="Inter"/>
          <w:color w:val="172033"/>
          <w:sz w:val="18"/>
        </w:rPr>
        <w:t>Enable authorized drill-down from summaries to source records without changing the selected report context.</w:t>
      </w:r>
    </w:p>
    <w:p>
      <w:pPr>
        <w:pStyle w:val="ListBullet"/>
        <w:spacing w:after="40" w:line="247" w:lineRule="auto"/>
      </w:pPr>
      <w:r>
        <w:rPr>
          <w:rFonts w:ascii="Inter" w:hAnsi="Inter"/>
          <w:color w:val="172033"/>
          <w:sz w:val="18"/>
        </w:rPr>
        <w:t>Support favorites, saved views, scheduling, delivery, comparisons, dashboards, and future business intelligence by edition.</w:t>
      </w:r>
    </w:p>
    <w:p>
      <w:pPr>
        <w:pStyle w:val="ListBullet"/>
        <w:spacing w:after="40" w:line="247" w:lineRule="auto"/>
      </w:pPr>
      <w:r>
        <w:rPr>
          <w:rFonts w:ascii="Inter" w:hAnsi="Inter"/>
          <w:color w:val="172033"/>
          <w:sz w:val="18"/>
        </w:rPr>
        <w:t>Protect sensitive financial, payroll-ready, customer, supplier, cash, margin, cost, tax, and personal information.</w:t>
      </w:r>
    </w:p>
    <w:p>
      <w:pPr>
        <w:pStyle w:val="ListBullet"/>
        <w:spacing w:after="40" w:line="247" w:lineRule="auto"/>
      </w:pPr>
      <w:r>
        <w:rPr>
          <w:rFonts w:ascii="Inter" w:hAnsi="Inter"/>
          <w:color w:val="172033"/>
          <w:sz w:val="18"/>
        </w:rPr>
        <w:t>Prepare structured, permission-aware, explainable information for future AI-assisted insights without removing human judgment.</w:t>
      </w:r>
    </w:p>
    <w:p>
      <w:pPr>
        <w:pStyle w:val="Heading1"/>
        <w:keepNext/>
        <w:pageBreakBefore w:val="0"/>
      </w:pPr>
      <w:r>
        <w:t>3. Scope and Boundary</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460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In scope - MDS-900 owns</w:t>
            </w:r>
          </w:p>
        </w:tc>
        <w:tc>
          <w:tcPr>
            <w:tcW w:type="dxa" w:w="496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Out of scope - authoritative owner</w:t>
            </w:r>
          </w:p>
        </w:tc>
      </w:tr>
      <w:tr>
        <w:trPr>
          <w:cantSplit/>
        </w:trPr>
        <w:tc>
          <w:tcPr>
            <w:tcW w:type="dxa" w:w="4608"/>
            <w:vAlign w:val="center"/>
            <w:tcMar>
              <w:top w:w="55" w:type="dxa"/>
              <w:start w:w="75" w:type="dxa"/>
              <w:bottom w:w="55" w:type="dxa"/>
              <w:end w:w="75" w:type="dxa"/>
            </w:tcMar>
          </w:tcPr>
          <w:p>
            <w:pPr>
              <w:spacing w:before="0" w:after="0" w:line="240" w:lineRule="auto"/>
            </w:pPr>
            <w:r>
              <w:rPr>
                <w:rFonts w:ascii="Inter" w:hAnsi="Inter"/>
                <w:b w:val="0"/>
                <w:color w:val="172033"/>
                <w:sz w:val="15"/>
              </w:rPr>
              <w:t>Consolidated report catalog, categories, search, favorites, recently used reports, and report discovery.</w:t>
            </w:r>
          </w:p>
        </w:tc>
        <w:tc>
          <w:tcPr>
            <w:tcW w:type="dxa" w:w="4968"/>
            <w:vAlign w:val="center"/>
            <w:tcMar>
              <w:top w:w="55" w:type="dxa"/>
              <w:start w:w="75" w:type="dxa"/>
              <w:bottom w:w="55" w:type="dxa"/>
              <w:end w:w="75" w:type="dxa"/>
            </w:tcMar>
          </w:tcPr>
          <w:p>
            <w:pPr>
              <w:spacing w:before="0" w:after="0" w:line="240" w:lineRule="auto"/>
            </w:pPr>
            <w:r>
              <w:rPr>
                <w:rFonts w:ascii="Inter" w:hAnsi="Inter"/>
                <w:b w:val="0"/>
                <w:color w:val="172033"/>
                <w:sz w:val="15"/>
              </w:rPr>
              <w:t>Source transactions, balances, accounting meaning, operational status, and correction - originating module.</w:t>
            </w:r>
          </w:p>
        </w:tc>
      </w:tr>
      <w:tr>
        <w:trPr>
          <w:cantSplit/>
        </w:trPr>
        <w:tc>
          <w:tcPr>
            <w:tcW w:type="dxa" w:w="460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Shared parameter framework, reporting periods, filters, grouping, sorting, comparison, layout, and output selection.</w:t>
            </w:r>
          </w:p>
        </w:tc>
        <w:tc>
          <w:tcPr>
            <w:tcW w:type="dxa" w:w="496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Company, branch, customer, supplier, product, account, warehouse, category, project, cost center, currency, and other master records - MDS-1000.</w:t>
            </w:r>
          </w:p>
        </w:tc>
      </w:tr>
      <w:tr>
        <w:trPr>
          <w:cantSplit/>
        </w:trPr>
        <w:tc>
          <w:tcPr>
            <w:tcW w:type="dxa" w:w="4608"/>
            <w:vAlign w:val="center"/>
            <w:tcMar>
              <w:top w:w="55" w:type="dxa"/>
              <w:start w:w="75" w:type="dxa"/>
              <w:bottom w:w="55" w:type="dxa"/>
              <w:end w:w="75" w:type="dxa"/>
            </w:tcMar>
          </w:tcPr>
          <w:p>
            <w:pPr>
              <w:spacing w:before="0" w:after="0" w:line="240" w:lineRule="auto"/>
            </w:pPr>
            <w:r>
              <w:rPr>
                <w:rFonts w:ascii="Inter" w:hAnsi="Inter"/>
                <w:b w:val="0"/>
                <w:color w:val="172033"/>
                <w:sz w:val="15"/>
              </w:rPr>
              <w:t>Report request orchestration, synchronous/asynchronous generation, Display Report, print, PDF, spreadsheet, CSV, and governed delivery.</w:t>
            </w:r>
          </w:p>
        </w:tc>
        <w:tc>
          <w:tcPr>
            <w:tcW w:type="dxa" w:w="4968"/>
            <w:vAlign w:val="center"/>
            <w:tcMar>
              <w:top w:w="55" w:type="dxa"/>
              <w:start w:w="75" w:type="dxa"/>
              <w:bottom w:w="55" w:type="dxa"/>
              <w:end w:w="75" w:type="dxa"/>
            </w:tcMar>
          </w:tcPr>
          <w:p>
            <w:pPr>
              <w:spacing w:before="0" w:after="0" w:line="240" w:lineRule="auto"/>
            </w:pPr>
            <w:r>
              <w:rPr>
                <w:rFonts w:ascii="Inter" w:hAnsi="Inter"/>
                <w:b w:val="0"/>
                <w:color w:val="172033"/>
                <w:sz w:val="15"/>
              </w:rPr>
              <w:t>Users, roles, permissions, schedules, localization, retention, delivery channels, subscription, and integration configuration - MDS-1100.</w:t>
            </w:r>
          </w:p>
        </w:tc>
      </w:tr>
      <w:tr>
        <w:trPr>
          <w:cantSplit/>
        </w:trPr>
        <w:tc>
          <w:tcPr>
            <w:tcW w:type="dxa" w:w="460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Cross-module analytics, comparative reporting, KPI definitions owned by MDS-900, and consolidated management views.</w:t>
            </w:r>
          </w:p>
        </w:tc>
        <w:tc>
          <w:tcPr>
            <w:tcW w:type="dxa" w:w="496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Dashboard layout, personal widgets, attention, activity, and action-task presentation - MDS-100.</w:t>
            </w:r>
          </w:p>
        </w:tc>
      </w:tr>
      <w:tr>
        <w:trPr>
          <w:cantSplit/>
        </w:trPr>
        <w:tc>
          <w:tcPr>
            <w:tcW w:type="dxa" w:w="4608"/>
            <w:vAlign w:val="center"/>
            <w:tcMar>
              <w:top w:w="55" w:type="dxa"/>
              <w:start w:w="75" w:type="dxa"/>
              <w:bottom w:w="55" w:type="dxa"/>
              <w:end w:w="75" w:type="dxa"/>
            </w:tcMar>
          </w:tcPr>
          <w:p>
            <w:pPr>
              <w:spacing w:before="0" w:after="0" w:line="240" w:lineRule="auto"/>
            </w:pPr>
            <w:r>
              <w:rPr>
                <w:rFonts w:ascii="Inter" w:hAnsi="Inter"/>
                <w:b w:val="0"/>
                <w:color w:val="172033"/>
                <w:sz w:val="15"/>
              </w:rPr>
              <w:t>Report output identity, parameter snapshot, definition version, freshness, generation history, export evidence, and schedule execution history.</w:t>
            </w:r>
          </w:p>
        </w:tc>
        <w:tc>
          <w:tcPr>
            <w:tcW w:type="dxa" w:w="4968"/>
            <w:vAlign w:val="center"/>
            <w:tcMar>
              <w:top w:w="55" w:type="dxa"/>
              <w:start w:w="75" w:type="dxa"/>
              <w:bottom w:w="55" w:type="dxa"/>
              <w:end w:w="75" w:type="dxa"/>
            </w:tcMar>
          </w:tcPr>
          <w:p>
            <w:pPr>
              <w:spacing w:before="0" w:after="0" w:line="240" w:lineRule="auto"/>
            </w:pPr>
            <w:r>
              <w:rPr>
                <w:rFonts w:ascii="Inter" w:hAnsi="Inter"/>
                <w:b w:val="0"/>
                <w:color w:val="172033"/>
                <w:sz w:val="15"/>
              </w:rPr>
              <w:t>Posting, payment, receipt, stock, expense, cash, payable, receivable, tax, or journal transaction processing - source modules and Core.</w:t>
            </w:r>
          </w:p>
        </w:tc>
      </w:tr>
      <w:tr>
        <w:trPr>
          <w:cantSplit/>
        </w:trPr>
        <w:tc>
          <w:tcPr>
            <w:tcW w:type="dxa" w:w="460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Drill-down routing to authorized source records while preserving context.</w:t>
            </w:r>
          </w:p>
        </w:tc>
        <w:tc>
          <w:tcPr>
            <w:tcW w:type="dxa" w:w="496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Editing or correcting a source record inside the report result - source module workflow.</w:t>
            </w:r>
          </w:p>
        </w:tc>
      </w:tr>
    </w:tbl>
    <w:p>
      <w:pPr>
        <w:spacing w:after="80" w:line="259" w:lineRule="auto"/>
      </w:pPr>
    </w:p>
    <w:p>
      <w:pPr>
        <w:pStyle w:val="Heading2"/>
        <w:keepNext/>
      </w:pPr>
      <w:r>
        <w:t>3.1 Source Meaning versus Presentation Ownership</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360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Responsibility</w:t>
            </w:r>
          </w:p>
        </w:tc>
        <w:tc>
          <w:tcPr>
            <w:tcW w:type="dxa" w:w="244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Owner</w:t>
            </w:r>
          </w:p>
        </w:tc>
        <w:tc>
          <w:tcPr>
            <w:tcW w:type="dxa" w:w="352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Control</w:t>
            </w:r>
          </w:p>
        </w:tc>
      </w:tr>
      <w:tr>
        <w:trPr>
          <w:cantSplit/>
        </w:trPr>
        <w:tc>
          <w:tcPr>
            <w:tcW w:type="dxa" w:w="3600"/>
            <w:vAlign w:val="center"/>
            <w:tcMar>
              <w:top w:w="55" w:type="dxa"/>
              <w:start w:w="75" w:type="dxa"/>
              <w:bottom w:w="55" w:type="dxa"/>
              <w:end w:w="75" w:type="dxa"/>
            </w:tcMar>
          </w:tcPr>
          <w:p>
            <w:pPr>
              <w:spacing w:before="0" w:after="0" w:line="240" w:lineRule="auto"/>
            </w:pPr>
            <w:r>
              <w:rPr>
                <w:rFonts w:ascii="Inter" w:hAnsi="Inter"/>
                <w:b w:val="0"/>
                <w:color w:val="172033"/>
                <w:sz w:val="16"/>
              </w:rPr>
              <w:t>Meaning of net sales, collection, purchase, payment, quantity, valuation, cash balance, expense, receivable, or payable</w:t>
            </w:r>
          </w:p>
        </w:tc>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6"/>
              </w:rPr>
              <w:t>Originating module</w:t>
            </w:r>
          </w:p>
        </w:tc>
        <w:tc>
          <w:tcPr>
            <w:tcW w:type="dxa" w:w="3528"/>
            <w:vAlign w:val="center"/>
            <w:tcMar>
              <w:top w:w="55" w:type="dxa"/>
              <w:start w:w="75" w:type="dxa"/>
              <w:bottom w:w="55" w:type="dxa"/>
              <w:end w:w="75" w:type="dxa"/>
            </w:tcMar>
          </w:tcPr>
          <w:p>
            <w:pPr>
              <w:spacing w:before="0" w:after="0" w:line="240" w:lineRule="auto"/>
            </w:pPr>
            <w:r>
              <w:rPr>
                <w:rFonts w:ascii="Inter" w:hAnsi="Inter"/>
                <w:b w:val="0"/>
                <w:color w:val="172033"/>
                <w:sz w:val="16"/>
              </w:rPr>
              <w:t>Definition and source status cannot be silently changed by MDS-900.</w:t>
            </w:r>
          </w:p>
        </w:tc>
      </w:tr>
      <w:tr>
        <w:trPr>
          <w:cantSplit/>
        </w:trPr>
        <w:tc>
          <w:tcPr>
            <w:tcW w:type="dxa" w:w="3600"/>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Cross-module measure combining governed sources</w:t>
            </w:r>
          </w:p>
        </w:tc>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MDS-900 with documented source contracts</w:t>
            </w:r>
          </w:p>
        </w:tc>
        <w:tc>
          <w:tcPr>
            <w:tcW w:type="dxa" w:w="3528"/>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Formula, source versions, signs, timing, exclusions, and reconciliation must be explicit.</w:t>
            </w:r>
          </w:p>
        </w:tc>
      </w:tr>
      <w:tr>
        <w:trPr>
          <w:cantSplit/>
        </w:trPr>
        <w:tc>
          <w:tcPr>
            <w:tcW w:type="dxa" w:w="3600"/>
            <w:vAlign w:val="center"/>
            <w:tcMar>
              <w:top w:w="55" w:type="dxa"/>
              <w:start w:w="75" w:type="dxa"/>
              <w:bottom w:w="55" w:type="dxa"/>
              <w:end w:w="75" w:type="dxa"/>
            </w:tcMar>
          </w:tcPr>
          <w:p>
            <w:pPr>
              <w:spacing w:before="0" w:after="0" w:line="240" w:lineRule="auto"/>
            </w:pPr>
            <w:r>
              <w:rPr>
                <w:rFonts w:ascii="Inter" w:hAnsi="Inter"/>
                <w:b w:val="0"/>
                <w:color w:val="172033"/>
                <w:sz w:val="16"/>
              </w:rPr>
              <w:t>Catalog, parameters, generation, Display Report, export, scheduling, and output history</w:t>
            </w:r>
          </w:p>
        </w:tc>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6"/>
              </w:rPr>
              <w:t>MDS-900</w:t>
            </w:r>
          </w:p>
        </w:tc>
        <w:tc>
          <w:tcPr>
            <w:tcW w:type="dxa" w:w="3528"/>
            <w:vAlign w:val="center"/>
            <w:tcMar>
              <w:top w:w="55" w:type="dxa"/>
              <w:start w:w="75" w:type="dxa"/>
              <w:bottom w:w="55" w:type="dxa"/>
              <w:end w:w="75" w:type="dxa"/>
            </w:tcMar>
          </w:tcPr>
          <w:p>
            <w:pPr>
              <w:spacing w:before="0" w:after="0" w:line="240" w:lineRule="auto"/>
            </w:pPr>
            <w:r>
              <w:rPr>
                <w:rFonts w:ascii="Inter" w:hAnsi="Inter"/>
                <w:b w:val="0"/>
                <w:color w:val="172033"/>
                <w:sz w:val="16"/>
              </w:rPr>
              <w:t>One governed implementation across all entry points.</w:t>
            </w:r>
          </w:p>
        </w:tc>
      </w:tr>
      <w:tr>
        <w:trPr>
          <w:cantSplit/>
        </w:trPr>
        <w:tc>
          <w:tcPr>
            <w:tcW w:type="dxa" w:w="3600"/>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Dashboard card based on report output</w:t>
            </w:r>
          </w:p>
        </w:tc>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MDS-100 presentation; MDS-900/source definition</w:t>
            </w:r>
          </w:p>
        </w:tc>
        <w:tc>
          <w:tcPr>
            <w:tcW w:type="dxa" w:w="3528"/>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Card links to the report or authoritative source and does not create a competing calculation.</w:t>
            </w:r>
          </w:p>
        </w:tc>
      </w:tr>
    </w:tbl>
    <w:p>
      <w:pPr>
        <w:spacing w:after="80" w:line="259" w:lineRule="auto"/>
      </w:pPr>
    </w:p>
    <w:tbl>
      <w:tblPr>
        <w:tblStyle w:val="TableGrid"/>
        <w:tblW w:type="auto" w:w="0"/>
        <w:jc w:val="center"/>
        <w:tblLayout w:type="fixed"/>
        <w:tblLook w:firstColumn="1" w:firstRow="1" w:lastColumn="0" w:lastRow="0" w:noHBand="0" w:noVBand="1" w:val="04A0"/>
      </w:tblPr>
      <w:tblGrid>
        <w:gridCol w:w="10262"/>
      </w:tblGrid>
      <w:tr>
        <w:tc>
          <w:tcPr>
            <w:tcW w:type="dxa" w:w="9576"/>
            <w:shd w:fill="E7F0F8"/>
            <w:tcBorders>
              <w:left w:val="single" w:sz="18" w:color="2F78B7"/>
              <w:top w:val="single" w:sz="4" w:color="B7C9DA"/>
              <w:bottom w:val="single" w:sz="4" w:color="B7C9DA"/>
              <w:right w:val="single" w:sz="4" w:color="B7C9DA"/>
            </w:tcBorders>
          </w:tcPr>
          <w:p>
            <w:pPr>
              <w:spacing w:after="0"/>
            </w:pPr>
            <w:r>
              <w:rPr>
                <w:rFonts w:ascii="Inter" w:hAnsi="Inter"/>
                <w:b/>
                <w:color w:val="1A2D44"/>
                <w:sz w:val="17"/>
              </w:rPr>
              <w:t xml:space="preserve">BOUNDARY TEST  </w:t>
            </w:r>
            <w:r>
              <w:rPr>
                <w:rFonts w:ascii="Inter" w:hAnsi="Inter"/>
                <w:color w:val="172033"/>
                <w:sz w:val="17"/>
              </w:rPr>
              <w:t>If the question is “What does this business fact mean and how is it corrected?” the source module owns it. If the question is “How do authorized users find, parameterize, generate, display, compare, export, schedule, and revisit information?” MDS-900 owns it.</w:t>
            </w:r>
          </w:p>
        </w:tc>
      </w:tr>
    </w:tbl>
    <w:p>
      <w:pPr>
        <w:spacing w:after="80" w:line="259" w:lineRule="auto"/>
      </w:pPr>
    </w:p>
    <w:p>
      <w:pPr>
        <w:pStyle w:val="Heading1"/>
        <w:keepNext/>
        <w:pageBreakBefore w:val="0"/>
      </w:pPr>
      <w:r>
        <w:t>4. Module Overview</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88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Element</w:t>
            </w:r>
          </w:p>
        </w:tc>
        <w:tc>
          <w:tcPr>
            <w:tcW w:type="dxa" w:w="6696"/>
            <w:shd w:fill="E7F0F8"/>
            <w:vAlign w:val="center"/>
            <w:tcMar>
              <w:top w:w="55" w:type="dxa"/>
              <w:start w:w="75" w:type="dxa"/>
              <w:bottom w:w="55" w:type="dxa"/>
              <w:end w:w="75" w:type="dxa"/>
            </w:tcMar>
          </w:tcPr>
          <w:p>
            <w:pPr>
              <w:spacing w:before="0" w:after="0" w:line="240" w:lineRule="auto"/>
            </w:pPr>
            <w:r>
              <w:rPr>
                <w:rFonts w:ascii="Inter" w:hAnsi="Inter"/>
                <w:b/>
                <w:color w:val="172033"/>
                <w:sz w:val="16"/>
              </w:rPr>
              <w:t>Design</w:t>
            </w:r>
          </w:p>
        </w:tc>
      </w:tr>
      <w:tr>
        <w:trPr>
          <w:cantSplit/>
        </w:trPr>
        <w:tc>
          <w:tcPr>
            <w:tcW w:type="dxa" w:w="2880"/>
            <w:vAlign w:val="center"/>
            <w:tcMar>
              <w:top w:w="55" w:type="dxa"/>
              <w:start w:w="75" w:type="dxa"/>
              <w:bottom w:w="55" w:type="dxa"/>
              <w:end w:w="75" w:type="dxa"/>
            </w:tcMar>
          </w:tcPr>
          <w:p>
            <w:pPr>
              <w:spacing w:before="0" w:after="0" w:line="240" w:lineRule="auto"/>
            </w:pPr>
            <w:r>
              <w:rPr>
                <w:rFonts w:ascii="Inter" w:hAnsi="Inter"/>
                <w:b/>
                <w:color w:val="172033"/>
                <w:sz w:val="16"/>
              </w:rPr>
              <w:t>Primary business responsibility</w:t>
            </w:r>
          </w:p>
        </w:tc>
        <w:tc>
          <w:tcPr>
            <w:tcW w:type="dxa" w:w="6696"/>
            <w:vAlign w:val="center"/>
            <w:tcMar>
              <w:top w:w="55" w:type="dxa"/>
              <w:start w:w="75" w:type="dxa"/>
              <w:bottom w:w="55" w:type="dxa"/>
              <w:end w:w="75" w:type="dxa"/>
            </w:tcMar>
          </w:tcPr>
          <w:p>
            <w:pPr>
              <w:spacing w:before="0" w:after="0" w:line="240" w:lineRule="auto"/>
            </w:pPr>
            <w:r>
              <w:rPr>
                <w:rFonts w:ascii="Inter" w:hAnsi="Inter"/>
                <w:b w:val="0"/>
                <w:color w:val="172033"/>
                <w:sz w:val="16"/>
              </w:rPr>
              <w:t>Transform governed data into accurate, understandable, reproducible, and decision-useful reports and analytics.</w:t>
            </w:r>
          </w:p>
        </w:tc>
      </w:tr>
      <w:tr>
        <w:trPr>
          <w:cantSplit/>
        </w:trPr>
        <w:tc>
          <w:tcPr>
            <w:tcW w:type="dxa" w:w="2880"/>
            <w:shd w:fill="F6F9FC"/>
            <w:vAlign w:val="center"/>
            <w:tcMar>
              <w:top w:w="55" w:type="dxa"/>
              <w:start w:w="75" w:type="dxa"/>
              <w:bottom w:w="55" w:type="dxa"/>
              <w:end w:w="75" w:type="dxa"/>
            </w:tcMar>
          </w:tcPr>
          <w:p>
            <w:pPr>
              <w:spacing w:before="0" w:after="0" w:line="240" w:lineRule="auto"/>
            </w:pPr>
            <w:r>
              <w:rPr>
                <w:rFonts w:ascii="Inter" w:hAnsi="Inter"/>
                <w:b/>
                <w:color w:val="172033"/>
                <w:sz w:val="16"/>
              </w:rPr>
              <w:t>Primary users</w:t>
            </w:r>
          </w:p>
        </w:tc>
        <w:tc>
          <w:tcPr>
            <w:tcW w:type="dxa" w:w="6696"/>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Owner, manager, accountant, bookkeeper, supervisor, auditor, analyst, cashier or operational user with authorized report scope.</w:t>
            </w:r>
          </w:p>
        </w:tc>
      </w:tr>
      <w:tr>
        <w:trPr>
          <w:cantSplit/>
        </w:trPr>
        <w:tc>
          <w:tcPr>
            <w:tcW w:type="dxa" w:w="2880"/>
            <w:vAlign w:val="center"/>
            <w:tcMar>
              <w:top w:w="55" w:type="dxa"/>
              <w:start w:w="75" w:type="dxa"/>
              <w:bottom w:w="55" w:type="dxa"/>
              <w:end w:w="75" w:type="dxa"/>
            </w:tcMar>
          </w:tcPr>
          <w:p>
            <w:pPr>
              <w:spacing w:before="0" w:after="0" w:line="240" w:lineRule="auto"/>
            </w:pPr>
            <w:r>
              <w:rPr>
                <w:rFonts w:ascii="Inter" w:hAnsi="Inter"/>
                <w:b/>
                <w:color w:val="172033"/>
                <w:sz w:val="16"/>
              </w:rPr>
              <w:t>Primary workspace</w:t>
            </w:r>
          </w:p>
        </w:tc>
        <w:tc>
          <w:tcPr>
            <w:tcW w:type="dxa" w:w="6696"/>
            <w:vAlign w:val="center"/>
            <w:tcMar>
              <w:top w:w="55" w:type="dxa"/>
              <w:start w:w="75" w:type="dxa"/>
              <w:bottom w:w="55" w:type="dxa"/>
              <w:end w:w="75" w:type="dxa"/>
            </w:tcMar>
          </w:tcPr>
          <w:p>
            <w:pPr>
              <w:spacing w:before="0" w:after="0" w:line="240" w:lineRule="auto"/>
            </w:pPr>
            <w:r>
              <w:rPr>
                <w:rFonts w:ascii="Inter" w:hAnsi="Inter"/>
                <w:b w:val="0"/>
                <w:color w:val="172033"/>
                <w:sz w:val="16"/>
              </w:rPr>
              <w:t>Reports &amp; Analytics workspace with report catalog, categories, favorites, recent reports, scheduled reports, and generated outputs.</w:t>
            </w:r>
          </w:p>
        </w:tc>
      </w:tr>
      <w:tr>
        <w:trPr>
          <w:cantSplit/>
        </w:trPr>
        <w:tc>
          <w:tcPr>
            <w:tcW w:type="dxa" w:w="2880"/>
            <w:shd w:fill="F6F9FC"/>
            <w:vAlign w:val="center"/>
            <w:tcMar>
              <w:top w:w="55" w:type="dxa"/>
              <w:start w:w="75" w:type="dxa"/>
              <w:bottom w:w="55" w:type="dxa"/>
              <w:end w:w="75" w:type="dxa"/>
            </w:tcMar>
          </w:tcPr>
          <w:p>
            <w:pPr>
              <w:spacing w:before="0" w:after="0" w:line="240" w:lineRule="auto"/>
            </w:pPr>
            <w:r>
              <w:rPr>
                <w:rFonts w:ascii="Inter" w:hAnsi="Inter"/>
                <w:b/>
                <w:color w:val="172033"/>
                <w:sz w:val="16"/>
              </w:rPr>
              <w:t>Core information objects</w:t>
            </w:r>
          </w:p>
        </w:tc>
        <w:tc>
          <w:tcPr>
            <w:tcW w:type="dxa" w:w="6696"/>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Report Definition, Report Parameter Set, Report Request, Report Output, Analytics Definition, Schedule, Delivery, Favorite, and Generation History.</w:t>
            </w:r>
          </w:p>
        </w:tc>
      </w:tr>
      <w:tr>
        <w:trPr>
          <w:cantSplit/>
        </w:trPr>
        <w:tc>
          <w:tcPr>
            <w:tcW w:type="dxa" w:w="2880"/>
            <w:vAlign w:val="center"/>
            <w:tcMar>
              <w:top w:w="55" w:type="dxa"/>
              <w:start w:w="75" w:type="dxa"/>
              <w:bottom w:w="55" w:type="dxa"/>
              <w:end w:w="75" w:type="dxa"/>
            </w:tcMar>
          </w:tcPr>
          <w:p>
            <w:pPr>
              <w:spacing w:before="0" w:after="0" w:line="240" w:lineRule="auto"/>
            </w:pPr>
            <w:r>
              <w:rPr>
                <w:rFonts w:ascii="Inter" w:hAnsi="Inter"/>
                <w:b/>
                <w:color w:val="172033"/>
                <w:sz w:val="16"/>
              </w:rPr>
              <w:t>Primary actions</w:t>
            </w:r>
          </w:p>
        </w:tc>
        <w:tc>
          <w:tcPr>
            <w:tcW w:type="dxa" w:w="6696"/>
            <w:vAlign w:val="center"/>
            <w:tcMar>
              <w:top w:w="55" w:type="dxa"/>
              <w:start w:w="75" w:type="dxa"/>
              <w:bottom w:w="55" w:type="dxa"/>
              <w:end w:w="75" w:type="dxa"/>
            </w:tcMar>
          </w:tcPr>
          <w:p>
            <w:pPr>
              <w:spacing w:before="0" w:after="0" w:line="240" w:lineRule="auto"/>
            </w:pPr>
            <w:r>
              <w:rPr>
                <w:rFonts w:ascii="Inter" w:hAnsi="Inter"/>
                <w:b w:val="0"/>
                <w:color w:val="172033"/>
                <w:sz w:val="16"/>
              </w:rPr>
              <w:t>Find Report, Display Report, Export Report. Advanced editions add comparison, scheduling, custom views, and analytics.</w:t>
            </w:r>
          </w:p>
        </w:tc>
      </w:tr>
      <w:tr>
        <w:trPr>
          <w:cantSplit/>
        </w:trPr>
        <w:tc>
          <w:tcPr>
            <w:tcW w:type="dxa" w:w="2880"/>
            <w:shd w:fill="F6F9FC"/>
            <w:vAlign w:val="center"/>
            <w:tcMar>
              <w:top w:w="55" w:type="dxa"/>
              <w:start w:w="75" w:type="dxa"/>
              <w:bottom w:w="55" w:type="dxa"/>
              <w:end w:w="75" w:type="dxa"/>
            </w:tcMar>
          </w:tcPr>
          <w:p>
            <w:pPr>
              <w:spacing w:before="0" w:after="0" w:line="240" w:lineRule="auto"/>
            </w:pPr>
            <w:r>
              <w:rPr>
                <w:rFonts w:ascii="Inter" w:hAnsi="Inter"/>
                <w:b/>
                <w:color w:val="172033"/>
                <w:sz w:val="16"/>
              </w:rPr>
              <w:t>User promise</w:t>
            </w:r>
          </w:p>
        </w:tc>
        <w:tc>
          <w:tcPr>
            <w:tcW w:type="dxa" w:w="6696"/>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Know what happened, understand why it matters, and reach the source record without learning internal module boundaries.</w:t>
            </w:r>
          </w:p>
        </w:tc>
      </w:tr>
      <w:tr>
        <w:trPr>
          <w:cantSplit/>
        </w:trPr>
        <w:tc>
          <w:tcPr>
            <w:tcW w:type="dxa" w:w="2880"/>
            <w:vAlign w:val="center"/>
            <w:tcMar>
              <w:top w:w="55" w:type="dxa"/>
              <w:start w:w="75" w:type="dxa"/>
              <w:bottom w:w="55" w:type="dxa"/>
              <w:end w:w="75" w:type="dxa"/>
            </w:tcMar>
          </w:tcPr>
          <w:p>
            <w:pPr>
              <w:spacing w:before="0" w:after="0" w:line="240" w:lineRule="auto"/>
            </w:pPr>
            <w:r>
              <w:rPr>
                <w:rFonts w:ascii="Inter" w:hAnsi="Inter"/>
                <w:b/>
                <w:color w:val="172033"/>
                <w:sz w:val="16"/>
              </w:rPr>
              <w:t>Architectural promise</w:t>
            </w:r>
          </w:p>
        </w:tc>
        <w:tc>
          <w:tcPr>
            <w:tcW w:type="dxa" w:w="6696"/>
            <w:vAlign w:val="center"/>
            <w:tcMar>
              <w:top w:w="55" w:type="dxa"/>
              <w:start w:w="75" w:type="dxa"/>
              <w:bottom w:w="55" w:type="dxa"/>
              <w:end w:w="75" w:type="dxa"/>
            </w:tcMar>
          </w:tcPr>
          <w:p>
            <w:pPr>
              <w:spacing w:before="0" w:after="0" w:line="240" w:lineRule="auto"/>
            </w:pPr>
            <w:r>
              <w:rPr>
                <w:rFonts w:ascii="Inter" w:hAnsi="Inter"/>
                <w:b w:val="0"/>
                <w:color w:val="172033"/>
                <w:sz w:val="16"/>
              </w:rPr>
              <w:t>One source of truth, versioned definitions, secure parameters, reproducible outputs, controlled delivery, and no duplicate ledger.</w:t>
            </w:r>
          </w:p>
        </w:tc>
      </w:tr>
    </w:tbl>
    <w:p>
      <w:pPr>
        <w:spacing w:after="80" w:line="259" w:lineRule="auto"/>
      </w:pPr>
    </w:p>
    <w:p>
      <w:pPr>
        <w:pStyle w:val="Heading2"/>
        <w:keepNext/>
      </w:pPr>
      <w:r>
        <w:t>4.1 Information Product Types</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216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Type</w:t>
            </w:r>
          </w:p>
        </w:tc>
        <w:tc>
          <w:tcPr>
            <w:tcW w:type="dxa" w:w="3816"/>
            <w:shd w:fill="E7F0F8"/>
            <w:vAlign w:val="center"/>
            <w:tcMar>
              <w:top w:w="55" w:type="dxa"/>
              <w:start w:w="75" w:type="dxa"/>
              <w:bottom w:w="55" w:type="dxa"/>
              <w:end w:w="75" w:type="dxa"/>
            </w:tcMar>
          </w:tcPr>
          <w:p>
            <w:pPr>
              <w:spacing w:before="0" w:after="0" w:line="240" w:lineRule="auto"/>
            </w:pPr>
            <w:r>
              <w:rPr>
                <w:rFonts w:ascii="Inter" w:hAnsi="Inter"/>
                <w:b/>
                <w:color w:val="172033"/>
                <w:sz w:val="16"/>
              </w:rPr>
              <w:t>Purpose</w:t>
            </w:r>
          </w:p>
        </w:tc>
        <w:tc>
          <w:tcPr>
            <w:tcW w:type="dxa" w:w="360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Examples</w:t>
            </w:r>
          </w:p>
        </w:tc>
      </w:tr>
      <w:tr>
        <w:trPr>
          <w:cantSplit/>
        </w:trPr>
        <w:tc>
          <w:tcPr>
            <w:tcW w:type="dxa" w:w="2160"/>
            <w:vAlign w:val="center"/>
            <w:tcMar>
              <w:top w:w="55" w:type="dxa"/>
              <w:start w:w="75" w:type="dxa"/>
              <w:bottom w:w="55" w:type="dxa"/>
              <w:end w:w="75" w:type="dxa"/>
            </w:tcMar>
          </w:tcPr>
          <w:p>
            <w:pPr>
              <w:spacing w:before="0" w:after="0" w:line="240" w:lineRule="auto"/>
            </w:pPr>
            <w:r>
              <w:rPr>
                <w:rFonts w:ascii="Inter" w:hAnsi="Inter"/>
                <w:b w:val="0"/>
                <w:color w:val="172033"/>
                <w:sz w:val="16"/>
              </w:rPr>
              <w:t>Operational report</w:t>
            </w:r>
          </w:p>
        </w:tc>
        <w:tc>
          <w:tcPr>
            <w:tcW w:type="dxa" w:w="3816"/>
            <w:vAlign w:val="center"/>
            <w:tcMar>
              <w:top w:w="55" w:type="dxa"/>
              <w:start w:w="75" w:type="dxa"/>
              <w:bottom w:w="55" w:type="dxa"/>
              <w:end w:w="75" w:type="dxa"/>
            </w:tcMar>
          </w:tcPr>
          <w:p>
            <w:pPr>
              <w:spacing w:before="0" w:after="0" w:line="240" w:lineRule="auto"/>
            </w:pPr>
            <w:r>
              <w:rPr>
                <w:rFonts w:ascii="Inter" w:hAnsi="Inter"/>
                <w:b w:val="0"/>
                <w:color w:val="172033"/>
                <w:sz w:val="16"/>
              </w:rPr>
              <w:t>Supports daily review, follow-up, reconciliation, and control.</w:t>
            </w:r>
          </w:p>
        </w:tc>
        <w:tc>
          <w:tcPr>
            <w:tcW w:type="dxa" w:w="3600"/>
            <w:vAlign w:val="center"/>
            <w:tcMar>
              <w:top w:w="55" w:type="dxa"/>
              <w:start w:w="75" w:type="dxa"/>
              <w:bottom w:w="55" w:type="dxa"/>
              <w:end w:w="75" w:type="dxa"/>
            </w:tcMar>
          </w:tcPr>
          <w:p>
            <w:pPr>
              <w:spacing w:before="0" w:after="0" w:line="240" w:lineRule="auto"/>
            </w:pPr>
            <w:r>
              <w:rPr>
                <w:rFonts w:ascii="Inter" w:hAnsi="Inter"/>
                <w:b w:val="0"/>
                <w:color w:val="172033"/>
                <w:sz w:val="16"/>
              </w:rPr>
              <w:t>Sales Register, Receipt Register, Payments Due, Stock Card, Expense Register.</w:t>
            </w:r>
          </w:p>
        </w:tc>
      </w:tr>
      <w:tr>
        <w:trPr>
          <w:cantSplit/>
        </w:trPr>
        <w:tc>
          <w:tcPr>
            <w:tcW w:type="dxa" w:w="2160"/>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Financial report</w:t>
            </w:r>
          </w:p>
        </w:tc>
        <w:tc>
          <w:tcPr>
            <w:tcW w:type="dxa" w:w="3816"/>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Presents accounting and financial position or performance.</w:t>
            </w:r>
          </w:p>
        </w:tc>
        <w:tc>
          <w:tcPr>
            <w:tcW w:type="dxa" w:w="3600"/>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Profit or Loss, Statement of Financial Position, Cash Flow, Trial Balance - where edition and accounting scope permit.</w:t>
            </w:r>
          </w:p>
        </w:tc>
      </w:tr>
      <w:tr>
        <w:trPr>
          <w:cantSplit/>
        </w:trPr>
        <w:tc>
          <w:tcPr>
            <w:tcW w:type="dxa" w:w="2160"/>
            <w:vAlign w:val="center"/>
            <w:tcMar>
              <w:top w:w="55" w:type="dxa"/>
              <w:start w:w="75" w:type="dxa"/>
              <w:bottom w:w="55" w:type="dxa"/>
              <w:end w:w="75" w:type="dxa"/>
            </w:tcMar>
          </w:tcPr>
          <w:p>
            <w:pPr>
              <w:spacing w:before="0" w:after="0" w:line="240" w:lineRule="auto"/>
            </w:pPr>
            <w:r>
              <w:rPr>
                <w:rFonts w:ascii="Inter" w:hAnsi="Inter"/>
                <w:b w:val="0"/>
                <w:color w:val="172033"/>
                <w:sz w:val="16"/>
              </w:rPr>
              <w:t>Analytical report</w:t>
            </w:r>
          </w:p>
        </w:tc>
        <w:tc>
          <w:tcPr>
            <w:tcW w:type="dxa" w:w="3816"/>
            <w:vAlign w:val="center"/>
            <w:tcMar>
              <w:top w:w="55" w:type="dxa"/>
              <w:start w:w="75" w:type="dxa"/>
              <w:bottom w:w="55" w:type="dxa"/>
              <w:end w:w="75" w:type="dxa"/>
            </w:tcMar>
          </w:tcPr>
          <w:p>
            <w:pPr>
              <w:spacing w:before="0" w:after="0" w:line="240" w:lineRule="auto"/>
            </w:pPr>
            <w:r>
              <w:rPr>
                <w:rFonts w:ascii="Inter" w:hAnsi="Inter"/>
                <w:b w:val="0"/>
                <w:color w:val="172033"/>
                <w:sz w:val="16"/>
              </w:rPr>
              <w:t>Explains trends, comparisons, mix, margins, aging, movement, exceptions, and drivers.</w:t>
            </w:r>
          </w:p>
        </w:tc>
        <w:tc>
          <w:tcPr>
            <w:tcW w:type="dxa" w:w="3600"/>
            <w:vAlign w:val="center"/>
            <w:tcMar>
              <w:top w:w="55" w:type="dxa"/>
              <w:start w:w="75" w:type="dxa"/>
              <w:bottom w:w="55" w:type="dxa"/>
              <w:end w:w="75" w:type="dxa"/>
            </w:tcMar>
          </w:tcPr>
          <w:p>
            <w:pPr>
              <w:spacing w:before="0" w:after="0" w:line="240" w:lineRule="auto"/>
            </w:pPr>
            <w:r>
              <w:rPr>
                <w:rFonts w:ascii="Inter" w:hAnsi="Inter"/>
                <w:b w:val="0"/>
                <w:color w:val="172033"/>
                <w:sz w:val="16"/>
              </w:rPr>
              <w:t>Sales by Product, Expense Trend, Aging, Gross Margin, Inventory Turnover.</w:t>
            </w:r>
          </w:p>
        </w:tc>
      </w:tr>
      <w:tr>
        <w:trPr>
          <w:cantSplit/>
        </w:trPr>
        <w:tc>
          <w:tcPr>
            <w:tcW w:type="dxa" w:w="2160"/>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Management report</w:t>
            </w:r>
          </w:p>
        </w:tc>
        <w:tc>
          <w:tcPr>
            <w:tcW w:type="dxa" w:w="3816"/>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Combines measures for decisions and oversight.</w:t>
            </w:r>
          </w:p>
        </w:tc>
        <w:tc>
          <w:tcPr>
            <w:tcW w:type="dxa" w:w="3600"/>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Business Performance, Cash Position, Working Capital, Monthly Management Pack.</w:t>
            </w:r>
          </w:p>
        </w:tc>
      </w:tr>
      <w:tr>
        <w:trPr>
          <w:cantSplit/>
        </w:trPr>
        <w:tc>
          <w:tcPr>
            <w:tcW w:type="dxa" w:w="2160"/>
            <w:vAlign w:val="center"/>
            <w:tcMar>
              <w:top w:w="55" w:type="dxa"/>
              <w:start w:w="75" w:type="dxa"/>
              <w:bottom w:w="55" w:type="dxa"/>
              <w:end w:w="75" w:type="dxa"/>
            </w:tcMar>
          </w:tcPr>
          <w:p>
            <w:pPr>
              <w:spacing w:before="0" w:after="0" w:line="240" w:lineRule="auto"/>
            </w:pPr>
            <w:r>
              <w:rPr>
                <w:rFonts w:ascii="Inter" w:hAnsi="Inter"/>
                <w:b w:val="0"/>
                <w:color w:val="172033"/>
                <w:sz w:val="16"/>
              </w:rPr>
              <w:t>Audit and control report</w:t>
            </w:r>
          </w:p>
        </w:tc>
        <w:tc>
          <w:tcPr>
            <w:tcW w:type="dxa" w:w="3816"/>
            <w:vAlign w:val="center"/>
            <w:tcMar>
              <w:top w:w="55" w:type="dxa"/>
              <w:start w:w="75" w:type="dxa"/>
              <w:bottom w:w="55" w:type="dxa"/>
              <w:end w:w="75" w:type="dxa"/>
            </w:tcMar>
          </w:tcPr>
          <w:p>
            <w:pPr>
              <w:spacing w:before="0" w:after="0" w:line="240" w:lineRule="auto"/>
            </w:pPr>
            <w:r>
              <w:rPr>
                <w:rFonts w:ascii="Inter" w:hAnsi="Inter"/>
                <w:b w:val="0"/>
                <w:color w:val="172033"/>
                <w:sz w:val="16"/>
              </w:rPr>
              <w:t>Supports traceability, exception review, access, and change evidence.</w:t>
            </w:r>
          </w:p>
        </w:tc>
        <w:tc>
          <w:tcPr>
            <w:tcW w:type="dxa" w:w="3600"/>
            <w:vAlign w:val="center"/>
            <w:tcMar>
              <w:top w:w="55" w:type="dxa"/>
              <w:start w:w="75" w:type="dxa"/>
              <w:bottom w:w="55" w:type="dxa"/>
              <w:end w:w="75" w:type="dxa"/>
            </w:tcMar>
          </w:tcPr>
          <w:p>
            <w:pPr>
              <w:spacing w:before="0" w:after="0" w:line="240" w:lineRule="auto"/>
            </w:pPr>
            <w:r>
              <w:rPr>
                <w:rFonts w:ascii="Inter" w:hAnsi="Inter"/>
                <w:b w:val="0"/>
                <w:color w:val="172033"/>
                <w:sz w:val="16"/>
              </w:rPr>
              <w:t>Voided Documents, Reversals, Export History, Activity and Audit Report.</w:t>
            </w:r>
          </w:p>
        </w:tc>
      </w:tr>
      <w:tr>
        <w:trPr>
          <w:cantSplit/>
        </w:trPr>
        <w:tc>
          <w:tcPr>
            <w:tcW w:type="dxa" w:w="2160"/>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Executive / BI output</w:t>
            </w:r>
          </w:p>
        </w:tc>
        <w:tc>
          <w:tcPr>
            <w:tcW w:type="dxa" w:w="3816"/>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Provides consolidated, visual, predictive, or strategic information.</w:t>
            </w:r>
          </w:p>
        </w:tc>
        <w:tc>
          <w:tcPr>
            <w:tcW w:type="dxa" w:w="3600"/>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KPI scorecards, multi-company consolidation, forecasts, anomaly and scenario analysis.</w:t>
            </w:r>
          </w:p>
        </w:tc>
      </w:tr>
    </w:tbl>
    <w:p>
      <w:pPr>
        <w:pStyle w:val="PartTitle"/>
        <w:pageBreakBefore/>
      </w:pPr>
      <w:r>
        <w:t>PART II</w:t>
      </w:r>
    </w:p>
    <w:p>
      <w:pPr>
        <w:pStyle w:val="PartName"/>
      </w:pPr>
      <w:r>
        <w:t>Functional Design</w:t>
      </w:r>
    </w:p>
    <w:p>
      <w:pPr>
        <w:pStyle w:val="PartSubtitle"/>
      </w:pPr>
      <w:r>
        <w:t>Catalog, parameters, report generation, output control, events, requirements, rules, workflows, statuses, and recovery.</w:t>
      </w:r>
    </w:p>
    <w:p>
      <w:pPr>
        <w:pStyle w:val="Heading1"/>
        <w:keepNext/>
        <w:pageBreakBefore w:val="0"/>
      </w:pPr>
      <w:r>
        <w:t>5. Functional Components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376"/>
            <w:shd w:fill="E7F0F8"/>
            <w:vAlign w:val="center"/>
            <w:tcMar>
              <w:top w:w="55" w:type="dxa"/>
              <w:start w:w="75" w:type="dxa"/>
              <w:bottom w:w="55" w:type="dxa"/>
              <w:end w:w="75" w:type="dxa"/>
            </w:tcMar>
          </w:tcPr>
          <w:p>
            <w:pPr>
              <w:spacing w:before="0" w:after="0" w:line="240" w:lineRule="auto"/>
            </w:pPr>
            <w:r>
              <w:rPr>
                <w:rFonts w:ascii="Inter" w:hAnsi="Inter"/>
                <w:b/>
                <w:color w:val="172033"/>
                <w:sz w:val="16"/>
              </w:rPr>
              <w:t>Component</w:t>
            </w:r>
          </w:p>
        </w:tc>
        <w:tc>
          <w:tcPr>
            <w:tcW w:type="dxa" w:w="720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Required capability</w:t>
            </w:r>
          </w:p>
        </w:tc>
      </w:tr>
      <w:tr>
        <w:trPr>
          <w:cantSplit/>
        </w:trPr>
        <w:tc>
          <w:tcPr>
            <w:tcW w:type="dxa" w:w="2376"/>
            <w:vAlign w:val="center"/>
            <w:tcMar>
              <w:top w:w="55" w:type="dxa"/>
              <w:start w:w="75" w:type="dxa"/>
              <w:bottom w:w="55" w:type="dxa"/>
              <w:end w:w="75" w:type="dxa"/>
            </w:tcMar>
          </w:tcPr>
          <w:p>
            <w:pPr>
              <w:spacing w:before="0" w:after="0" w:line="240" w:lineRule="auto"/>
            </w:pPr>
            <w:r>
              <w:rPr>
                <w:rFonts w:ascii="Inter" w:hAnsi="Inter"/>
                <w:b/>
                <w:color w:val="172033"/>
                <w:sz w:val="15"/>
              </w:rPr>
              <w:t>5.1 Report Catalog</w:t>
            </w:r>
          </w:p>
        </w:tc>
        <w:tc>
          <w:tcPr>
            <w:tcW w:type="dxa" w:w="7200"/>
            <w:vAlign w:val="center"/>
            <w:tcMar>
              <w:top w:w="55" w:type="dxa"/>
              <w:start w:w="75" w:type="dxa"/>
              <w:bottom w:w="55" w:type="dxa"/>
              <w:end w:w="75" w:type="dxa"/>
            </w:tcMar>
          </w:tcPr>
          <w:p>
            <w:pPr>
              <w:spacing w:before="0" w:after="0" w:line="240" w:lineRule="auto"/>
            </w:pPr>
            <w:r>
              <w:rPr>
                <w:rFonts w:ascii="Inter" w:hAnsi="Inter"/>
                <w:b w:val="0"/>
                <w:color w:val="172033"/>
                <w:sz w:val="15"/>
              </w:rPr>
              <w:t>Category navigation, search, recently used, favorites, descriptions, access status, edition status, and recommended reports.</w:t>
            </w:r>
          </w:p>
        </w:tc>
      </w:tr>
      <w:tr>
        <w:trPr>
          <w:cantSplit/>
        </w:trPr>
        <w:tc>
          <w:tcPr>
            <w:tcW w:type="dxa" w:w="2376"/>
            <w:shd w:fill="F6F9FC"/>
            <w:vAlign w:val="center"/>
            <w:tcMar>
              <w:top w:w="55" w:type="dxa"/>
              <w:start w:w="75" w:type="dxa"/>
              <w:bottom w:w="55" w:type="dxa"/>
              <w:end w:w="75" w:type="dxa"/>
            </w:tcMar>
          </w:tcPr>
          <w:p>
            <w:pPr>
              <w:spacing w:before="0" w:after="0" w:line="240" w:lineRule="auto"/>
            </w:pPr>
            <w:r>
              <w:rPr>
                <w:rFonts w:ascii="Inter" w:hAnsi="Inter"/>
                <w:b/>
                <w:color w:val="172033"/>
                <w:sz w:val="15"/>
              </w:rPr>
              <w:t>5.2 Report Definition Registry</w:t>
            </w:r>
          </w:p>
        </w:tc>
        <w:tc>
          <w:tcPr>
            <w:tcW w:type="dxa" w:w="720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Versioned business name, purpose, owner, formula, source contract, parameters, columns, grouping, signs, totals, drill-down, security, and output rules.</w:t>
            </w:r>
          </w:p>
        </w:tc>
      </w:tr>
      <w:tr>
        <w:trPr>
          <w:cantSplit/>
        </w:trPr>
        <w:tc>
          <w:tcPr>
            <w:tcW w:type="dxa" w:w="2376"/>
            <w:vAlign w:val="center"/>
            <w:tcMar>
              <w:top w:w="55" w:type="dxa"/>
              <w:start w:w="75" w:type="dxa"/>
              <w:bottom w:w="55" w:type="dxa"/>
              <w:end w:w="75" w:type="dxa"/>
            </w:tcMar>
          </w:tcPr>
          <w:p>
            <w:pPr>
              <w:spacing w:before="0" w:after="0" w:line="240" w:lineRule="auto"/>
            </w:pPr>
            <w:r>
              <w:rPr>
                <w:rFonts w:ascii="Inter" w:hAnsi="Inter"/>
                <w:b/>
                <w:color w:val="172033"/>
                <w:sz w:val="15"/>
              </w:rPr>
              <w:t>5.3 Shared Parameter Framework</w:t>
            </w:r>
          </w:p>
        </w:tc>
        <w:tc>
          <w:tcPr>
            <w:tcW w:type="dxa" w:w="7200"/>
            <w:vAlign w:val="center"/>
            <w:tcMar>
              <w:top w:w="55" w:type="dxa"/>
              <w:start w:w="75" w:type="dxa"/>
              <w:bottom w:w="55" w:type="dxa"/>
              <w:end w:w="75" w:type="dxa"/>
            </w:tcMar>
          </w:tcPr>
          <w:p>
            <w:pPr>
              <w:spacing w:before="0" w:after="0" w:line="240" w:lineRule="auto"/>
            </w:pPr>
            <w:r>
              <w:rPr>
                <w:rFonts w:ascii="Inter" w:hAnsi="Inter"/>
                <w:b w:val="0"/>
                <w:color w:val="172033"/>
                <w:sz w:val="15"/>
              </w:rPr>
              <w:t>Company, branch, period, date, as-of date, status, currency, customer, supplier, product, warehouse, account, category, project, cost center, and other authorized filters.</w:t>
            </w:r>
          </w:p>
        </w:tc>
      </w:tr>
      <w:tr>
        <w:trPr>
          <w:cantSplit/>
        </w:trPr>
        <w:tc>
          <w:tcPr>
            <w:tcW w:type="dxa" w:w="2376"/>
            <w:shd w:fill="F6F9FC"/>
            <w:vAlign w:val="center"/>
            <w:tcMar>
              <w:top w:w="55" w:type="dxa"/>
              <w:start w:w="75" w:type="dxa"/>
              <w:bottom w:w="55" w:type="dxa"/>
              <w:end w:w="75" w:type="dxa"/>
            </w:tcMar>
          </w:tcPr>
          <w:p>
            <w:pPr>
              <w:spacing w:before="0" w:after="0" w:line="240" w:lineRule="auto"/>
            </w:pPr>
            <w:r>
              <w:rPr>
                <w:rFonts w:ascii="Inter" w:hAnsi="Inter"/>
                <w:b/>
                <w:color w:val="172033"/>
                <w:sz w:val="15"/>
              </w:rPr>
              <w:t>5.4 Report Generation Service</w:t>
            </w:r>
          </w:p>
        </w:tc>
        <w:tc>
          <w:tcPr>
            <w:tcW w:type="dxa" w:w="720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Validates context, resolves definition version, queries approved sources, calculates, formats, and returns conclusive generation status.</w:t>
            </w:r>
          </w:p>
        </w:tc>
      </w:tr>
      <w:tr>
        <w:trPr>
          <w:cantSplit/>
        </w:trPr>
        <w:tc>
          <w:tcPr>
            <w:tcW w:type="dxa" w:w="2376"/>
            <w:vAlign w:val="center"/>
            <w:tcMar>
              <w:top w:w="55" w:type="dxa"/>
              <w:start w:w="75" w:type="dxa"/>
              <w:bottom w:w="55" w:type="dxa"/>
              <w:end w:w="75" w:type="dxa"/>
            </w:tcMar>
          </w:tcPr>
          <w:p>
            <w:pPr>
              <w:spacing w:before="0" w:after="0" w:line="240" w:lineRule="auto"/>
            </w:pPr>
            <w:r>
              <w:rPr>
                <w:rFonts w:ascii="Inter" w:hAnsi="Inter"/>
                <w:b/>
                <w:color w:val="172033"/>
                <w:sz w:val="15"/>
              </w:rPr>
              <w:t>5.5 Display Report</w:t>
            </w:r>
          </w:p>
        </w:tc>
        <w:tc>
          <w:tcPr>
            <w:tcW w:type="dxa" w:w="7200"/>
            <w:vAlign w:val="center"/>
            <w:tcMar>
              <w:top w:w="55" w:type="dxa"/>
              <w:start w:w="75" w:type="dxa"/>
              <w:bottom w:w="55" w:type="dxa"/>
              <w:end w:w="75" w:type="dxa"/>
            </w:tcMar>
          </w:tcPr>
          <w:p>
            <w:pPr>
              <w:spacing w:before="0" w:after="0" w:line="240" w:lineRule="auto"/>
            </w:pPr>
            <w:r>
              <w:rPr>
                <w:rFonts w:ascii="Inter" w:hAnsi="Inter"/>
                <w:b w:val="0"/>
                <w:color w:val="172033"/>
                <w:sz w:val="15"/>
              </w:rPr>
              <w:t>On-screen report presentation with title, context, filters, freshness, totals, paging, sorting, grouping, comparison, accessible table/chart alternatives, and drill-down.</w:t>
            </w:r>
          </w:p>
        </w:tc>
      </w:tr>
      <w:tr>
        <w:trPr>
          <w:cantSplit/>
        </w:trPr>
        <w:tc>
          <w:tcPr>
            <w:tcW w:type="dxa" w:w="2376"/>
            <w:shd w:fill="F6F9FC"/>
            <w:vAlign w:val="center"/>
            <w:tcMar>
              <w:top w:w="55" w:type="dxa"/>
              <w:start w:w="75" w:type="dxa"/>
              <w:bottom w:w="55" w:type="dxa"/>
              <w:end w:w="75" w:type="dxa"/>
            </w:tcMar>
          </w:tcPr>
          <w:p>
            <w:pPr>
              <w:spacing w:before="0" w:after="0" w:line="240" w:lineRule="auto"/>
            </w:pPr>
            <w:r>
              <w:rPr>
                <w:rFonts w:ascii="Inter" w:hAnsi="Inter"/>
                <w:b/>
                <w:color w:val="172033"/>
                <w:sz w:val="15"/>
              </w:rPr>
              <w:t>5.6 Export and Print</w:t>
            </w:r>
          </w:p>
        </w:tc>
        <w:tc>
          <w:tcPr>
            <w:tcW w:type="dxa" w:w="720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Controlled PDF, XLSX, CSV, and printed output with metadata, permission, masking, watermarking where required, and audit evidence.</w:t>
            </w:r>
          </w:p>
        </w:tc>
      </w:tr>
      <w:tr>
        <w:trPr>
          <w:cantSplit/>
        </w:trPr>
        <w:tc>
          <w:tcPr>
            <w:tcW w:type="dxa" w:w="2376"/>
            <w:vAlign w:val="center"/>
            <w:tcMar>
              <w:top w:w="55" w:type="dxa"/>
              <w:start w:w="75" w:type="dxa"/>
              <w:bottom w:w="55" w:type="dxa"/>
              <w:end w:w="75" w:type="dxa"/>
            </w:tcMar>
          </w:tcPr>
          <w:p>
            <w:pPr>
              <w:spacing w:before="0" w:after="0" w:line="240" w:lineRule="auto"/>
            </w:pPr>
            <w:r>
              <w:rPr>
                <w:rFonts w:ascii="Inter" w:hAnsi="Inter"/>
                <w:b/>
                <w:color w:val="172033"/>
                <w:sz w:val="15"/>
              </w:rPr>
              <w:t>5.7 Favorites and Saved Views</w:t>
            </w:r>
          </w:p>
        </w:tc>
        <w:tc>
          <w:tcPr>
            <w:tcW w:type="dxa" w:w="7200"/>
            <w:vAlign w:val="center"/>
            <w:tcMar>
              <w:top w:w="55" w:type="dxa"/>
              <w:start w:w="75" w:type="dxa"/>
              <w:bottom w:w="55" w:type="dxa"/>
              <w:end w:w="75" w:type="dxa"/>
            </w:tcMar>
          </w:tcPr>
          <w:p>
            <w:pPr>
              <w:spacing w:before="0" w:after="0" w:line="240" w:lineRule="auto"/>
            </w:pPr>
            <w:r>
              <w:rPr>
                <w:rFonts w:ascii="Inter" w:hAnsi="Inter"/>
                <w:b w:val="0"/>
                <w:color w:val="172033"/>
                <w:sz w:val="15"/>
              </w:rPr>
              <w:t>User-specific shortcuts and parameter presets that do not redefine the governed report formula.</w:t>
            </w:r>
          </w:p>
        </w:tc>
      </w:tr>
      <w:tr>
        <w:trPr>
          <w:cantSplit/>
        </w:trPr>
        <w:tc>
          <w:tcPr>
            <w:tcW w:type="dxa" w:w="2376"/>
            <w:shd w:fill="F6F9FC"/>
            <w:vAlign w:val="center"/>
            <w:tcMar>
              <w:top w:w="55" w:type="dxa"/>
              <w:start w:w="75" w:type="dxa"/>
              <w:bottom w:w="55" w:type="dxa"/>
              <w:end w:w="75" w:type="dxa"/>
            </w:tcMar>
          </w:tcPr>
          <w:p>
            <w:pPr>
              <w:spacing w:before="0" w:after="0" w:line="240" w:lineRule="auto"/>
            </w:pPr>
            <w:r>
              <w:rPr>
                <w:rFonts w:ascii="Inter" w:hAnsi="Inter"/>
                <w:b/>
                <w:color w:val="172033"/>
                <w:sz w:val="15"/>
              </w:rPr>
              <w:t>5.8 Scheduling and Delivery</w:t>
            </w:r>
          </w:p>
        </w:tc>
        <w:tc>
          <w:tcPr>
            <w:tcW w:type="dxa" w:w="720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Authorized schedule, recurrence, recipients, channel, output format, failure handling, expiration, and delivery history.</w:t>
            </w:r>
          </w:p>
        </w:tc>
      </w:tr>
      <w:tr>
        <w:trPr>
          <w:cantSplit/>
        </w:trPr>
        <w:tc>
          <w:tcPr>
            <w:tcW w:type="dxa" w:w="2376"/>
            <w:vAlign w:val="center"/>
            <w:tcMar>
              <w:top w:w="55" w:type="dxa"/>
              <w:start w:w="75" w:type="dxa"/>
              <w:bottom w:w="55" w:type="dxa"/>
              <w:end w:w="75" w:type="dxa"/>
            </w:tcMar>
          </w:tcPr>
          <w:p>
            <w:pPr>
              <w:spacing w:before="0" w:after="0" w:line="240" w:lineRule="auto"/>
            </w:pPr>
            <w:r>
              <w:rPr>
                <w:rFonts w:ascii="Inter" w:hAnsi="Inter"/>
                <w:b/>
                <w:color w:val="172033"/>
                <w:sz w:val="15"/>
              </w:rPr>
              <w:t>5.9 Cross-Module Analytics</w:t>
            </w:r>
          </w:p>
        </w:tc>
        <w:tc>
          <w:tcPr>
            <w:tcW w:type="dxa" w:w="7200"/>
            <w:vAlign w:val="center"/>
            <w:tcMar>
              <w:top w:w="55" w:type="dxa"/>
              <w:start w:w="75" w:type="dxa"/>
              <w:bottom w:w="55" w:type="dxa"/>
              <w:end w:w="75" w:type="dxa"/>
            </w:tcMar>
          </w:tcPr>
          <w:p>
            <w:pPr>
              <w:spacing w:before="0" w:after="0" w:line="240" w:lineRule="auto"/>
            </w:pPr>
            <w:r>
              <w:rPr>
                <w:rFonts w:ascii="Inter" w:hAnsi="Inter"/>
                <w:b w:val="0"/>
                <w:color w:val="172033"/>
                <w:sz w:val="15"/>
              </w:rPr>
              <w:t>Documented measures and comparisons that combine governed sources without creating a competing transaction source.</w:t>
            </w:r>
          </w:p>
        </w:tc>
      </w:tr>
      <w:tr>
        <w:trPr>
          <w:cantSplit/>
        </w:trPr>
        <w:tc>
          <w:tcPr>
            <w:tcW w:type="dxa" w:w="2376"/>
            <w:shd w:fill="F6F9FC"/>
            <w:vAlign w:val="center"/>
            <w:tcMar>
              <w:top w:w="55" w:type="dxa"/>
              <w:start w:w="75" w:type="dxa"/>
              <w:bottom w:w="55" w:type="dxa"/>
              <w:end w:w="75" w:type="dxa"/>
            </w:tcMar>
          </w:tcPr>
          <w:p>
            <w:pPr>
              <w:spacing w:before="0" w:after="0" w:line="240" w:lineRule="auto"/>
            </w:pPr>
            <w:r>
              <w:rPr>
                <w:rFonts w:ascii="Inter" w:hAnsi="Inter"/>
                <w:b/>
                <w:color w:val="172033"/>
                <w:sz w:val="15"/>
              </w:rPr>
              <w:t>5.10 Report History and Snapshots</w:t>
            </w:r>
          </w:p>
        </w:tc>
        <w:tc>
          <w:tcPr>
            <w:tcW w:type="dxa" w:w="720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Generation identity, definition version, parameters, source as-of time, output status, retention, regeneration, archive, and expiry.</w:t>
            </w:r>
          </w:p>
        </w:tc>
      </w:tr>
      <w:tr>
        <w:trPr>
          <w:cantSplit/>
        </w:trPr>
        <w:tc>
          <w:tcPr>
            <w:tcW w:type="dxa" w:w="2376"/>
            <w:vAlign w:val="center"/>
            <w:tcMar>
              <w:top w:w="55" w:type="dxa"/>
              <w:start w:w="75" w:type="dxa"/>
              <w:bottom w:w="55" w:type="dxa"/>
              <w:end w:w="75" w:type="dxa"/>
            </w:tcMar>
          </w:tcPr>
          <w:p>
            <w:pPr>
              <w:spacing w:before="0" w:after="0" w:line="240" w:lineRule="auto"/>
            </w:pPr>
            <w:r>
              <w:rPr>
                <w:rFonts w:ascii="Inter" w:hAnsi="Inter"/>
                <w:b/>
                <w:color w:val="172033"/>
                <w:sz w:val="15"/>
              </w:rPr>
              <w:t>5.11 Administration and Definition Governance</w:t>
            </w:r>
          </w:p>
        </w:tc>
        <w:tc>
          <w:tcPr>
            <w:tcW w:type="dxa" w:w="7200"/>
            <w:vAlign w:val="center"/>
            <w:tcMar>
              <w:top w:w="55" w:type="dxa"/>
              <w:start w:w="75" w:type="dxa"/>
              <w:bottom w:w="55" w:type="dxa"/>
              <w:end w:w="75" w:type="dxa"/>
            </w:tcMar>
          </w:tcPr>
          <w:p>
            <w:pPr>
              <w:spacing w:before="0" w:after="0" w:line="240" w:lineRule="auto"/>
            </w:pPr>
            <w:r>
              <w:rPr>
                <w:rFonts w:ascii="Inter" w:hAnsi="Inter"/>
                <w:b w:val="0"/>
                <w:color w:val="172033"/>
                <w:sz w:val="15"/>
              </w:rPr>
              <w:t>Review, testing, publish, supersede, deactivate, localization, layout, retention, and entitlement controls through MDS-1100 and approved technical artifacts.</w:t>
            </w:r>
          </w:p>
        </w:tc>
      </w:tr>
      <w:tr>
        <w:trPr>
          <w:cantSplit/>
        </w:trPr>
        <w:tc>
          <w:tcPr>
            <w:tcW w:type="dxa" w:w="2376"/>
            <w:shd w:fill="F6F9FC"/>
            <w:vAlign w:val="center"/>
            <w:tcMar>
              <w:top w:w="55" w:type="dxa"/>
              <w:start w:w="75" w:type="dxa"/>
              <w:bottom w:w="55" w:type="dxa"/>
              <w:end w:w="75" w:type="dxa"/>
            </w:tcMar>
          </w:tcPr>
          <w:p>
            <w:pPr>
              <w:spacing w:before="0" w:after="0" w:line="240" w:lineRule="auto"/>
            </w:pPr>
            <w:r>
              <w:rPr>
                <w:rFonts w:ascii="Inter" w:hAnsi="Inter"/>
                <w:b/>
                <w:color w:val="172033"/>
                <w:sz w:val="15"/>
              </w:rPr>
              <w:t>5.12 AI-Assisted Insight Layer</w:t>
            </w:r>
          </w:p>
        </w:tc>
        <w:tc>
          <w:tcPr>
            <w:tcW w:type="dxa" w:w="720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Optional narrative, anomaly, explanation, forecast, and recommendation services over authorized report outputs with source citations and human control.</w:t>
            </w:r>
          </w:p>
        </w:tc>
      </w:tr>
    </w:tbl>
    <w:p>
      <w:pPr>
        <w:spacing w:after="80" w:line="259" w:lineRule="auto"/>
      </w:pPr>
    </w:p>
    <w:p>
      <w:pPr>
        <w:pStyle w:val="Heading1"/>
        <w:keepNext/>
        <w:pageBreakBefore w:val="0"/>
      </w:pPr>
      <w:r>
        <w:t>6. Master Data</w:t>
      </w:r>
    </w:p>
    <w:p>
      <w:pPr>
        <w:spacing w:after="80" w:line="259" w:lineRule="auto"/>
      </w:pPr>
      <w:r>
        <w:rPr>
          <w:rFonts w:ascii="Inter" w:hAnsi="Inter"/>
          <w:color w:val="172033"/>
          <w:sz w:val="18"/>
        </w:rPr>
        <w:t>MDS-900 does not own ordinary operational Master Data. It references authoritative records and dimensions supplied by MDS-1000 and configuration supplied by MDS-1100. Reporting definitions and templates are governed configuration/reference objects, not substitutes for operational registries.</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3312"/>
            <w:shd w:fill="E7F0F8"/>
            <w:vAlign w:val="center"/>
            <w:tcMar>
              <w:top w:w="55" w:type="dxa"/>
              <w:start w:w="75" w:type="dxa"/>
              <w:bottom w:w="55" w:type="dxa"/>
              <w:end w:w="75" w:type="dxa"/>
            </w:tcMar>
          </w:tcPr>
          <w:p>
            <w:pPr>
              <w:spacing w:before="0" w:after="0" w:line="240" w:lineRule="auto"/>
            </w:pPr>
            <w:r>
              <w:rPr>
                <w:rFonts w:ascii="Inter" w:hAnsi="Inter"/>
                <w:b/>
                <w:color w:val="172033"/>
                <w:sz w:val="16"/>
              </w:rPr>
              <w:t>Referenced data</w:t>
            </w:r>
          </w:p>
        </w:tc>
        <w:tc>
          <w:tcPr>
            <w:tcW w:type="dxa" w:w="252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Authoritative owner</w:t>
            </w:r>
          </w:p>
        </w:tc>
        <w:tc>
          <w:tcPr>
            <w:tcW w:type="dxa" w:w="3744"/>
            <w:shd w:fill="E7F0F8"/>
            <w:vAlign w:val="center"/>
            <w:tcMar>
              <w:top w:w="55" w:type="dxa"/>
              <w:start w:w="75" w:type="dxa"/>
              <w:bottom w:w="55" w:type="dxa"/>
              <w:end w:w="75" w:type="dxa"/>
            </w:tcMar>
          </w:tcPr>
          <w:p>
            <w:pPr>
              <w:spacing w:before="0" w:after="0" w:line="240" w:lineRule="auto"/>
            </w:pPr>
            <w:r>
              <w:rPr>
                <w:rFonts w:ascii="Inter" w:hAnsi="Inter"/>
                <w:b/>
                <w:color w:val="172033"/>
                <w:sz w:val="16"/>
              </w:rPr>
              <w:t>Reporting use</w:t>
            </w:r>
          </w:p>
        </w:tc>
      </w:tr>
      <w:tr>
        <w:trPr>
          <w:cantSplit/>
        </w:trPr>
        <w:tc>
          <w:tcPr>
            <w:tcW w:type="dxa" w:w="3312"/>
            <w:vAlign w:val="center"/>
            <w:tcMar>
              <w:top w:w="55" w:type="dxa"/>
              <w:start w:w="75" w:type="dxa"/>
              <w:bottom w:w="55" w:type="dxa"/>
              <w:end w:w="75" w:type="dxa"/>
            </w:tcMar>
          </w:tcPr>
          <w:p>
            <w:pPr>
              <w:spacing w:before="0" w:after="0" w:line="240" w:lineRule="auto"/>
            </w:pPr>
            <w:r>
              <w:rPr>
                <w:rFonts w:ascii="Inter" w:hAnsi="Inter"/>
                <w:b w:val="0"/>
                <w:color w:val="172033"/>
                <w:sz w:val="15"/>
              </w:rPr>
              <w:t>Company, branch, business unit, department, project, cost center, profit center, territory</w:t>
            </w:r>
          </w:p>
        </w:tc>
        <w:tc>
          <w:tcPr>
            <w:tcW w:type="dxa" w:w="2520"/>
            <w:vAlign w:val="center"/>
            <w:tcMar>
              <w:top w:w="55" w:type="dxa"/>
              <w:start w:w="75" w:type="dxa"/>
              <w:bottom w:w="55" w:type="dxa"/>
              <w:end w:w="75" w:type="dxa"/>
            </w:tcMar>
          </w:tcPr>
          <w:p>
            <w:pPr>
              <w:spacing w:before="0" w:after="0" w:line="240" w:lineRule="auto"/>
            </w:pPr>
            <w:r>
              <w:rPr>
                <w:rFonts w:ascii="Inter" w:hAnsi="Inter"/>
                <w:b w:val="0"/>
                <w:color w:val="172033"/>
                <w:sz w:val="15"/>
              </w:rPr>
              <w:t>MDS-1000 / future ERP registries</w:t>
            </w:r>
          </w:p>
        </w:tc>
        <w:tc>
          <w:tcPr>
            <w:tcW w:type="dxa" w:w="3744"/>
            <w:vAlign w:val="center"/>
            <w:tcMar>
              <w:top w:w="55" w:type="dxa"/>
              <w:start w:w="75" w:type="dxa"/>
              <w:bottom w:w="55" w:type="dxa"/>
              <w:end w:w="75" w:type="dxa"/>
            </w:tcMar>
          </w:tcPr>
          <w:p>
            <w:pPr>
              <w:spacing w:before="0" w:after="0" w:line="240" w:lineRule="auto"/>
            </w:pPr>
            <w:r>
              <w:rPr>
                <w:rFonts w:ascii="Inter" w:hAnsi="Inter"/>
                <w:b w:val="0"/>
                <w:color w:val="172033"/>
                <w:sz w:val="15"/>
              </w:rPr>
              <w:t>Scope, grouping, comparison, consolidation, and drill-down.</w:t>
            </w:r>
          </w:p>
        </w:tc>
      </w:tr>
      <w:tr>
        <w:trPr>
          <w:cantSplit/>
        </w:trPr>
        <w:tc>
          <w:tcPr>
            <w:tcW w:type="dxa" w:w="331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Customer, supplier, contact, salesperson, collector, payee</w:t>
            </w:r>
          </w:p>
        </w:tc>
        <w:tc>
          <w:tcPr>
            <w:tcW w:type="dxa" w:w="252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MDS-1000</w:t>
            </w:r>
          </w:p>
        </w:tc>
        <w:tc>
          <w:tcPr>
            <w:tcW w:type="dxa" w:w="374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Party filters, aging, activity, balances, and analysis.</w:t>
            </w:r>
          </w:p>
        </w:tc>
      </w:tr>
      <w:tr>
        <w:trPr>
          <w:cantSplit/>
        </w:trPr>
        <w:tc>
          <w:tcPr>
            <w:tcW w:type="dxa" w:w="3312"/>
            <w:vAlign w:val="center"/>
            <w:tcMar>
              <w:top w:w="55" w:type="dxa"/>
              <w:start w:w="75" w:type="dxa"/>
              <w:bottom w:w="55" w:type="dxa"/>
              <w:end w:w="75" w:type="dxa"/>
            </w:tcMar>
          </w:tcPr>
          <w:p>
            <w:pPr>
              <w:spacing w:before="0" w:after="0" w:line="240" w:lineRule="auto"/>
            </w:pPr>
            <w:r>
              <w:rPr>
                <w:rFonts w:ascii="Inter" w:hAnsi="Inter"/>
                <w:b w:val="0"/>
                <w:color w:val="172033"/>
                <w:sz w:val="15"/>
              </w:rPr>
              <w:t>Product, service, category, unit, warehouse, stock location</w:t>
            </w:r>
          </w:p>
        </w:tc>
        <w:tc>
          <w:tcPr>
            <w:tcW w:type="dxa" w:w="2520"/>
            <w:vAlign w:val="center"/>
            <w:tcMar>
              <w:top w:w="55" w:type="dxa"/>
              <w:start w:w="75" w:type="dxa"/>
              <w:bottom w:w="55" w:type="dxa"/>
              <w:end w:w="75" w:type="dxa"/>
            </w:tcMar>
          </w:tcPr>
          <w:p>
            <w:pPr>
              <w:spacing w:before="0" w:after="0" w:line="240" w:lineRule="auto"/>
            </w:pPr>
            <w:r>
              <w:rPr>
                <w:rFonts w:ascii="Inter" w:hAnsi="Inter"/>
                <w:b w:val="0"/>
                <w:color w:val="172033"/>
                <w:sz w:val="15"/>
              </w:rPr>
              <w:t>MDS-1000 and MDS-600</w:t>
            </w:r>
          </w:p>
        </w:tc>
        <w:tc>
          <w:tcPr>
            <w:tcW w:type="dxa" w:w="3744"/>
            <w:vAlign w:val="center"/>
            <w:tcMar>
              <w:top w:w="55" w:type="dxa"/>
              <w:start w:w="75" w:type="dxa"/>
              <w:bottom w:w="55" w:type="dxa"/>
              <w:end w:w="75" w:type="dxa"/>
            </w:tcMar>
          </w:tcPr>
          <w:p>
            <w:pPr>
              <w:spacing w:before="0" w:after="0" w:line="240" w:lineRule="auto"/>
            </w:pPr>
            <w:r>
              <w:rPr>
                <w:rFonts w:ascii="Inter" w:hAnsi="Inter"/>
                <w:b w:val="0"/>
                <w:color w:val="172033"/>
                <w:sz w:val="15"/>
              </w:rPr>
              <w:t>Sales, purchase, stock, margin, and movement analysis.</w:t>
            </w:r>
          </w:p>
        </w:tc>
      </w:tr>
      <w:tr>
        <w:trPr>
          <w:cantSplit/>
        </w:trPr>
        <w:tc>
          <w:tcPr>
            <w:tcW w:type="dxa" w:w="331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Cash Account, Payment Method, Currency, Tax Code, Account Title, Expense Category</w:t>
            </w:r>
          </w:p>
        </w:tc>
        <w:tc>
          <w:tcPr>
            <w:tcW w:type="dxa" w:w="252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MDS-1000; behavior in MDS-1100</w:t>
            </w:r>
          </w:p>
        </w:tc>
        <w:tc>
          <w:tcPr>
            <w:tcW w:type="dxa" w:w="374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Financial, cash, payment, tax, and expense reporting.</w:t>
            </w:r>
          </w:p>
        </w:tc>
      </w:tr>
      <w:tr>
        <w:trPr>
          <w:cantSplit/>
        </w:trPr>
        <w:tc>
          <w:tcPr>
            <w:tcW w:type="dxa" w:w="3312"/>
            <w:vAlign w:val="center"/>
            <w:tcMar>
              <w:top w:w="55" w:type="dxa"/>
              <w:start w:w="75" w:type="dxa"/>
              <w:bottom w:w="55" w:type="dxa"/>
              <w:end w:w="75" w:type="dxa"/>
            </w:tcMar>
          </w:tcPr>
          <w:p>
            <w:pPr>
              <w:spacing w:before="0" w:after="0" w:line="240" w:lineRule="auto"/>
            </w:pPr>
            <w:r>
              <w:rPr>
                <w:rFonts w:ascii="Inter" w:hAnsi="Inter"/>
                <w:b w:val="0"/>
                <w:color w:val="172033"/>
                <w:sz w:val="15"/>
              </w:rPr>
              <w:t>User, role, permission, report access group, delivery recipient</w:t>
            </w:r>
          </w:p>
        </w:tc>
        <w:tc>
          <w:tcPr>
            <w:tcW w:type="dxa" w:w="2520"/>
            <w:vAlign w:val="center"/>
            <w:tcMar>
              <w:top w:w="55" w:type="dxa"/>
              <w:start w:w="75" w:type="dxa"/>
              <w:bottom w:w="55" w:type="dxa"/>
              <w:end w:w="75" w:type="dxa"/>
            </w:tcMar>
          </w:tcPr>
          <w:p>
            <w:pPr>
              <w:spacing w:before="0" w:after="0" w:line="240" w:lineRule="auto"/>
            </w:pPr>
            <w:r>
              <w:rPr>
                <w:rFonts w:ascii="Inter" w:hAnsi="Inter"/>
                <w:b w:val="0"/>
                <w:color w:val="172033"/>
                <w:sz w:val="15"/>
              </w:rPr>
              <w:t>MDS-1100</w:t>
            </w:r>
          </w:p>
        </w:tc>
        <w:tc>
          <w:tcPr>
            <w:tcW w:type="dxa" w:w="3744"/>
            <w:vAlign w:val="center"/>
            <w:tcMar>
              <w:top w:w="55" w:type="dxa"/>
              <w:start w:w="75" w:type="dxa"/>
              <w:bottom w:w="55" w:type="dxa"/>
              <w:end w:w="75" w:type="dxa"/>
            </w:tcMar>
          </w:tcPr>
          <w:p>
            <w:pPr>
              <w:spacing w:before="0" w:after="0" w:line="240" w:lineRule="auto"/>
            </w:pPr>
            <w:r>
              <w:rPr>
                <w:rFonts w:ascii="Inter" w:hAnsi="Inter"/>
                <w:b w:val="0"/>
                <w:color w:val="172033"/>
                <w:sz w:val="15"/>
              </w:rPr>
              <w:t>Authorization, data scope, scheduling, delivery, audit, and masking.</w:t>
            </w:r>
          </w:p>
        </w:tc>
      </w:tr>
      <w:tr>
        <w:trPr>
          <w:cantSplit/>
        </w:trPr>
        <w:tc>
          <w:tcPr>
            <w:tcW w:type="dxa" w:w="331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Fiscal calendar, business date, time zone, number/date/currency formats</w:t>
            </w:r>
          </w:p>
        </w:tc>
        <w:tc>
          <w:tcPr>
            <w:tcW w:type="dxa" w:w="252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MDS-1100</w:t>
            </w:r>
          </w:p>
        </w:tc>
        <w:tc>
          <w:tcPr>
            <w:tcW w:type="dxa" w:w="374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Period selection, reproducibility, localization, and schedule execution.</w:t>
            </w:r>
          </w:p>
        </w:tc>
      </w:tr>
    </w:tbl>
    <w:p>
      <w:pPr>
        <w:spacing w:after="80" w:line="259" w:lineRule="auto"/>
      </w:pPr>
    </w:p>
    <w:p>
      <w:pPr>
        <w:pStyle w:val="Heading2"/>
        <w:keepNext/>
      </w:pPr>
      <w:r>
        <w:t>6.1 Governed Reporting Definitions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592"/>
            <w:shd w:fill="E7F0F8"/>
            <w:vAlign w:val="center"/>
            <w:tcMar>
              <w:top w:w="55" w:type="dxa"/>
              <w:start w:w="75" w:type="dxa"/>
              <w:bottom w:w="55" w:type="dxa"/>
              <w:end w:w="75" w:type="dxa"/>
            </w:tcMar>
          </w:tcPr>
          <w:p>
            <w:pPr>
              <w:spacing w:before="0" w:after="0" w:line="240" w:lineRule="auto"/>
            </w:pPr>
            <w:r>
              <w:rPr>
                <w:rFonts w:ascii="Inter" w:hAnsi="Inter"/>
                <w:b/>
                <w:color w:val="172033"/>
                <w:sz w:val="16"/>
              </w:rPr>
              <w:t>Definition object</w:t>
            </w:r>
          </w:p>
        </w:tc>
        <w:tc>
          <w:tcPr>
            <w:tcW w:type="dxa" w:w="6984"/>
            <w:shd w:fill="E7F0F8"/>
            <w:vAlign w:val="center"/>
            <w:tcMar>
              <w:top w:w="55" w:type="dxa"/>
              <w:start w:w="75" w:type="dxa"/>
              <w:bottom w:w="55" w:type="dxa"/>
              <w:end w:w="75" w:type="dxa"/>
            </w:tcMar>
          </w:tcPr>
          <w:p>
            <w:pPr>
              <w:spacing w:before="0" w:after="0" w:line="240" w:lineRule="auto"/>
            </w:pPr>
            <w:r>
              <w:rPr>
                <w:rFonts w:ascii="Inter" w:hAnsi="Inter"/>
                <w:b/>
                <w:color w:val="172033"/>
                <w:sz w:val="16"/>
              </w:rPr>
              <w:t>Minimum governed fields</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5"/>
              </w:rPr>
              <w:t>Report Definition</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5"/>
              </w:rPr>
              <w:t>Stable ID, version, business name, description, category, owner, source contracts, formula, status basis, sign convention, parameters, columns, totals, security, drill-down, entitlement, effective date.</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Parameter Definition</w:t>
            </w:r>
          </w:p>
        </w:tc>
        <w:tc>
          <w:tcPr>
            <w:tcW w:type="dxa" w:w="698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Name, type, required/default value, valid source, dependencies, multi-select behavior, authorization, validation, and display label.</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5"/>
              </w:rPr>
              <w:t>Layout Template</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5"/>
              </w:rPr>
              <w:t>Title, header/footer, columns, grouping, totals, chart/table options, page format, localization, and accessibility alternative.</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Analytics Definition</w:t>
            </w:r>
          </w:p>
        </w:tc>
        <w:tc>
          <w:tcPr>
            <w:tcW w:type="dxa" w:w="698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Metric ID/version, business question, formula, source, time grain, comparison, exceptions, threshold, owner, and interpretation guidance.</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5"/>
              </w:rPr>
              <w:t>Delivery Template</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5"/>
              </w:rPr>
              <w:t>Subject, body, recipient rule, channel, format, sensitivity label, expiry, and secure-access behavior.</w:t>
            </w:r>
          </w:p>
        </w:tc>
      </w:tr>
    </w:tbl>
    <w:p>
      <w:pPr>
        <w:spacing w:after="80" w:line="259" w:lineRule="auto"/>
      </w:pPr>
    </w:p>
    <w:p>
      <w:pPr>
        <w:pStyle w:val="Heading1"/>
        <w:keepNext/>
        <w:pageBreakBefore w:val="0"/>
      </w:pPr>
      <w:r>
        <w:t>7. Business Documents</w:t>
      </w:r>
    </w:p>
    <w:p>
      <w:pPr>
        <w:spacing w:after="80" w:line="259" w:lineRule="auto"/>
      </w:pPr>
      <w:r>
        <w:rPr>
          <w:rFonts w:ascii="Inter" w:hAnsi="Inter"/>
          <w:color w:val="172033"/>
          <w:sz w:val="18"/>
        </w:rPr>
        <w:t>Reports &amp; Analytics does not create an operational transaction document. It creates controlled information artifacts derived from authoritative records. Ad hoc Display Report results may remain transient; exported, scheduled, published, archived, or materially relied-upon outputs require stronger identity and history.</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2232"/>
            <w:shd w:fill="E7F0F8"/>
            <w:vAlign w:val="center"/>
            <w:tcMar>
              <w:top w:w="55" w:type="dxa"/>
              <w:start w:w="75" w:type="dxa"/>
              <w:bottom w:w="55" w:type="dxa"/>
              <w:end w:w="75" w:type="dxa"/>
            </w:tcMar>
          </w:tcPr>
          <w:p>
            <w:pPr>
              <w:spacing w:before="0" w:after="0" w:line="240" w:lineRule="auto"/>
            </w:pPr>
            <w:r>
              <w:rPr>
                <w:rFonts w:ascii="Inter" w:hAnsi="Inter"/>
                <w:b/>
                <w:color w:val="172033"/>
                <w:sz w:val="16"/>
              </w:rPr>
              <w:t>Information artifact</w:t>
            </w:r>
          </w:p>
        </w:tc>
        <w:tc>
          <w:tcPr>
            <w:tcW w:type="dxa" w:w="3456"/>
            <w:shd w:fill="E7F0F8"/>
            <w:vAlign w:val="center"/>
            <w:tcMar>
              <w:top w:w="55" w:type="dxa"/>
              <w:start w:w="75" w:type="dxa"/>
              <w:bottom w:w="55" w:type="dxa"/>
              <w:end w:w="75" w:type="dxa"/>
            </w:tcMar>
          </w:tcPr>
          <w:p>
            <w:pPr>
              <w:spacing w:before="0" w:after="0" w:line="240" w:lineRule="auto"/>
            </w:pPr>
            <w:r>
              <w:rPr>
                <w:rFonts w:ascii="Inter" w:hAnsi="Inter"/>
                <w:b/>
                <w:color w:val="172033"/>
                <w:sz w:val="16"/>
              </w:rPr>
              <w:t>Purpose</w:t>
            </w:r>
          </w:p>
        </w:tc>
        <w:tc>
          <w:tcPr>
            <w:tcW w:type="dxa" w:w="388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Lifecycle and control</w:t>
            </w:r>
          </w:p>
        </w:tc>
      </w:tr>
      <w:tr>
        <w:trPr>
          <w:cantSplit/>
        </w:trPr>
        <w:tc>
          <w:tcPr>
            <w:tcW w:type="dxa" w:w="2232"/>
            <w:vAlign w:val="center"/>
            <w:tcMar>
              <w:top w:w="55" w:type="dxa"/>
              <w:start w:w="75" w:type="dxa"/>
              <w:bottom w:w="55" w:type="dxa"/>
              <w:end w:w="75" w:type="dxa"/>
            </w:tcMar>
          </w:tcPr>
          <w:p>
            <w:pPr>
              <w:spacing w:before="0" w:after="0" w:line="240" w:lineRule="auto"/>
            </w:pPr>
            <w:r>
              <w:rPr>
                <w:rFonts w:ascii="Inter" w:hAnsi="Inter"/>
                <w:b w:val="0"/>
                <w:color w:val="172033"/>
                <w:sz w:val="15"/>
              </w:rPr>
              <w:t>Report Request</w:t>
            </w:r>
          </w:p>
        </w:tc>
        <w:tc>
          <w:tcPr>
            <w:tcW w:type="dxa" w:w="3456"/>
            <w:vAlign w:val="center"/>
            <w:tcMar>
              <w:top w:w="55" w:type="dxa"/>
              <w:start w:w="75" w:type="dxa"/>
              <w:bottom w:w="55" w:type="dxa"/>
              <w:end w:w="75" w:type="dxa"/>
            </w:tcMar>
          </w:tcPr>
          <w:p>
            <w:pPr>
              <w:spacing w:before="0" w:after="0" w:line="240" w:lineRule="auto"/>
            </w:pPr>
            <w:r>
              <w:rPr>
                <w:rFonts w:ascii="Inter" w:hAnsi="Inter"/>
                <w:b w:val="0"/>
                <w:color w:val="172033"/>
                <w:sz w:val="15"/>
              </w:rPr>
              <w:t>Captures who requested what report, definition version, company context, parameters, output type, and idempotency identity.</w:t>
            </w:r>
          </w:p>
        </w:tc>
        <w:tc>
          <w:tcPr>
            <w:tcW w:type="dxa" w:w="3888"/>
            <w:vAlign w:val="center"/>
            <w:tcMar>
              <w:top w:w="55" w:type="dxa"/>
              <w:start w:w="75" w:type="dxa"/>
              <w:bottom w:w="55" w:type="dxa"/>
              <w:end w:w="75" w:type="dxa"/>
            </w:tcMar>
          </w:tcPr>
          <w:p>
            <w:pPr>
              <w:spacing w:before="0" w:after="0" w:line="240" w:lineRule="auto"/>
            </w:pPr>
            <w:r>
              <w:rPr>
                <w:rFonts w:ascii="Inter" w:hAnsi="Inter"/>
                <w:b w:val="0"/>
                <w:color w:val="172033"/>
                <w:sz w:val="15"/>
              </w:rPr>
              <w:t>Requested -&gt; Validated -&gt; Queued/Processing -&gt; Completed/Failed/Cancelled.</w:t>
            </w:r>
          </w:p>
        </w:tc>
      </w:tr>
      <w:tr>
        <w:trPr>
          <w:cantSplit/>
        </w:trPr>
        <w:tc>
          <w:tcPr>
            <w:tcW w:type="dxa" w:w="223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Report Output</w:t>
            </w:r>
          </w:p>
        </w:tc>
        <w:tc>
          <w:tcPr>
            <w:tcW w:type="dxa" w:w="3456"/>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Rendered result for Display Report, print, or export.</w:t>
            </w:r>
          </w:p>
        </w:tc>
        <w:tc>
          <w:tcPr>
            <w:tcW w:type="dxa" w:w="388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Completed output carries definition version, filters, as-of time, freshness, currency, generated by/time, and sensitivity.</w:t>
            </w:r>
          </w:p>
        </w:tc>
      </w:tr>
      <w:tr>
        <w:trPr>
          <w:cantSplit/>
        </w:trPr>
        <w:tc>
          <w:tcPr>
            <w:tcW w:type="dxa" w:w="2232"/>
            <w:vAlign w:val="center"/>
            <w:tcMar>
              <w:top w:w="55" w:type="dxa"/>
              <w:start w:w="75" w:type="dxa"/>
              <w:bottom w:w="55" w:type="dxa"/>
              <w:end w:w="75" w:type="dxa"/>
            </w:tcMar>
          </w:tcPr>
          <w:p>
            <w:pPr>
              <w:spacing w:before="0" w:after="0" w:line="240" w:lineRule="auto"/>
            </w:pPr>
            <w:r>
              <w:rPr>
                <w:rFonts w:ascii="Inter" w:hAnsi="Inter"/>
                <w:b w:val="0"/>
                <w:color w:val="172033"/>
                <w:sz w:val="15"/>
              </w:rPr>
              <w:t>Report Snapshot</w:t>
            </w:r>
          </w:p>
        </w:tc>
        <w:tc>
          <w:tcPr>
            <w:tcW w:type="dxa" w:w="3456"/>
            <w:vAlign w:val="center"/>
            <w:tcMar>
              <w:top w:w="55" w:type="dxa"/>
              <w:start w:w="75" w:type="dxa"/>
              <w:bottom w:w="55" w:type="dxa"/>
              <w:end w:w="75" w:type="dxa"/>
            </w:tcMar>
          </w:tcPr>
          <w:p>
            <w:pPr>
              <w:spacing w:before="0" w:after="0" w:line="240" w:lineRule="auto"/>
            </w:pPr>
            <w:r>
              <w:rPr>
                <w:rFonts w:ascii="Inter" w:hAnsi="Inter"/>
                <w:b w:val="0"/>
                <w:color w:val="172033"/>
                <w:sz w:val="15"/>
              </w:rPr>
              <w:t>Retained immutable output used for audit, approval, period pack, evidence, or later comparison.</w:t>
            </w:r>
          </w:p>
        </w:tc>
        <w:tc>
          <w:tcPr>
            <w:tcW w:type="dxa" w:w="3888"/>
            <w:vAlign w:val="center"/>
            <w:tcMar>
              <w:top w:w="55" w:type="dxa"/>
              <w:start w:w="75" w:type="dxa"/>
              <w:bottom w:w="55" w:type="dxa"/>
              <w:end w:w="75" w:type="dxa"/>
            </w:tcMar>
          </w:tcPr>
          <w:p>
            <w:pPr>
              <w:spacing w:before="0" w:after="0" w:line="240" w:lineRule="auto"/>
            </w:pPr>
            <w:r>
              <w:rPr>
                <w:rFonts w:ascii="Inter" w:hAnsi="Inter"/>
                <w:b w:val="0"/>
                <w:color w:val="172033"/>
                <w:sz w:val="15"/>
              </w:rPr>
              <w:t>Created -&gt; Verified/Published -&gt; Archived -&gt; Expired according to retention.</w:t>
            </w:r>
          </w:p>
        </w:tc>
      </w:tr>
      <w:tr>
        <w:trPr>
          <w:cantSplit/>
        </w:trPr>
        <w:tc>
          <w:tcPr>
            <w:tcW w:type="dxa" w:w="223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Export File</w:t>
            </w:r>
          </w:p>
        </w:tc>
        <w:tc>
          <w:tcPr>
            <w:tcW w:type="dxa" w:w="3456"/>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PDF, spreadsheet, CSV, or other approved downloadable output.</w:t>
            </w:r>
          </w:p>
        </w:tc>
        <w:tc>
          <w:tcPr>
            <w:tcW w:type="dxa" w:w="388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Generated -&gt; Available -&gt; Downloaded/Delivered -&gt; Expired/Purged; protected by permission and expiry.</w:t>
            </w:r>
          </w:p>
        </w:tc>
      </w:tr>
      <w:tr>
        <w:trPr>
          <w:cantSplit/>
        </w:trPr>
        <w:tc>
          <w:tcPr>
            <w:tcW w:type="dxa" w:w="2232"/>
            <w:vAlign w:val="center"/>
            <w:tcMar>
              <w:top w:w="55" w:type="dxa"/>
              <w:start w:w="75" w:type="dxa"/>
              <w:bottom w:w="55" w:type="dxa"/>
              <w:end w:w="75" w:type="dxa"/>
            </w:tcMar>
          </w:tcPr>
          <w:p>
            <w:pPr>
              <w:spacing w:before="0" w:after="0" w:line="240" w:lineRule="auto"/>
            </w:pPr>
            <w:r>
              <w:rPr>
                <w:rFonts w:ascii="Inter" w:hAnsi="Inter"/>
                <w:b w:val="0"/>
                <w:color w:val="172033"/>
                <w:sz w:val="15"/>
              </w:rPr>
              <w:t>Scheduled Report Package</w:t>
            </w:r>
          </w:p>
        </w:tc>
        <w:tc>
          <w:tcPr>
            <w:tcW w:type="dxa" w:w="3456"/>
            <w:vAlign w:val="center"/>
            <w:tcMar>
              <w:top w:w="55" w:type="dxa"/>
              <w:start w:w="75" w:type="dxa"/>
              <w:bottom w:w="55" w:type="dxa"/>
              <w:end w:w="75" w:type="dxa"/>
            </w:tcMar>
          </w:tcPr>
          <w:p>
            <w:pPr>
              <w:spacing w:before="0" w:after="0" w:line="240" w:lineRule="auto"/>
            </w:pPr>
            <w:r>
              <w:rPr>
                <w:rFonts w:ascii="Inter" w:hAnsi="Inter"/>
                <w:b w:val="0"/>
                <w:color w:val="172033"/>
                <w:sz w:val="15"/>
              </w:rPr>
              <w:t>Output produced by an active report schedule.</w:t>
            </w:r>
          </w:p>
        </w:tc>
        <w:tc>
          <w:tcPr>
            <w:tcW w:type="dxa" w:w="3888"/>
            <w:vAlign w:val="center"/>
            <w:tcMar>
              <w:top w:w="55" w:type="dxa"/>
              <w:start w:w="75" w:type="dxa"/>
              <w:bottom w:w="55" w:type="dxa"/>
              <w:end w:w="75" w:type="dxa"/>
            </w:tcMar>
          </w:tcPr>
          <w:p>
            <w:pPr>
              <w:spacing w:before="0" w:after="0" w:line="240" w:lineRule="auto"/>
            </w:pPr>
            <w:r>
              <w:rPr>
                <w:rFonts w:ascii="Inter" w:hAnsi="Inter"/>
                <w:b w:val="0"/>
                <w:color w:val="172033"/>
                <w:sz w:val="15"/>
              </w:rPr>
              <w:t>Scheduled -&gt; Queued -&gt; Generated -&gt; Delivered/Partially Delivered/Failed.</w:t>
            </w:r>
          </w:p>
        </w:tc>
      </w:tr>
      <w:tr>
        <w:trPr>
          <w:cantSplit/>
        </w:trPr>
        <w:tc>
          <w:tcPr>
            <w:tcW w:type="dxa" w:w="223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Report Delivery Record</w:t>
            </w:r>
          </w:p>
        </w:tc>
        <w:tc>
          <w:tcPr>
            <w:tcW w:type="dxa" w:w="3456"/>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Evidence of recipient, channel, output identity, send time, status, failure, and secure link expiry.</w:t>
            </w:r>
          </w:p>
        </w:tc>
        <w:tc>
          <w:tcPr>
            <w:tcW w:type="dxa" w:w="388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Pending -&gt; Sent/Failed/Cancelled; never proves recipient read unless separately supported.</w:t>
            </w:r>
          </w:p>
        </w:tc>
      </w:tr>
      <w:tr>
        <w:trPr>
          <w:cantSplit/>
        </w:trPr>
        <w:tc>
          <w:tcPr>
            <w:tcW w:type="dxa" w:w="2232"/>
            <w:vAlign w:val="center"/>
            <w:tcMar>
              <w:top w:w="55" w:type="dxa"/>
              <w:start w:w="75" w:type="dxa"/>
              <w:bottom w:w="55" w:type="dxa"/>
              <w:end w:w="75" w:type="dxa"/>
            </w:tcMar>
          </w:tcPr>
          <w:p>
            <w:pPr>
              <w:spacing w:before="0" w:after="0" w:line="240" w:lineRule="auto"/>
            </w:pPr>
            <w:r>
              <w:rPr>
                <w:rFonts w:ascii="Inter" w:hAnsi="Inter"/>
                <w:b w:val="0"/>
                <w:color w:val="172033"/>
                <w:sz w:val="15"/>
              </w:rPr>
              <w:t>Management Report Pack</w:t>
            </w:r>
          </w:p>
        </w:tc>
        <w:tc>
          <w:tcPr>
            <w:tcW w:type="dxa" w:w="3456"/>
            <w:vAlign w:val="center"/>
            <w:tcMar>
              <w:top w:w="55" w:type="dxa"/>
              <w:start w:w="75" w:type="dxa"/>
              <w:bottom w:w="55" w:type="dxa"/>
              <w:end w:w="75" w:type="dxa"/>
            </w:tcMar>
          </w:tcPr>
          <w:p>
            <w:pPr>
              <w:spacing w:before="0" w:after="0" w:line="240" w:lineRule="auto"/>
            </w:pPr>
            <w:r>
              <w:rPr>
                <w:rFonts w:ascii="Inter" w:hAnsi="Inter"/>
                <w:b w:val="0"/>
                <w:color w:val="172033"/>
                <w:sz w:val="15"/>
              </w:rPr>
              <w:t>Versioned collection of reports for a period or management review.</w:t>
            </w:r>
          </w:p>
        </w:tc>
        <w:tc>
          <w:tcPr>
            <w:tcW w:type="dxa" w:w="3888"/>
            <w:vAlign w:val="center"/>
            <w:tcMar>
              <w:top w:w="55" w:type="dxa"/>
              <w:start w:w="75" w:type="dxa"/>
              <w:bottom w:w="55" w:type="dxa"/>
              <w:end w:w="75" w:type="dxa"/>
            </w:tcMar>
          </w:tcPr>
          <w:p>
            <w:pPr>
              <w:spacing w:before="0" w:after="0" w:line="240" w:lineRule="auto"/>
            </w:pPr>
            <w:r>
              <w:rPr>
                <w:rFonts w:ascii="Inter" w:hAnsi="Inter"/>
                <w:b w:val="0"/>
                <w:color w:val="172033"/>
                <w:sz w:val="15"/>
              </w:rPr>
              <w:t>Draft -&gt; Generated -&gt; Reviewed -&gt; Published -&gt; Superseded/Archived in advanced editions.</w:t>
            </w:r>
          </w:p>
        </w:tc>
      </w:tr>
    </w:tbl>
    <w:p>
      <w:pPr>
        <w:spacing w:after="80" w:line="259" w:lineRule="auto"/>
      </w:pPr>
    </w:p>
    <w:tbl>
      <w:tblPr>
        <w:tblStyle w:val="TableGrid"/>
        <w:tblW w:type="auto" w:w="0"/>
        <w:jc w:val="center"/>
        <w:tblLayout w:type="fixed"/>
        <w:tblLook w:firstColumn="1" w:firstRow="1" w:lastColumn="0" w:lastRow="0" w:noHBand="0" w:noVBand="1" w:val="04A0"/>
      </w:tblPr>
      <w:tblGrid>
        <w:gridCol w:w="10262"/>
      </w:tblGrid>
      <w:tr>
        <w:tc>
          <w:tcPr>
            <w:tcW w:type="dxa" w:w="9576"/>
            <w:shd w:fill="E7F0F8"/>
            <w:tcBorders>
              <w:left w:val="single" w:sz="18" w:color="2F78B7"/>
              <w:top w:val="single" w:sz="4" w:color="B7C9DA"/>
              <w:bottom w:val="single" w:sz="4" w:color="B7C9DA"/>
              <w:right w:val="single" w:sz="4" w:color="B7C9DA"/>
            </w:tcBorders>
          </w:tcPr>
          <w:p>
            <w:pPr>
              <w:spacing w:after="0"/>
            </w:pPr>
            <w:r>
              <w:rPr>
                <w:rFonts w:ascii="Inter" w:hAnsi="Inter"/>
                <w:b/>
                <w:color w:val="1A2D44"/>
                <w:sz w:val="17"/>
              </w:rPr>
              <w:t xml:space="preserve">NUMBERING RULE  </w:t>
            </w:r>
            <w:r>
              <w:rPr>
                <w:rFonts w:ascii="Inter" w:hAnsi="Inter"/>
                <w:color w:val="172033"/>
                <w:sz w:val="17"/>
              </w:rPr>
              <w:t>Ad hoc displayed reports do not require a business document number. Archived snapshots, published management packs, and controlled regulatory outputs may receive a concurrency-safe reference when policy requires formal identity.</w:t>
            </w:r>
          </w:p>
        </w:tc>
      </w:tr>
    </w:tbl>
    <w:p>
      <w:pPr>
        <w:spacing w:after="80" w:line="259" w:lineRule="auto"/>
      </w:pPr>
    </w:p>
    <w:p>
      <w:pPr>
        <w:pStyle w:val="Heading1"/>
        <w:keepNext/>
        <w:pageBreakBefore w:val="0"/>
      </w:pPr>
      <w:r>
        <w:t>8. Business Events</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656"/>
            <w:shd w:fill="E7F0F8"/>
            <w:vAlign w:val="center"/>
            <w:tcMar>
              <w:top w:w="55" w:type="dxa"/>
              <w:start w:w="75" w:type="dxa"/>
              <w:bottom w:w="55" w:type="dxa"/>
              <w:end w:w="75" w:type="dxa"/>
            </w:tcMar>
          </w:tcPr>
          <w:p>
            <w:pPr>
              <w:spacing w:before="0" w:after="0" w:line="240" w:lineRule="auto"/>
            </w:pPr>
            <w:r>
              <w:rPr>
                <w:rFonts w:ascii="Inter" w:hAnsi="Inter"/>
                <w:b/>
                <w:color w:val="172033"/>
                <w:sz w:val="16"/>
              </w:rPr>
              <w:t>Event Code</w:t>
            </w:r>
          </w:p>
        </w:tc>
        <w:tc>
          <w:tcPr>
            <w:tcW w:type="dxa" w:w="244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Business Event</w:t>
            </w:r>
          </w:p>
        </w:tc>
        <w:tc>
          <w:tcPr>
            <w:tcW w:type="dxa" w:w="5472"/>
            <w:shd w:fill="E7F0F8"/>
            <w:vAlign w:val="center"/>
            <w:tcMar>
              <w:top w:w="55" w:type="dxa"/>
              <w:start w:w="75" w:type="dxa"/>
              <w:bottom w:w="55" w:type="dxa"/>
              <w:end w:w="75" w:type="dxa"/>
            </w:tcMar>
          </w:tcPr>
          <w:p>
            <w:pPr>
              <w:spacing w:before="0" w:after="0" w:line="240" w:lineRule="auto"/>
            </w:pPr>
            <w:r>
              <w:rPr>
                <w:rFonts w:ascii="Inter" w:hAnsi="Inter"/>
                <w:b/>
                <w:color w:val="172033"/>
                <w:sz w:val="16"/>
              </w:rPr>
              <w:t>Trigger / Result</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5"/>
              </w:rPr>
              <w:t>EVT-RPT-001</w:t>
            </w:r>
          </w:p>
        </w:tc>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5"/>
              </w:rPr>
              <w:t>Report Requested</w:t>
            </w:r>
          </w:p>
        </w:tc>
        <w:tc>
          <w:tcPr>
            <w:tcW w:type="dxa" w:w="5472"/>
            <w:vAlign w:val="center"/>
            <w:tcMar>
              <w:top w:w="55" w:type="dxa"/>
              <w:start w:w="75" w:type="dxa"/>
              <w:bottom w:w="55" w:type="dxa"/>
              <w:end w:w="75" w:type="dxa"/>
            </w:tcMar>
          </w:tcPr>
          <w:p>
            <w:pPr>
              <w:spacing w:before="0" w:after="0" w:line="240" w:lineRule="auto"/>
            </w:pPr>
            <w:r>
              <w:rPr>
                <w:rFonts w:ascii="Inter" w:hAnsi="Inter"/>
                <w:b w:val="0"/>
                <w:color w:val="172033"/>
                <w:sz w:val="15"/>
              </w:rPr>
              <w:t>User, Dashboard, schedule, API, or approved workflow submits a report definition and parameter set.</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5"/>
              </w:rPr>
              <w:t>EVT-RPT-002</w:t>
            </w:r>
          </w:p>
        </w:tc>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Report Request Validated</w:t>
            </w:r>
          </w:p>
        </w:tc>
        <w:tc>
          <w:tcPr>
            <w:tcW w:type="dxa" w:w="547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Permission, entitlement, context, parameters, source availability, and sensitivity checks pass.</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5"/>
              </w:rPr>
              <w:t>EVT-RPT-003</w:t>
            </w:r>
          </w:p>
        </w:tc>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5"/>
              </w:rPr>
              <w:t>Report Generation Queued</w:t>
            </w:r>
          </w:p>
        </w:tc>
        <w:tc>
          <w:tcPr>
            <w:tcW w:type="dxa" w:w="5472"/>
            <w:vAlign w:val="center"/>
            <w:tcMar>
              <w:top w:w="55" w:type="dxa"/>
              <w:start w:w="75" w:type="dxa"/>
              <w:bottom w:w="55" w:type="dxa"/>
              <w:end w:w="75" w:type="dxa"/>
            </w:tcMar>
          </w:tcPr>
          <w:p>
            <w:pPr>
              <w:spacing w:before="0" w:after="0" w:line="240" w:lineRule="auto"/>
            </w:pPr>
            <w:r>
              <w:rPr>
                <w:rFonts w:ascii="Inter" w:hAnsi="Inter"/>
                <w:b w:val="0"/>
                <w:color w:val="172033"/>
                <w:sz w:val="15"/>
              </w:rPr>
              <w:t>Large or scheduled request is accepted for asynchronous processing.</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5"/>
              </w:rPr>
              <w:t>EVT-RPT-004</w:t>
            </w:r>
          </w:p>
        </w:tc>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Report Generated</w:t>
            </w:r>
          </w:p>
        </w:tc>
        <w:tc>
          <w:tcPr>
            <w:tcW w:type="dxa" w:w="547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A reproducible output is completed with definition, parameters, as-of time, freshness, and result identity.</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5"/>
              </w:rPr>
              <w:t>EVT-RPT-005</w:t>
            </w:r>
          </w:p>
        </w:tc>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5"/>
              </w:rPr>
              <w:t>Report Generation Failed</w:t>
            </w:r>
          </w:p>
        </w:tc>
        <w:tc>
          <w:tcPr>
            <w:tcW w:type="dxa" w:w="5472"/>
            <w:vAlign w:val="center"/>
            <w:tcMar>
              <w:top w:w="55" w:type="dxa"/>
              <w:start w:w="75" w:type="dxa"/>
              <w:bottom w:w="55" w:type="dxa"/>
              <w:end w:w="75" w:type="dxa"/>
            </w:tcMar>
          </w:tcPr>
          <w:p>
            <w:pPr>
              <w:spacing w:before="0" w:after="0" w:line="240" w:lineRule="auto"/>
            </w:pPr>
            <w:r>
              <w:rPr>
                <w:rFonts w:ascii="Inter" w:hAnsi="Inter"/>
                <w:b w:val="0"/>
                <w:color w:val="172033"/>
                <w:sz w:val="15"/>
              </w:rPr>
              <w:t>Generation cannot complete; reason, safe retry, and source state are recorded.</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5"/>
              </w:rPr>
              <w:t>EVT-RPT-006</w:t>
            </w:r>
          </w:p>
        </w:tc>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Report Displayed</w:t>
            </w:r>
          </w:p>
        </w:tc>
        <w:tc>
          <w:tcPr>
            <w:tcW w:type="dxa" w:w="547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Authorized user opens the completed on-screen report result.</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5"/>
              </w:rPr>
              <w:t>EVT-RPT-007</w:t>
            </w:r>
          </w:p>
        </w:tc>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5"/>
              </w:rPr>
              <w:t>Report Drill-Down Opened</w:t>
            </w:r>
          </w:p>
        </w:tc>
        <w:tc>
          <w:tcPr>
            <w:tcW w:type="dxa" w:w="5472"/>
            <w:vAlign w:val="center"/>
            <w:tcMar>
              <w:top w:w="55" w:type="dxa"/>
              <w:start w:w="75" w:type="dxa"/>
              <w:bottom w:w="55" w:type="dxa"/>
              <w:end w:w="75" w:type="dxa"/>
            </w:tcMar>
          </w:tcPr>
          <w:p>
            <w:pPr>
              <w:spacing w:before="0" w:after="0" w:line="240" w:lineRule="auto"/>
            </w:pPr>
            <w:r>
              <w:rPr>
                <w:rFonts w:ascii="Inter" w:hAnsi="Inter"/>
                <w:b w:val="0"/>
                <w:color w:val="172033"/>
                <w:sz w:val="15"/>
              </w:rPr>
              <w:t>User follows a permitted summary-to-source link with report context preserved.</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5"/>
              </w:rPr>
              <w:t>EVT-RPT-008</w:t>
            </w:r>
          </w:p>
        </w:tc>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Report Exported</w:t>
            </w:r>
          </w:p>
        </w:tc>
        <w:tc>
          <w:tcPr>
            <w:tcW w:type="dxa" w:w="547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Authorized output is generated in PDF, XLSX, CSV, or another approved format.</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5"/>
              </w:rPr>
              <w:t>EVT-RPT-009</w:t>
            </w:r>
          </w:p>
        </w:tc>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5"/>
              </w:rPr>
              <w:t>Report Printed</w:t>
            </w:r>
          </w:p>
        </w:tc>
        <w:tc>
          <w:tcPr>
            <w:tcW w:type="dxa" w:w="5472"/>
            <w:vAlign w:val="center"/>
            <w:tcMar>
              <w:top w:w="55" w:type="dxa"/>
              <w:start w:w="75" w:type="dxa"/>
              <w:bottom w:w="55" w:type="dxa"/>
              <w:end w:w="75" w:type="dxa"/>
            </w:tcMar>
          </w:tcPr>
          <w:p>
            <w:pPr>
              <w:spacing w:before="0" w:after="0" w:line="240" w:lineRule="auto"/>
            </w:pPr>
            <w:r>
              <w:rPr>
                <w:rFonts w:ascii="Inter" w:hAnsi="Inter"/>
                <w:b w:val="0"/>
                <w:color w:val="172033"/>
                <w:sz w:val="15"/>
              </w:rPr>
              <w:t>An authorized print action is recorded when policy or sensitivity requires it.</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5"/>
              </w:rPr>
              <w:t>EVT-RPT-010</w:t>
            </w:r>
          </w:p>
        </w:tc>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Report Favorited</w:t>
            </w:r>
          </w:p>
        </w:tc>
        <w:tc>
          <w:tcPr>
            <w:tcW w:type="dxa" w:w="547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User stores a permitted shortcut or saved parameter view.</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5"/>
              </w:rPr>
              <w:t>EVT-RPT-011</w:t>
            </w:r>
          </w:p>
        </w:tc>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5"/>
              </w:rPr>
              <w:t>Report Favorite Removed</w:t>
            </w:r>
          </w:p>
        </w:tc>
        <w:tc>
          <w:tcPr>
            <w:tcW w:type="dxa" w:w="5472"/>
            <w:vAlign w:val="center"/>
            <w:tcMar>
              <w:top w:w="55" w:type="dxa"/>
              <w:start w:w="75" w:type="dxa"/>
              <w:bottom w:w="55" w:type="dxa"/>
              <w:end w:w="75" w:type="dxa"/>
            </w:tcMar>
          </w:tcPr>
          <w:p>
            <w:pPr>
              <w:spacing w:before="0" w:after="0" w:line="240" w:lineRule="auto"/>
            </w:pPr>
            <w:r>
              <w:rPr>
                <w:rFonts w:ascii="Inter" w:hAnsi="Inter"/>
                <w:b w:val="0"/>
                <w:color w:val="172033"/>
                <w:sz w:val="15"/>
              </w:rPr>
              <w:t>User removes a favorite without affecting the governed report definition.</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5"/>
              </w:rPr>
              <w:t>EVT-RPT-012</w:t>
            </w:r>
          </w:p>
        </w:tc>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Report Schedule Created</w:t>
            </w:r>
          </w:p>
        </w:tc>
        <w:tc>
          <w:tcPr>
            <w:tcW w:type="dxa" w:w="547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Authorized user creates a recurring generation and delivery instruction.</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5"/>
              </w:rPr>
              <w:t>EVT-RPT-013</w:t>
            </w:r>
          </w:p>
        </w:tc>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5"/>
              </w:rPr>
              <w:t>Report Schedule Changed</w:t>
            </w:r>
          </w:p>
        </w:tc>
        <w:tc>
          <w:tcPr>
            <w:tcW w:type="dxa" w:w="5472"/>
            <w:vAlign w:val="center"/>
            <w:tcMar>
              <w:top w:w="55" w:type="dxa"/>
              <w:start w:w="75" w:type="dxa"/>
              <w:bottom w:w="55" w:type="dxa"/>
              <w:end w:w="75" w:type="dxa"/>
            </w:tcMar>
          </w:tcPr>
          <w:p>
            <w:pPr>
              <w:spacing w:before="0" w:after="0" w:line="240" w:lineRule="auto"/>
            </w:pPr>
            <w:r>
              <w:rPr>
                <w:rFonts w:ascii="Inter" w:hAnsi="Inter"/>
                <w:b w:val="0"/>
                <w:color w:val="172033"/>
                <w:sz w:val="15"/>
              </w:rPr>
              <w:t>Schedule, recipients, format, timing, or parameter preset is revised with audit history.</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5"/>
              </w:rPr>
              <w:t>EVT-RPT-014</w:t>
            </w:r>
          </w:p>
        </w:tc>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Scheduled Report Generated</w:t>
            </w:r>
          </w:p>
        </w:tc>
        <w:tc>
          <w:tcPr>
            <w:tcW w:type="dxa" w:w="547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A schedule produces a completed output for its intended period and recipients.</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5"/>
              </w:rPr>
              <w:t>EVT-RPT-015</w:t>
            </w:r>
          </w:p>
        </w:tc>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5"/>
              </w:rPr>
              <w:t>Report Delivered</w:t>
            </w:r>
          </w:p>
        </w:tc>
        <w:tc>
          <w:tcPr>
            <w:tcW w:type="dxa" w:w="5472"/>
            <w:vAlign w:val="center"/>
            <w:tcMar>
              <w:top w:w="55" w:type="dxa"/>
              <w:start w:w="75" w:type="dxa"/>
              <w:bottom w:w="55" w:type="dxa"/>
              <w:end w:w="75" w:type="dxa"/>
            </w:tcMar>
          </w:tcPr>
          <w:p>
            <w:pPr>
              <w:spacing w:before="0" w:after="0" w:line="240" w:lineRule="auto"/>
            </w:pPr>
            <w:r>
              <w:rPr>
                <w:rFonts w:ascii="Inter" w:hAnsi="Inter"/>
                <w:b w:val="0"/>
                <w:color w:val="172033"/>
                <w:sz w:val="15"/>
              </w:rPr>
              <w:t>Output or secure link is successfully sent through an approved channel.</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5"/>
              </w:rPr>
              <w:t>EVT-RPT-016</w:t>
            </w:r>
          </w:p>
        </w:tc>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Report Delivery Failed</w:t>
            </w:r>
          </w:p>
        </w:tc>
        <w:tc>
          <w:tcPr>
            <w:tcW w:type="dxa" w:w="547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One or more recipients or channels fail; retry and escalation state is preserved.</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5"/>
              </w:rPr>
              <w:t>EVT-RPT-017</w:t>
            </w:r>
          </w:p>
        </w:tc>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5"/>
              </w:rPr>
              <w:t>Report Snapshot Archived</w:t>
            </w:r>
          </w:p>
        </w:tc>
        <w:tc>
          <w:tcPr>
            <w:tcW w:type="dxa" w:w="5472"/>
            <w:vAlign w:val="center"/>
            <w:tcMar>
              <w:top w:w="55" w:type="dxa"/>
              <w:start w:w="75" w:type="dxa"/>
              <w:bottom w:w="55" w:type="dxa"/>
              <w:end w:w="75" w:type="dxa"/>
            </w:tcMar>
          </w:tcPr>
          <w:p>
            <w:pPr>
              <w:spacing w:before="0" w:after="0" w:line="240" w:lineRule="auto"/>
            </w:pPr>
            <w:r>
              <w:rPr>
                <w:rFonts w:ascii="Inter" w:hAnsi="Inter"/>
                <w:b w:val="0"/>
                <w:color w:val="172033"/>
                <w:sz w:val="15"/>
              </w:rPr>
              <w:t>Output and generation context are retained as an immutable reporting artifact.</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5"/>
              </w:rPr>
              <w:t>EVT-RPT-018</w:t>
            </w:r>
          </w:p>
        </w:tc>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Report Definition Published</w:t>
            </w:r>
          </w:p>
        </w:tc>
        <w:tc>
          <w:tcPr>
            <w:tcW w:type="dxa" w:w="547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A tested definition version becomes active for permitted users and editions.</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5"/>
              </w:rPr>
              <w:t>EVT-RPT-019</w:t>
            </w:r>
          </w:p>
        </w:tc>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5"/>
              </w:rPr>
              <w:t>Report Definition Superseded</w:t>
            </w:r>
          </w:p>
        </w:tc>
        <w:tc>
          <w:tcPr>
            <w:tcW w:type="dxa" w:w="5472"/>
            <w:vAlign w:val="center"/>
            <w:tcMar>
              <w:top w:w="55" w:type="dxa"/>
              <w:start w:w="75" w:type="dxa"/>
              <w:bottom w:w="55" w:type="dxa"/>
              <w:end w:w="75" w:type="dxa"/>
            </w:tcMar>
          </w:tcPr>
          <w:p>
            <w:pPr>
              <w:spacing w:before="0" w:after="0" w:line="240" w:lineRule="auto"/>
            </w:pPr>
            <w:r>
              <w:rPr>
                <w:rFonts w:ascii="Inter" w:hAnsi="Inter"/>
                <w:b w:val="0"/>
                <w:color w:val="172033"/>
                <w:sz w:val="15"/>
              </w:rPr>
              <w:t>A newer definition version replaces the active version while history remains reproducible.</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5"/>
              </w:rPr>
              <w:t>EVT-RPT-020</w:t>
            </w:r>
          </w:p>
        </w:tc>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Analytics Insight Generated</w:t>
            </w:r>
          </w:p>
        </w:tc>
        <w:tc>
          <w:tcPr>
            <w:tcW w:type="dxa" w:w="547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Authorized comparison, anomaly, narrative, or forecast is generated with source, assumptions, and confidence metadata.</w:t>
            </w:r>
          </w:p>
        </w:tc>
      </w:tr>
    </w:tbl>
    <w:p>
      <w:pPr>
        <w:spacing w:after="80" w:line="259" w:lineRule="auto"/>
      </w:pPr>
    </w:p>
    <w:p>
      <w:pPr>
        <w:pStyle w:val="Heading1"/>
        <w:keepNext/>
        <w:pageBreakBefore w:val="0"/>
      </w:pPr>
      <w:r>
        <w:t>9. Functional Requirements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656"/>
            <w:shd w:fill="E7F0F8"/>
            <w:vAlign w:val="center"/>
            <w:tcMar>
              <w:top w:w="55" w:type="dxa"/>
              <w:start w:w="75" w:type="dxa"/>
              <w:bottom w:w="55" w:type="dxa"/>
              <w:end w:w="75" w:type="dxa"/>
            </w:tcMar>
          </w:tcPr>
          <w:p>
            <w:pPr>
              <w:spacing w:before="0" w:after="0" w:line="240" w:lineRule="auto"/>
            </w:pPr>
            <w:r>
              <w:rPr>
                <w:rFonts w:ascii="Inter" w:hAnsi="Inter"/>
                <w:b/>
                <w:color w:val="172033"/>
                <w:sz w:val="16"/>
              </w:rPr>
              <w:t>ID</w:t>
            </w:r>
          </w:p>
        </w:tc>
        <w:tc>
          <w:tcPr>
            <w:tcW w:type="dxa" w:w="792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Requirement</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MDS-900-FR-001</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The system shall provide one authorized report catalog covering all enabled SimpleBIZ modules and editions.</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MDS-900-FR-002</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The system shall support report search by name, description, category, business question, source module, and permitted keyword.</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MDS-900-FR-003</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Each report shall display its purpose, source owner, required parameters, edition availability, and sensitivity before generation where useful.</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MDS-900-FR-004</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The system shall resolve active company, branch, user role, data scope, business date, time zone, currency, edition, and configuration for every request.</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MDS-900-FR-005</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The system shall validate required parameters, valid ranges, dependencies, active references, source availability, and authorization before generation.</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MDS-900-FR-006</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Every output shall identify report name, definition ID/version, company context, period or as-of date, selected filters, currency, generated date/time, generated by, and data freshness.</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MDS-900-FR-007</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The system shall support Display Report as the on-screen report presentation action.</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MDS-900-FR-008</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Display Report shall support permitted paging, sorting, grouping, totals, subtotals, comparison, and accessible table or chart alternatives.</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MDS-900-FR-009</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The system shall support authorized drill-down to source records while preserving report context.</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MDS-900-FR-010</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The system shall generate PDF outputs with report metadata, page numbering, sensitivity treatment, and printable layout.</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MDS-900-FR-011</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The system shall generate spreadsheet and CSV outputs by edition without changing signs, precision, identifiers, dates, currencies, or protected field rules.</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MDS-900-FR-012</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The system shall distinguish current, delayed, stale, snapshot, and unavailable data states when material.</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MDS-900-FR-013</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The system shall support synchronous generation for normal reports and asynchronous generation for large, scheduled, or resource-intensive reports.</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MDS-900-FR-014</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The system shall prevent duplicate generation or delivery effects through request identity and safe retry behavior.</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MDS-900-FR-015</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The system shall support user favorites and saved parameter views without allowing users to alter governed formulas.</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MDS-900-FR-016</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The system shall support recent-report history subject to privacy and retention controls.</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MDS-900-FR-017</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The system shall support scheduled generation, recurrence, recipients, output format, secure delivery, retry, pause, expiry, and cancellation by edition.</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MDS-900-FR-018</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The system shall record generation, export, print, delivery, definition change, and sensitive access evidence where required.</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MDS-900-FR-019</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The system shall apply source-module permissions and data scope to displayed, drilled, exported, printed, scheduled, and delivered outputs.</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MDS-900-FR-020</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The system shall mask, suppress, or aggregate protected fields according to field permission and report purpose.</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MDS-900-FR-021</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The system shall preserve original transaction currency and identify any functional or presentation currency conversion.</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MDS-900-FR-022</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The system shall apply documented precision, rounding, sign, debit/credit, quantity, and total conventions.</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MDS-900-FR-023</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The system shall support period comparison, prior period, prior year, target, budget, or benchmark only when a governed comparison source exists.</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MDS-900-FR-024</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The system shall support cross-module analytics through versioned definitions and approved source contracts.</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MDS-900-FR-025</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The system shall reconcile report totals to source-module control totals or disclose the reason and scope of non-reconciling analytics.</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MDS-900-FR-026</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The system shall preserve output reproducibility for retained report snapshots, including definition version and parameter context.</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MDS-900-FR-027</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The system shall provide meaningful empty, no-access, excluded-edition, no-data, stale-data, processing, failed, expired, and cancelled states.</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MDS-900-FR-028</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The system shall preserve valid user parameters after recoverable validation, service, or connectivity failure.</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MDS-900-FR-029</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The system shall provide a safe status check before retrying an uncertain report generation or delivery request.</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MDS-900-FR-030</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The system shall support report definition review, testing, publication, supersession, deactivation, and effective dates.</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MDS-900-FR-031</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The system shall support localization of titles, labels, dates, numbers, currencies, addresses, paper size, and report language without changing business meaning.</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MDS-900-FR-032</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The system shall support API-based report requests and outputs through approved secure contracts and entitlement checks.</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MDS-900-FR-033</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The system shall support retention, expiry, purge, legal hold, and secure deletion for report outputs according to policy.</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MDS-900-FR-034</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The system shall provide authorized notifications for completed, failed, stale, scheduled, delivered, and expiring outputs.</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MDS-900-FR-035</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AI-assisted insights shall identify source reports, assumptions, period, uncertainty, and limitations and shall never change source records.</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MDS-900-FR-036</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All reporting capabilities shall remain traceable to MDS requirements, report definitions, source contracts, APIs, data views, screens, permissions, and tests.</w:t>
            </w:r>
          </w:p>
        </w:tc>
      </w:tr>
    </w:tbl>
    <w:p>
      <w:pPr>
        <w:spacing w:after="80" w:line="259" w:lineRule="auto"/>
      </w:pPr>
    </w:p>
    <w:p>
      <w:pPr>
        <w:pStyle w:val="Heading1"/>
        <w:keepNext/>
        <w:pageBreakBefore w:val="0"/>
      </w:pPr>
      <w:r>
        <w:t>10. Module Rules</w:t>
      </w:r>
    </w:p>
    <w:p>
      <w:pPr>
        <w:spacing w:after="80" w:line="259" w:lineRule="auto"/>
      </w:pPr>
      <w:r>
        <w:rPr>
          <w:rFonts w:ascii="Inter" w:hAnsi="Inter"/>
          <w:color w:val="172033"/>
          <w:sz w:val="18"/>
        </w:rPr>
        <w:t>This section defines the reporting, accounting, operational, security, status, validation, and integrity constraints enforced by MDS-900.</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656"/>
            <w:shd w:fill="E7F0F8"/>
            <w:vAlign w:val="center"/>
            <w:tcMar>
              <w:top w:w="55" w:type="dxa"/>
              <w:start w:w="75" w:type="dxa"/>
              <w:bottom w:w="55" w:type="dxa"/>
              <w:end w:w="75" w:type="dxa"/>
            </w:tcMar>
          </w:tcPr>
          <w:p>
            <w:pPr>
              <w:spacing w:before="0" w:after="0" w:line="240" w:lineRule="auto"/>
            </w:pPr>
            <w:r>
              <w:rPr>
                <w:rFonts w:ascii="Inter" w:hAnsi="Inter"/>
                <w:b/>
                <w:color w:val="172033"/>
                <w:sz w:val="16"/>
              </w:rPr>
              <w:t>Rule</w:t>
            </w:r>
          </w:p>
        </w:tc>
        <w:tc>
          <w:tcPr>
            <w:tcW w:type="dxa" w:w="792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Requirement</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MDS-900-MR-001</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A report shall not create, edit, post, settle, reverse, or delete an operational business transaction.</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MDS-900-MR-002</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The originating module owns the business meaning and authoritative source data of its module reports.</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MDS-900-MR-003</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MDS-900 owns the shared catalog, parameters, generation, Display Report, export, favorites, scheduling, and cross-module analytics.</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MDS-900-MR-004</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Every report definition shall have one stable identity, one active version per effective context, and one accountable owner.</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MDS-900-MR-005</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A definition change that alters formula, scope, sign, timing, status basis, or interpretation shall create a new version.</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MDS-900-MR-006</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A retained output shall preserve the definition version and parameters used to generate it.</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MDS-900-MR-007</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Report totals shall derive from governed source data or an explicitly documented analytical transformation.</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MDS-900-MR-008</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Dashboard cards shall not maintain a competing report formula or balance.</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MDS-900-MR-009</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All UI entry points shall invoke the same report definition, authorization, parameter validation, generation, and audit path.</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MDS-900-MR-010</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Source permissions and record scope apply to on-screen, drill-down, print, export, schedule, API, and delivery channels.</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MDS-900-MR-011</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A user shall not gain access to protected detail through totals, exports, charts, scheduled delivery, or indirect drill-down.</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MDS-900-MR-012</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A report shall identify its period or as-of date and shall not silently mix incompatible time bases.</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MDS-900-MR-013</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A report shall identify currency and shall not aggregate multiple currencies without explicit conversion or separate presentation.</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MDS-900-MR-014</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Translated amounts shall retain source currency, exchange rate or method, rate date, and rounding context where material.</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MDS-900-MR-015</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Signs, debit/credit orientation, negative format, quantity direction, and rounding shall be defined and consistent.</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MDS-900-MR-016</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Posted, draft, voided, reversed, cancelled, failed, and inactive records shall be included or excluded only according to the report definition.</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MDS-900-MR-017</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A report shall not present stale or incomplete data as current when freshness is material to the decision.</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MDS-900-MR-018</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Report generation failure shall not be presented as zero, blank success, or proof that source data does not exist.</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MDS-900-MR-019</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A network timeout shall trigger authoritative status verification before a generation or delivery retry.</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MDS-900-MR-020</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An export shall preserve report metadata, context, precision, and protected-field rules.</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MDS-900-MR-021</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CSV or spreadsheet formula injection and unsafe content shall be neutralized without corrupting legitimate business values.</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MDS-900-MR-022</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Sensitive outputs shall use configured masking, watermarking, secure links, expiry, and audit controls.</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MDS-900-MR-023</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Report schedules shall not bypass permissions, edition entitlements, data scope, or current recipient authorization.</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MDS-900-MR-024</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A schedule shall suspend or fail safely when its owner, recipient, definition, permission, source, or delivery configuration becomes invalid.</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MDS-900-MR-025</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Favorites and saved views may store parameters and presentation preferences but shall not modify the governed formula.</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MDS-900-MR-026</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Drill-down shall preserve the selected company, period, filters, currency, and source authorization.</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MDS-900-MR-027</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Archived snapshots shall be immutable; correction requires a new output or superseding report pack.</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MDS-900-MR-028</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Report definitions shall be tested against source control totals, boundary cases, permissions, and historical version scenarios before publication.</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MDS-900-MR-029</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Cross-module analytics shall document each source, formula, timing, exception, and reconciliation behavior.</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MDS-900-MR-030</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Comparisons shall identify both compared periods or sources and disclose changes in definition that impair comparability.</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MDS-900-MR-031</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AI-generated narrative, anomaly, forecast, or recommendation shall be labeled as assistive and linked to source evidence.</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MDS-900-MR-032</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AI shall not fabricate missing data, infer unauthorized values, or present unsupported certainty.</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MDS-900-MR-033</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AI unavailability shall not block ordinary report generation, display, print, or export.</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MDS-900-MR-034</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Retention and purge shall respect legal, tax, audit, privacy, subscription, and litigation-hold requirements.</w:t>
            </w:r>
          </w:p>
        </w:tc>
      </w:tr>
      <w:tr>
        <w:trPr>
          <w:cantSplit/>
        </w:trPr>
        <w:tc>
          <w:tcPr>
            <w:tcW w:type="dxa" w:w="1656"/>
            <w:vAlign w:val="center"/>
            <w:tcMar>
              <w:top w:w="55" w:type="dxa"/>
              <w:start w:w="75" w:type="dxa"/>
              <w:bottom w:w="55" w:type="dxa"/>
              <w:end w:w="75" w:type="dxa"/>
            </w:tcMar>
          </w:tcPr>
          <w:p>
            <w:pPr>
              <w:spacing w:before="0" w:after="0" w:line="240" w:lineRule="auto"/>
            </w:pPr>
            <w:r>
              <w:rPr>
                <w:rFonts w:ascii="Inter" w:hAnsi="Inter"/>
                <w:b/>
                <w:color w:val="172033"/>
                <w:sz w:val="14"/>
              </w:rPr>
              <w:t>MDS-900-MR-035</w:t>
            </w:r>
          </w:p>
        </w:tc>
        <w:tc>
          <w:tcPr>
            <w:tcW w:type="dxa" w:w="7920"/>
            <w:vAlign w:val="center"/>
            <w:tcMar>
              <w:top w:w="55" w:type="dxa"/>
              <w:start w:w="75" w:type="dxa"/>
              <w:bottom w:w="55" w:type="dxa"/>
              <w:end w:w="75" w:type="dxa"/>
            </w:tcMar>
          </w:tcPr>
          <w:p>
            <w:pPr>
              <w:spacing w:before="0" w:after="0" w:line="240" w:lineRule="auto"/>
            </w:pPr>
            <w:r>
              <w:rPr>
                <w:rFonts w:ascii="Inter" w:hAnsi="Inter"/>
                <w:b w:val="0"/>
                <w:color w:val="172033"/>
                <w:sz w:val="14"/>
              </w:rPr>
              <w:t>Every material report action shall record actor, company context, timestamp, definition, parameters or parameter hash, source, result, and correlation identity as appropriate.</w:t>
            </w:r>
          </w:p>
        </w:tc>
      </w:tr>
      <w:tr>
        <w:trPr>
          <w:cantSplit/>
        </w:trPr>
        <w:tc>
          <w:tcPr>
            <w:tcW w:type="dxa" w:w="1656"/>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MDS-900-MR-036</w:t>
            </w:r>
          </w:p>
        </w:tc>
        <w:tc>
          <w:tcPr>
            <w:tcW w:type="dxa" w:w="792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MDS-900 shall never become an independent general ledger, subledger, stock ledger, cash ledger, receivable ledger, payable ledger, or expense ledger.</w:t>
            </w:r>
          </w:p>
        </w:tc>
      </w:tr>
    </w:tbl>
    <w:p>
      <w:pPr>
        <w:spacing w:after="80" w:line="259" w:lineRule="auto"/>
      </w:pPr>
    </w:p>
    <w:p>
      <w:pPr>
        <w:pStyle w:val="Heading1"/>
        <w:keepNext/>
        <w:pageBreakBefore w:val="0"/>
      </w:pPr>
      <w:r>
        <w:t>11. Workflow and Status</w:t>
      </w:r>
    </w:p>
    <w:p>
      <w:pPr>
        <w:pStyle w:val="Heading2"/>
        <w:keepNext/>
      </w:pPr>
      <w:r>
        <w:t>11.1 Standard Report Workflow</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936"/>
            <w:shd w:fill="E7F0F8"/>
            <w:vAlign w:val="center"/>
            <w:tcMar>
              <w:top w:w="55" w:type="dxa"/>
              <w:start w:w="75" w:type="dxa"/>
              <w:bottom w:w="55" w:type="dxa"/>
              <w:end w:w="75" w:type="dxa"/>
            </w:tcMar>
          </w:tcPr>
          <w:p>
            <w:pPr>
              <w:spacing w:before="0" w:after="0" w:line="240" w:lineRule="auto"/>
            </w:pPr>
            <w:r>
              <w:rPr>
                <w:rFonts w:ascii="Inter" w:hAnsi="Inter"/>
                <w:b/>
                <w:color w:val="172033"/>
                <w:sz w:val="16"/>
              </w:rPr>
              <w:t>Step</w:t>
            </w:r>
          </w:p>
        </w:tc>
        <w:tc>
          <w:tcPr>
            <w:tcW w:type="dxa" w:w="864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Required processing</w:t>
            </w:r>
          </w:p>
        </w:tc>
      </w:tr>
      <w:tr>
        <w:trPr>
          <w:cantSplit/>
        </w:trPr>
        <w:tc>
          <w:tcPr>
            <w:tcW w:type="dxa" w:w="936"/>
            <w:vAlign w:val="center"/>
            <w:tcMar>
              <w:top w:w="55" w:type="dxa"/>
              <w:start w:w="75" w:type="dxa"/>
              <w:bottom w:w="55" w:type="dxa"/>
              <w:end w:w="75" w:type="dxa"/>
            </w:tcMar>
          </w:tcPr>
          <w:p>
            <w:pPr>
              <w:spacing w:before="0" w:after="0" w:line="240" w:lineRule="auto"/>
            </w:pPr>
            <w:r>
              <w:rPr>
                <w:rFonts w:ascii="Inter" w:hAnsi="Inter"/>
                <w:b/>
                <w:color w:val="172033"/>
                <w:sz w:val="16"/>
              </w:rPr>
              <w:t>1</w:t>
            </w:r>
          </w:p>
        </w:tc>
        <w:tc>
          <w:tcPr>
            <w:tcW w:type="dxa" w:w="8640"/>
            <w:vAlign w:val="center"/>
            <w:tcMar>
              <w:top w:w="55" w:type="dxa"/>
              <w:start w:w="75" w:type="dxa"/>
              <w:bottom w:w="55" w:type="dxa"/>
              <w:end w:w="75" w:type="dxa"/>
            </w:tcMar>
          </w:tcPr>
          <w:p>
            <w:pPr>
              <w:spacing w:before="0" w:after="0" w:line="240" w:lineRule="auto"/>
            </w:pPr>
            <w:r>
              <w:rPr>
                <w:rFonts w:ascii="Inter" w:hAnsi="Inter"/>
                <w:b w:val="0"/>
                <w:color w:val="172033"/>
                <w:sz w:val="16"/>
              </w:rPr>
              <w:t>User enters Reports &amp; Analytics or another approved entry point and selects a report.</w:t>
            </w:r>
          </w:p>
        </w:tc>
      </w:tr>
      <w:tr>
        <w:trPr>
          <w:cantSplit/>
        </w:trPr>
        <w:tc>
          <w:tcPr>
            <w:tcW w:type="dxa" w:w="936"/>
            <w:shd w:fill="F6F9FC"/>
            <w:vAlign w:val="center"/>
            <w:tcMar>
              <w:top w:w="55" w:type="dxa"/>
              <w:start w:w="75" w:type="dxa"/>
              <w:bottom w:w="55" w:type="dxa"/>
              <w:end w:w="75" w:type="dxa"/>
            </w:tcMar>
          </w:tcPr>
          <w:p>
            <w:pPr>
              <w:spacing w:before="0" w:after="0" w:line="240" w:lineRule="auto"/>
            </w:pPr>
            <w:r>
              <w:rPr>
                <w:rFonts w:ascii="Inter" w:hAnsi="Inter"/>
                <w:b/>
                <w:color w:val="172033"/>
                <w:sz w:val="16"/>
              </w:rPr>
              <w:t>2</w:t>
            </w:r>
          </w:p>
        </w:tc>
        <w:tc>
          <w:tcPr>
            <w:tcW w:type="dxa" w:w="8640"/>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System displays report purpose, required parameters, current defaults, access, edition, and sensitivity information.</w:t>
            </w:r>
          </w:p>
        </w:tc>
      </w:tr>
      <w:tr>
        <w:trPr>
          <w:cantSplit/>
        </w:trPr>
        <w:tc>
          <w:tcPr>
            <w:tcW w:type="dxa" w:w="936"/>
            <w:vAlign w:val="center"/>
            <w:tcMar>
              <w:top w:w="55" w:type="dxa"/>
              <w:start w:w="75" w:type="dxa"/>
              <w:bottom w:w="55" w:type="dxa"/>
              <w:end w:w="75" w:type="dxa"/>
            </w:tcMar>
          </w:tcPr>
          <w:p>
            <w:pPr>
              <w:spacing w:before="0" w:after="0" w:line="240" w:lineRule="auto"/>
            </w:pPr>
            <w:r>
              <w:rPr>
                <w:rFonts w:ascii="Inter" w:hAnsi="Inter"/>
                <w:b/>
                <w:color w:val="172033"/>
                <w:sz w:val="16"/>
              </w:rPr>
              <w:t>3</w:t>
            </w:r>
          </w:p>
        </w:tc>
        <w:tc>
          <w:tcPr>
            <w:tcW w:type="dxa" w:w="8640"/>
            <w:vAlign w:val="center"/>
            <w:tcMar>
              <w:top w:w="55" w:type="dxa"/>
              <w:start w:w="75" w:type="dxa"/>
              <w:bottom w:w="55" w:type="dxa"/>
              <w:end w:w="75" w:type="dxa"/>
            </w:tcMar>
          </w:tcPr>
          <w:p>
            <w:pPr>
              <w:spacing w:before="0" w:after="0" w:line="240" w:lineRule="auto"/>
            </w:pPr>
            <w:r>
              <w:rPr>
                <w:rFonts w:ascii="Inter" w:hAnsi="Inter"/>
                <w:b w:val="0"/>
                <w:color w:val="172033"/>
                <w:sz w:val="16"/>
              </w:rPr>
              <w:t>User selects company context, period, filters, grouping, comparison, currency, and output intent.</w:t>
            </w:r>
          </w:p>
        </w:tc>
      </w:tr>
      <w:tr>
        <w:trPr>
          <w:cantSplit/>
        </w:trPr>
        <w:tc>
          <w:tcPr>
            <w:tcW w:type="dxa" w:w="936"/>
            <w:shd w:fill="F6F9FC"/>
            <w:vAlign w:val="center"/>
            <w:tcMar>
              <w:top w:w="55" w:type="dxa"/>
              <w:start w:w="75" w:type="dxa"/>
              <w:bottom w:w="55" w:type="dxa"/>
              <w:end w:w="75" w:type="dxa"/>
            </w:tcMar>
          </w:tcPr>
          <w:p>
            <w:pPr>
              <w:spacing w:before="0" w:after="0" w:line="240" w:lineRule="auto"/>
            </w:pPr>
            <w:r>
              <w:rPr>
                <w:rFonts w:ascii="Inter" w:hAnsi="Inter"/>
                <w:b/>
                <w:color w:val="172033"/>
                <w:sz w:val="16"/>
              </w:rPr>
              <w:t>4</w:t>
            </w:r>
          </w:p>
        </w:tc>
        <w:tc>
          <w:tcPr>
            <w:tcW w:type="dxa" w:w="8640"/>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MDS-900 validates permission, entitlement, parameter dependencies, source availability, definition version, and request identity.</w:t>
            </w:r>
          </w:p>
        </w:tc>
      </w:tr>
      <w:tr>
        <w:trPr>
          <w:cantSplit/>
        </w:trPr>
        <w:tc>
          <w:tcPr>
            <w:tcW w:type="dxa" w:w="936"/>
            <w:vAlign w:val="center"/>
            <w:tcMar>
              <w:top w:w="55" w:type="dxa"/>
              <w:start w:w="75" w:type="dxa"/>
              <w:bottom w:w="55" w:type="dxa"/>
              <w:end w:w="75" w:type="dxa"/>
            </w:tcMar>
          </w:tcPr>
          <w:p>
            <w:pPr>
              <w:spacing w:before="0" w:after="0" w:line="240" w:lineRule="auto"/>
            </w:pPr>
            <w:r>
              <w:rPr>
                <w:rFonts w:ascii="Inter" w:hAnsi="Inter"/>
                <w:b/>
                <w:color w:val="172033"/>
                <w:sz w:val="16"/>
              </w:rPr>
              <w:t>5</w:t>
            </w:r>
          </w:p>
        </w:tc>
        <w:tc>
          <w:tcPr>
            <w:tcW w:type="dxa" w:w="8640"/>
            <w:vAlign w:val="center"/>
            <w:tcMar>
              <w:top w:w="55" w:type="dxa"/>
              <w:start w:w="75" w:type="dxa"/>
              <w:bottom w:w="55" w:type="dxa"/>
              <w:end w:w="75" w:type="dxa"/>
            </w:tcMar>
          </w:tcPr>
          <w:p>
            <w:pPr>
              <w:spacing w:before="0" w:after="0" w:line="240" w:lineRule="auto"/>
            </w:pPr>
            <w:r>
              <w:rPr>
                <w:rFonts w:ascii="Inter" w:hAnsi="Inter"/>
                <w:b w:val="0"/>
                <w:color w:val="172033"/>
                <w:sz w:val="16"/>
              </w:rPr>
              <w:t>Report generation service retrieves governed source data through approved query contracts and applies the versioned definition.</w:t>
            </w:r>
          </w:p>
        </w:tc>
      </w:tr>
      <w:tr>
        <w:trPr>
          <w:cantSplit/>
        </w:trPr>
        <w:tc>
          <w:tcPr>
            <w:tcW w:type="dxa" w:w="936"/>
            <w:shd w:fill="F6F9FC"/>
            <w:vAlign w:val="center"/>
            <w:tcMar>
              <w:top w:w="55" w:type="dxa"/>
              <w:start w:w="75" w:type="dxa"/>
              <w:bottom w:w="55" w:type="dxa"/>
              <w:end w:w="75" w:type="dxa"/>
            </w:tcMar>
          </w:tcPr>
          <w:p>
            <w:pPr>
              <w:spacing w:before="0" w:after="0" w:line="240" w:lineRule="auto"/>
            </w:pPr>
            <w:r>
              <w:rPr>
                <w:rFonts w:ascii="Inter" w:hAnsi="Inter"/>
                <w:b/>
                <w:color w:val="172033"/>
                <w:sz w:val="16"/>
              </w:rPr>
              <w:t>6</w:t>
            </w:r>
          </w:p>
        </w:tc>
        <w:tc>
          <w:tcPr>
            <w:tcW w:type="dxa" w:w="8640"/>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System returns Completed, Queued, Processing, Failed, Cancelled, or verifiable status without false success.</w:t>
            </w:r>
          </w:p>
        </w:tc>
      </w:tr>
      <w:tr>
        <w:trPr>
          <w:cantSplit/>
        </w:trPr>
        <w:tc>
          <w:tcPr>
            <w:tcW w:type="dxa" w:w="936"/>
            <w:vAlign w:val="center"/>
            <w:tcMar>
              <w:top w:w="55" w:type="dxa"/>
              <w:start w:w="75" w:type="dxa"/>
              <w:bottom w:w="55" w:type="dxa"/>
              <w:end w:w="75" w:type="dxa"/>
            </w:tcMar>
          </w:tcPr>
          <w:p>
            <w:pPr>
              <w:spacing w:before="0" w:after="0" w:line="240" w:lineRule="auto"/>
            </w:pPr>
            <w:r>
              <w:rPr>
                <w:rFonts w:ascii="Inter" w:hAnsi="Inter"/>
                <w:b/>
                <w:color w:val="172033"/>
                <w:sz w:val="16"/>
              </w:rPr>
              <w:t>7</w:t>
            </w:r>
          </w:p>
        </w:tc>
        <w:tc>
          <w:tcPr>
            <w:tcW w:type="dxa" w:w="8640"/>
            <w:vAlign w:val="center"/>
            <w:tcMar>
              <w:top w:w="55" w:type="dxa"/>
              <w:start w:w="75" w:type="dxa"/>
              <w:bottom w:w="55" w:type="dxa"/>
              <w:end w:w="75" w:type="dxa"/>
            </w:tcMar>
          </w:tcPr>
          <w:p>
            <w:pPr>
              <w:spacing w:before="0" w:after="0" w:line="240" w:lineRule="auto"/>
            </w:pPr>
            <w:r>
              <w:rPr>
                <w:rFonts w:ascii="Inter" w:hAnsi="Inter"/>
                <w:b w:val="0"/>
                <w:color w:val="172033"/>
                <w:sz w:val="16"/>
              </w:rPr>
              <w:t>Completed output opens in Display Report with metadata, freshness, totals, and permitted drill-down.</w:t>
            </w:r>
          </w:p>
        </w:tc>
      </w:tr>
      <w:tr>
        <w:trPr>
          <w:cantSplit/>
        </w:trPr>
        <w:tc>
          <w:tcPr>
            <w:tcW w:type="dxa" w:w="936"/>
            <w:shd w:fill="F6F9FC"/>
            <w:vAlign w:val="center"/>
            <w:tcMar>
              <w:top w:w="55" w:type="dxa"/>
              <w:start w:w="75" w:type="dxa"/>
              <w:bottom w:w="55" w:type="dxa"/>
              <w:end w:w="75" w:type="dxa"/>
            </w:tcMar>
          </w:tcPr>
          <w:p>
            <w:pPr>
              <w:spacing w:before="0" w:after="0" w:line="240" w:lineRule="auto"/>
            </w:pPr>
            <w:r>
              <w:rPr>
                <w:rFonts w:ascii="Inter" w:hAnsi="Inter"/>
                <w:b/>
                <w:color w:val="172033"/>
                <w:sz w:val="16"/>
              </w:rPr>
              <w:t>8</w:t>
            </w:r>
          </w:p>
        </w:tc>
        <w:tc>
          <w:tcPr>
            <w:tcW w:type="dxa" w:w="8640"/>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User may print, export, favorite, save a view, schedule, or return to the source record according to permission and edition.</w:t>
            </w:r>
          </w:p>
        </w:tc>
      </w:tr>
      <w:tr>
        <w:trPr>
          <w:cantSplit/>
        </w:trPr>
        <w:tc>
          <w:tcPr>
            <w:tcW w:type="dxa" w:w="936"/>
            <w:vAlign w:val="center"/>
            <w:tcMar>
              <w:top w:w="55" w:type="dxa"/>
              <w:start w:w="75" w:type="dxa"/>
              <w:bottom w:w="55" w:type="dxa"/>
              <w:end w:w="75" w:type="dxa"/>
            </w:tcMar>
          </w:tcPr>
          <w:p>
            <w:pPr>
              <w:spacing w:before="0" w:after="0" w:line="240" w:lineRule="auto"/>
            </w:pPr>
            <w:r>
              <w:rPr>
                <w:rFonts w:ascii="Inter" w:hAnsi="Inter"/>
                <w:b/>
                <w:color w:val="172033"/>
                <w:sz w:val="16"/>
              </w:rPr>
              <w:t>9</w:t>
            </w:r>
          </w:p>
        </w:tc>
        <w:tc>
          <w:tcPr>
            <w:tcW w:type="dxa" w:w="8640"/>
            <w:vAlign w:val="center"/>
            <w:tcMar>
              <w:top w:w="55" w:type="dxa"/>
              <w:start w:w="75" w:type="dxa"/>
              <w:bottom w:w="55" w:type="dxa"/>
              <w:end w:w="75" w:type="dxa"/>
            </w:tcMar>
          </w:tcPr>
          <w:p>
            <w:pPr>
              <w:spacing w:before="0" w:after="0" w:line="240" w:lineRule="auto"/>
            </w:pPr>
            <w:r>
              <w:rPr>
                <w:rFonts w:ascii="Inter" w:hAnsi="Inter"/>
                <w:b w:val="0"/>
                <w:color w:val="172033"/>
                <w:sz w:val="16"/>
              </w:rPr>
              <w:t>Generation, export, delivery, and sensitive access evidence are retained according to policy.</w:t>
            </w:r>
          </w:p>
        </w:tc>
      </w:tr>
    </w:tbl>
    <w:p>
      <w:pPr>
        <w:spacing w:after="80" w:line="259" w:lineRule="auto"/>
      </w:pPr>
    </w:p>
    <w:p>
      <w:pPr>
        <w:pStyle w:val="Heading2"/>
        <w:keepNext/>
      </w:pPr>
      <w:r>
        <w:t>11.2 Asynchronous and Scheduled Workflow</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936"/>
            <w:shd w:fill="E7F0F8"/>
            <w:vAlign w:val="center"/>
            <w:tcMar>
              <w:top w:w="55" w:type="dxa"/>
              <w:start w:w="75" w:type="dxa"/>
              <w:bottom w:w="55" w:type="dxa"/>
              <w:end w:w="75" w:type="dxa"/>
            </w:tcMar>
          </w:tcPr>
          <w:p>
            <w:pPr>
              <w:spacing w:before="0" w:after="0" w:line="240" w:lineRule="auto"/>
            </w:pPr>
            <w:r>
              <w:rPr>
                <w:rFonts w:ascii="Inter" w:hAnsi="Inter"/>
                <w:b/>
                <w:color w:val="172033"/>
                <w:sz w:val="16"/>
              </w:rPr>
              <w:t>Step</w:t>
            </w:r>
          </w:p>
        </w:tc>
        <w:tc>
          <w:tcPr>
            <w:tcW w:type="dxa" w:w="864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Required processing</w:t>
            </w:r>
          </w:p>
        </w:tc>
      </w:tr>
      <w:tr>
        <w:trPr>
          <w:cantSplit/>
        </w:trPr>
        <w:tc>
          <w:tcPr>
            <w:tcW w:type="dxa" w:w="936"/>
            <w:vAlign w:val="center"/>
            <w:tcMar>
              <w:top w:w="55" w:type="dxa"/>
              <w:start w:w="75" w:type="dxa"/>
              <w:bottom w:w="55" w:type="dxa"/>
              <w:end w:w="75" w:type="dxa"/>
            </w:tcMar>
          </w:tcPr>
          <w:p>
            <w:pPr>
              <w:spacing w:before="0" w:after="0" w:line="240" w:lineRule="auto"/>
            </w:pPr>
            <w:r>
              <w:rPr>
                <w:rFonts w:ascii="Inter" w:hAnsi="Inter"/>
                <w:b/>
                <w:color w:val="172033"/>
                <w:sz w:val="16"/>
              </w:rPr>
              <w:t>1</w:t>
            </w:r>
          </w:p>
        </w:tc>
        <w:tc>
          <w:tcPr>
            <w:tcW w:type="dxa" w:w="8640"/>
            <w:vAlign w:val="center"/>
            <w:tcMar>
              <w:top w:w="55" w:type="dxa"/>
              <w:start w:w="75" w:type="dxa"/>
              <w:bottom w:w="55" w:type="dxa"/>
              <w:end w:w="75" w:type="dxa"/>
            </w:tcMar>
          </w:tcPr>
          <w:p>
            <w:pPr>
              <w:spacing w:before="0" w:after="0" w:line="240" w:lineRule="auto"/>
            </w:pPr>
            <w:r>
              <w:rPr>
                <w:rFonts w:ascii="Inter" w:hAnsi="Inter"/>
                <w:b w:val="0"/>
                <w:color w:val="172033"/>
                <w:sz w:val="16"/>
              </w:rPr>
              <w:t>Large, scheduled, or resource-intensive request is validated and accepted with a durable request identity.</w:t>
            </w:r>
          </w:p>
        </w:tc>
      </w:tr>
      <w:tr>
        <w:trPr>
          <w:cantSplit/>
        </w:trPr>
        <w:tc>
          <w:tcPr>
            <w:tcW w:type="dxa" w:w="936"/>
            <w:shd w:fill="F6F9FC"/>
            <w:vAlign w:val="center"/>
            <w:tcMar>
              <w:top w:w="55" w:type="dxa"/>
              <w:start w:w="75" w:type="dxa"/>
              <w:bottom w:w="55" w:type="dxa"/>
              <w:end w:w="75" w:type="dxa"/>
            </w:tcMar>
          </w:tcPr>
          <w:p>
            <w:pPr>
              <w:spacing w:before="0" w:after="0" w:line="240" w:lineRule="auto"/>
            </w:pPr>
            <w:r>
              <w:rPr>
                <w:rFonts w:ascii="Inter" w:hAnsi="Inter"/>
                <w:b/>
                <w:color w:val="172033"/>
                <w:sz w:val="16"/>
              </w:rPr>
              <w:t>2</w:t>
            </w:r>
          </w:p>
        </w:tc>
        <w:tc>
          <w:tcPr>
            <w:tcW w:type="dxa" w:w="8640"/>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Request enters Queued and then Processing while progress and safe cancellation rules are exposed.</w:t>
            </w:r>
          </w:p>
        </w:tc>
      </w:tr>
      <w:tr>
        <w:trPr>
          <w:cantSplit/>
        </w:trPr>
        <w:tc>
          <w:tcPr>
            <w:tcW w:type="dxa" w:w="936"/>
            <w:vAlign w:val="center"/>
            <w:tcMar>
              <w:top w:w="55" w:type="dxa"/>
              <w:start w:w="75" w:type="dxa"/>
              <w:bottom w:w="55" w:type="dxa"/>
              <w:end w:w="75" w:type="dxa"/>
            </w:tcMar>
          </w:tcPr>
          <w:p>
            <w:pPr>
              <w:spacing w:before="0" w:after="0" w:line="240" w:lineRule="auto"/>
            </w:pPr>
            <w:r>
              <w:rPr>
                <w:rFonts w:ascii="Inter" w:hAnsi="Inter"/>
                <w:b/>
                <w:color w:val="172033"/>
                <w:sz w:val="16"/>
              </w:rPr>
              <w:t>3</w:t>
            </w:r>
          </w:p>
        </w:tc>
        <w:tc>
          <w:tcPr>
            <w:tcW w:type="dxa" w:w="8640"/>
            <w:vAlign w:val="center"/>
            <w:tcMar>
              <w:top w:w="55" w:type="dxa"/>
              <w:start w:w="75" w:type="dxa"/>
              <w:bottom w:w="55" w:type="dxa"/>
              <w:end w:w="75" w:type="dxa"/>
            </w:tcMar>
          </w:tcPr>
          <w:p>
            <w:pPr>
              <w:spacing w:before="0" w:after="0" w:line="240" w:lineRule="auto"/>
            </w:pPr>
            <w:r>
              <w:rPr>
                <w:rFonts w:ascii="Inter" w:hAnsi="Inter"/>
                <w:b w:val="0"/>
                <w:color w:val="172033"/>
                <w:sz w:val="16"/>
              </w:rPr>
              <w:t>Worker resolves the original definition version and intended parameter period, not merely current defaults.</w:t>
            </w:r>
          </w:p>
        </w:tc>
      </w:tr>
      <w:tr>
        <w:trPr>
          <w:cantSplit/>
        </w:trPr>
        <w:tc>
          <w:tcPr>
            <w:tcW w:type="dxa" w:w="936"/>
            <w:shd w:fill="F6F9FC"/>
            <w:vAlign w:val="center"/>
            <w:tcMar>
              <w:top w:w="55" w:type="dxa"/>
              <w:start w:w="75" w:type="dxa"/>
              <w:bottom w:w="55" w:type="dxa"/>
              <w:end w:w="75" w:type="dxa"/>
            </w:tcMar>
          </w:tcPr>
          <w:p>
            <w:pPr>
              <w:spacing w:before="0" w:after="0" w:line="240" w:lineRule="auto"/>
            </w:pPr>
            <w:r>
              <w:rPr>
                <w:rFonts w:ascii="Inter" w:hAnsi="Inter"/>
                <w:b/>
                <w:color w:val="172033"/>
                <w:sz w:val="16"/>
              </w:rPr>
              <w:t>4</w:t>
            </w:r>
          </w:p>
        </w:tc>
        <w:tc>
          <w:tcPr>
            <w:tcW w:type="dxa" w:w="8640"/>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Completed output is stored with expiry and sensitivity controls; failed processing records actionable reason and retry state.</w:t>
            </w:r>
          </w:p>
        </w:tc>
      </w:tr>
      <w:tr>
        <w:trPr>
          <w:cantSplit/>
        </w:trPr>
        <w:tc>
          <w:tcPr>
            <w:tcW w:type="dxa" w:w="936"/>
            <w:vAlign w:val="center"/>
            <w:tcMar>
              <w:top w:w="55" w:type="dxa"/>
              <w:start w:w="75" w:type="dxa"/>
              <w:bottom w:w="55" w:type="dxa"/>
              <w:end w:w="75" w:type="dxa"/>
            </w:tcMar>
          </w:tcPr>
          <w:p>
            <w:pPr>
              <w:spacing w:before="0" w:after="0" w:line="240" w:lineRule="auto"/>
            </w:pPr>
            <w:r>
              <w:rPr>
                <w:rFonts w:ascii="Inter" w:hAnsi="Inter"/>
                <w:b/>
                <w:color w:val="172033"/>
                <w:sz w:val="16"/>
              </w:rPr>
              <w:t>5</w:t>
            </w:r>
          </w:p>
        </w:tc>
        <w:tc>
          <w:tcPr>
            <w:tcW w:type="dxa" w:w="8640"/>
            <w:vAlign w:val="center"/>
            <w:tcMar>
              <w:top w:w="55" w:type="dxa"/>
              <w:start w:w="75" w:type="dxa"/>
              <w:bottom w:w="55" w:type="dxa"/>
              <w:end w:w="75" w:type="dxa"/>
            </w:tcMar>
          </w:tcPr>
          <w:p>
            <w:pPr>
              <w:spacing w:before="0" w:after="0" w:line="240" w:lineRule="auto"/>
            </w:pPr>
            <w:r>
              <w:rPr>
                <w:rFonts w:ascii="Inter" w:hAnsi="Inter"/>
                <w:b w:val="0"/>
                <w:color w:val="172033"/>
                <w:sz w:val="16"/>
              </w:rPr>
              <w:t>Authorized recipients receive a secure link or approved attachment according to delivery policy.</w:t>
            </w:r>
          </w:p>
        </w:tc>
      </w:tr>
      <w:tr>
        <w:trPr>
          <w:cantSplit/>
        </w:trPr>
        <w:tc>
          <w:tcPr>
            <w:tcW w:type="dxa" w:w="936"/>
            <w:shd w:fill="F6F9FC"/>
            <w:vAlign w:val="center"/>
            <w:tcMar>
              <w:top w:w="55" w:type="dxa"/>
              <w:start w:w="75" w:type="dxa"/>
              <w:bottom w:w="55" w:type="dxa"/>
              <w:end w:w="75" w:type="dxa"/>
            </w:tcMar>
          </w:tcPr>
          <w:p>
            <w:pPr>
              <w:spacing w:before="0" w:after="0" w:line="240" w:lineRule="auto"/>
            </w:pPr>
            <w:r>
              <w:rPr>
                <w:rFonts w:ascii="Inter" w:hAnsi="Inter"/>
                <w:b/>
                <w:color w:val="172033"/>
                <w:sz w:val="16"/>
              </w:rPr>
              <w:t>6</w:t>
            </w:r>
          </w:p>
        </w:tc>
        <w:tc>
          <w:tcPr>
            <w:tcW w:type="dxa" w:w="8640"/>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Partial recipient failure remains visible and does not mark the entire delivery successful.</w:t>
            </w:r>
          </w:p>
        </w:tc>
      </w:tr>
      <w:tr>
        <w:trPr>
          <w:cantSplit/>
        </w:trPr>
        <w:tc>
          <w:tcPr>
            <w:tcW w:type="dxa" w:w="936"/>
            <w:vAlign w:val="center"/>
            <w:tcMar>
              <w:top w:w="55" w:type="dxa"/>
              <w:start w:w="75" w:type="dxa"/>
              <w:bottom w:w="55" w:type="dxa"/>
              <w:end w:w="75" w:type="dxa"/>
            </w:tcMar>
          </w:tcPr>
          <w:p>
            <w:pPr>
              <w:spacing w:before="0" w:after="0" w:line="240" w:lineRule="auto"/>
            </w:pPr>
            <w:r>
              <w:rPr>
                <w:rFonts w:ascii="Inter" w:hAnsi="Inter"/>
                <w:b/>
                <w:color w:val="172033"/>
                <w:sz w:val="16"/>
              </w:rPr>
              <w:t>7</w:t>
            </w:r>
          </w:p>
        </w:tc>
        <w:tc>
          <w:tcPr>
            <w:tcW w:type="dxa" w:w="8640"/>
            <w:vAlign w:val="center"/>
            <w:tcMar>
              <w:top w:w="55" w:type="dxa"/>
              <w:start w:w="75" w:type="dxa"/>
              <w:bottom w:w="55" w:type="dxa"/>
              <w:end w:w="75" w:type="dxa"/>
            </w:tcMar>
          </w:tcPr>
          <w:p>
            <w:pPr>
              <w:spacing w:before="0" w:after="0" w:line="240" w:lineRule="auto"/>
            </w:pPr>
            <w:r>
              <w:rPr>
                <w:rFonts w:ascii="Inter" w:hAnsi="Inter"/>
                <w:b w:val="0"/>
                <w:color w:val="172033"/>
                <w:sz w:val="16"/>
              </w:rPr>
              <w:t>Schedule advances only according to its recurrence policy and retains execution history.</w:t>
            </w:r>
          </w:p>
        </w:tc>
      </w:tr>
    </w:tbl>
    <w:p>
      <w:pPr>
        <w:spacing w:after="80" w:line="259" w:lineRule="auto"/>
      </w:pPr>
    </w:p>
    <w:p>
      <w:pPr>
        <w:pStyle w:val="Heading2"/>
        <w:keepNext/>
      </w:pPr>
      <w:r>
        <w:t>11.3 Definition Publication Workflow</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936"/>
            <w:shd w:fill="E7F0F8"/>
            <w:vAlign w:val="center"/>
            <w:tcMar>
              <w:top w:w="55" w:type="dxa"/>
              <w:start w:w="75" w:type="dxa"/>
              <w:bottom w:w="55" w:type="dxa"/>
              <w:end w:w="75" w:type="dxa"/>
            </w:tcMar>
          </w:tcPr>
          <w:p>
            <w:pPr>
              <w:spacing w:before="0" w:after="0" w:line="240" w:lineRule="auto"/>
            </w:pPr>
            <w:r>
              <w:rPr>
                <w:rFonts w:ascii="Inter" w:hAnsi="Inter"/>
                <w:b/>
                <w:color w:val="172033"/>
                <w:sz w:val="16"/>
              </w:rPr>
              <w:t>Step</w:t>
            </w:r>
          </w:p>
        </w:tc>
        <w:tc>
          <w:tcPr>
            <w:tcW w:type="dxa" w:w="864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Required processing</w:t>
            </w:r>
          </w:p>
        </w:tc>
      </w:tr>
      <w:tr>
        <w:trPr>
          <w:cantSplit/>
        </w:trPr>
        <w:tc>
          <w:tcPr>
            <w:tcW w:type="dxa" w:w="936"/>
            <w:vAlign w:val="center"/>
            <w:tcMar>
              <w:top w:w="55" w:type="dxa"/>
              <w:start w:w="75" w:type="dxa"/>
              <w:bottom w:w="55" w:type="dxa"/>
              <w:end w:w="75" w:type="dxa"/>
            </w:tcMar>
          </w:tcPr>
          <w:p>
            <w:pPr>
              <w:spacing w:before="0" w:after="0" w:line="240" w:lineRule="auto"/>
            </w:pPr>
            <w:r>
              <w:rPr>
                <w:rFonts w:ascii="Inter" w:hAnsi="Inter"/>
                <w:b/>
                <w:color w:val="172033"/>
                <w:sz w:val="16"/>
              </w:rPr>
              <w:t>1</w:t>
            </w:r>
          </w:p>
        </w:tc>
        <w:tc>
          <w:tcPr>
            <w:tcW w:type="dxa" w:w="8640"/>
            <w:vAlign w:val="center"/>
            <w:tcMar>
              <w:top w:w="55" w:type="dxa"/>
              <w:start w:w="75" w:type="dxa"/>
              <w:bottom w:w="55" w:type="dxa"/>
              <w:end w:w="75" w:type="dxa"/>
            </w:tcMar>
          </w:tcPr>
          <w:p>
            <w:pPr>
              <w:spacing w:before="0" w:after="0" w:line="240" w:lineRule="auto"/>
            </w:pPr>
            <w:r>
              <w:rPr>
                <w:rFonts w:ascii="Inter" w:hAnsi="Inter"/>
                <w:b w:val="0"/>
                <w:color w:val="172033"/>
                <w:sz w:val="16"/>
              </w:rPr>
              <w:t>Authorized designer or analyst creates or revises a Draft Report Definition.</w:t>
            </w:r>
          </w:p>
        </w:tc>
      </w:tr>
      <w:tr>
        <w:trPr>
          <w:cantSplit/>
        </w:trPr>
        <w:tc>
          <w:tcPr>
            <w:tcW w:type="dxa" w:w="936"/>
            <w:shd w:fill="F6F9FC"/>
            <w:vAlign w:val="center"/>
            <w:tcMar>
              <w:top w:w="55" w:type="dxa"/>
              <w:start w:w="75" w:type="dxa"/>
              <w:bottom w:w="55" w:type="dxa"/>
              <w:end w:w="75" w:type="dxa"/>
            </w:tcMar>
          </w:tcPr>
          <w:p>
            <w:pPr>
              <w:spacing w:before="0" w:after="0" w:line="240" w:lineRule="auto"/>
            </w:pPr>
            <w:r>
              <w:rPr>
                <w:rFonts w:ascii="Inter" w:hAnsi="Inter"/>
                <w:b/>
                <w:color w:val="172033"/>
                <w:sz w:val="16"/>
              </w:rPr>
              <w:t>2</w:t>
            </w:r>
          </w:p>
        </w:tc>
        <w:tc>
          <w:tcPr>
            <w:tcW w:type="dxa" w:w="8640"/>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Definition documents owner, source contracts, formulas, parameters, signs, status rules, security, drill-down, outputs, and expected control totals.</w:t>
            </w:r>
          </w:p>
        </w:tc>
      </w:tr>
      <w:tr>
        <w:trPr>
          <w:cantSplit/>
        </w:trPr>
        <w:tc>
          <w:tcPr>
            <w:tcW w:type="dxa" w:w="936"/>
            <w:vAlign w:val="center"/>
            <w:tcMar>
              <w:top w:w="55" w:type="dxa"/>
              <w:start w:w="75" w:type="dxa"/>
              <w:bottom w:w="55" w:type="dxa"/>
              <w:end w:w="75" w:type="dxa"/>
            </w:tcMar>
          </w:tcPr>
          <w:p>
            <w:pPr>
              <w:spacing w:before="0" w:after="0" w:line="240" w:lineRule="auto"/>
            </w:pPr>
            <w:r>
              <w:rPr>
                <w:rFonts w:ascii="Inter" w:hAnsi="Inter"/>
                <w:b/>
                <w:color w:val="172033"/>
                <w:sz w:val="16"/>
              </w:rPr>
              <w:t>3</w:t>
            </w:r>
          </w:p>
        </w:tc>
        <w:tc>
          <w:tcPr>
            <w:tcW w:type="dxa" w:w="8640"/>
            <w:vAlign w:val="center"/>
            <w:tcMar>
              <w:top w:w="55" w:type="dxa"/>
              <w:start w:w="75" w:type="dxa"/>
              <w:bottom w:w="55" w:type="dxa"/>
              <w:end w:w="75" w:type="dxa"/>
            </w:tcMar>
          </w:tcPr>
          <w:p>
            <w:pPr>
              <w:spacing w:before="0" w:after="0" w:line="240" w:lineRule="auto"/>
            </w:pPr>
            <w:r>
              <w:rPr>
                <w:rFonts w:ascii="Inter" w:hAnsi="Inter"/>
                <w:b w:val="0"/>
                <w:color w:val="172033"/>
                <w:sz w:val="16"/>
              </w:rPr>
              <w:t>Technical and business tests validate accuracy, performance, permissions, historical behavior, and export consistency.</w:t>
            </w:r>
          </w:p>
        </w:tc>
      </w:tr>
      <w:tr>
        <w:trPr>
          <w:cantSplit/>
        </w:trPr>
        <w:tc>
          <w:tcPr>
            <w:tcW w:type="dxa" w:w="936"/>
            <w:shd w:fill="F6F9FC"/>
            <w:vAlign w:val="center"/>
            <w:tcMar>
              <w:top w:w="55" w:type="dxa"/>
              <w:start w:w="75" w:type="dxa"/>
              <w:bottom w:w="55" w:type="dxa"/>
              <w:end w:w="75" w:type="dxa"/>
            </w:tcMar>
          </w:tcPr>
          <w:p>
            <w:pPr>
              <w:spacing w:before="0" w:after="0" w:line="240" w:lineRule="auto"/>
            </w:pPr>
            <w:r>
              <w:rPr>
                <w:rFonts w:ascii="Inter" w:hAnsi="Inter"/>
                <w:b/>
                <w:color w:val="172033"/>
                <w:sz w:val="16"/>
              </w:rPr>
              <w:t>4</w:t>
            </w:r>
          </w:p>
        </w:tc>
        <w:tc>
          <w:tcPr>
            <w:tcW w:type="dxa" w:w="8640"/>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Reviewer approves, rejects, or returns the definition with comments.</w:t>
            </w:r>
          </w:p>
        </w:tc>
      </w:tr>
      <w:tr>
        <w:trPr>
          <w:cantSplit/>
        </w:trPr>
        <w:tc>
          <w:tcPr>
            <w:tcW w:type="dxa" w:w="936"/>
            <w:vAlign w:val="center"/>
            <w:tcMar>
              <w:top w:w="55" w:type="dxa"/>
              <w:start w:w="75" w:type="dxa"/>
              <w:bottom w:w="55" w:type="dxa"/>
              <w:end w:w="75" w:type="dxa"/>
            </w:tcMar>
          </w:tcPr>
          <w:p>
            <w:pPr>
              <w:spacing w:before="0" w:after="0" w:line="240" w:lineRule="auto"/>
            </w:pPr>
            <w:r>
              <w:rPr>
                <w:rFonts w:ascii="Inter" w:hAnsi="Inter"/>
                <w:b/>
                <w:color w:val="172033"/>
                <w:sz w:val="16"/>
              </w:rPr>
              <w:t>5</w:t>
            </w:r>
          </w:p>
        </w:tc>
        <w:tc>
          <w:tcPr>
            <w:tcW w:type="dxa" w:w="8640"/>
            <w:vAlign w:val="center"/>
            <w:tcMar>
              <w:top w:w="55" w:type="dxa"/>
              <w:start w:w="75" w:type="dxa"/>
              <w:bottom w:w="55" w:type="dxa"/>
              <w:end w:w="75" w:type="dxa"/>
            </w:tcMar>
          </w:tcPr>
          <w:p>
            <w:pPr>
              <w:spacing w:before="0" w:after="0" w:line="240" w:lineRule="auto"/>
            </w:pPr>
            <w:r>
              <w:rPr>
                <w:rFonts w:ascii="Inter" w:hAnsi="Inter"/>
                <w:b w:val="0"/>
                <w:color w:val="172033"/>
                <w:sz w:val="16"/>
              </w:rPr>
              <w:t>Published version becomes effective for specified editions and contexts; prior version remains reproducible for retained outputs.</w:t>
            </w:r>
          </w:p>
        </w:tc>
      </w:tr>
      <w:tr>
        <w:trPr>
          <w:cantSplit/>
        </w:trPr>
        <w:tc>
          <w:tcPr>
            <w:tcW w:type="dxa" w:w="936"/>
            <w:shd w:fill="F6F9FC"/>
            <w:vAlign w:val="center"/>
            <w:tcMar>
              <w:top w:w="55" w:type="dxa"/>
              <w:start w:w="75" w:type="dxa"/>
              <w:bottom w:w="55" w:type="dxa"/>
              <w:end w:w="75" w:type="dxa"/>
            </w:tcMar>
          </w:tcPr>
          <w:p>
            <w:pPr>
              <w:spacing w:before="0" w:after="0" w:line="240" w:lineRule="auto"/>
            </w:pPr>
            <w:r>
              <w:rPr>
                <w:rFonts w:ascii="Inter" w:hAnsi="Inter"/>
                <w:b/>
                <w:color w:val="172033"/>
                <w:sz w:val="16"/>
              </w:rPr>
              <w:t>6</w:t>
            </w:r>
          </w:p>
        </w:tc>
        <w:tc>
          <w:tcPr>
            <w:tcW w:type="dxa" w:w="8640"/>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Later material change creates a new version; old version becomes Superseded or Inactive rather than overwritten.</w:t>
            </w:r>
          </w:p>
        </w:tc>
      </w:tr>
    </w:tbl>
    <w:p>
      <w:pPr>
        <w:spacing w:after="80" w:line="259" w:lineRule="auto"/>
      </w:pPr>
    </w:p>
    <w:p>
      <w:pPr>
        <w:pStyle w:val="Heading2"/>
        <w:keepNext/>
      </w:pPr>
      <w:r>
        <w:t>11.4 Status Models</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208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Object</w:t>
            </w:r>
          </w:p>
        </w:tc>
        <w:tc>
          <w:tcPr>
            <w:tcW w:type="dxa" w:w="3384"/>
            <w:shd w:fill="E7F0F8"/>
            <w:vAlign w:val="center"/>
            <w:tcMar>
              <w:top w:w="55" w:type="dxa"/>
              <w:start w:w="75" w:type="dxa"/>
              <w:bottom w:w="55" w:type="dxa"/>
              <w:end w:w="75" w:type="dxa"/>
            </w:tcMar>
          </w:tcPr>
          <w:p>
            <w:pPr>
              <w:spacing w:before="0" w:after="0" w:line="240" w:lineRule="auto"/>
            </w:pPr>
            <w:r>
              <w:rPr>
                <w:rFonts w:ascii="Inter" w:hAnsi="Inter"/>
                <w:b/>
                <w:color w:val="172033"/>
                <w:sz w:val="16"/>
              </w:rPr>
              <w:t>Statuses</w:t>
            </w:r>
          </w:p>
        </w:tc>
        <w:tc>
          <w:tcPr>
            <w:tcW w:type="dxa" w:w="4104"/>
            <w:shd w:fill="E7F0F8"/>
            <w:vAlign w:val="center"/>
            <w:tcMar>
              <w:top w:w="55" w:type="dxa"/>
              <w:start w:w="75" w:type="dxa"/>
              <w:bottom w:w="55" w:type="dxa"/>
              <w:end w:w="75" w:type="dxa"/>
            </w:tcMar>
          </w:tcPr>
          <w:p>
            <w:pPr>
              <w:spacing w:before="0" w:after="0" w:line="240" w:lineRule="auto"/>
            </w:pPr>
            <w:r>
              <w:rPr>
                <w:rFonts w:ascii="Inter" w:hAnsi="Inter"/>
                <w:b/>
                <w:color w:val="172033"/>
                <w:sz w:val="16"/>
              </w:rPr>
              <w:t>Control meaning</w:t>
            </w:r>
          </w:p>
        </w:tc>
      </w:tr>
      <w:tr>
        <w:trPr>
          <w:cantSplit/>
        </w:trPr>
        <w:tc>
          <w:tcPr>
            <w:tcW w:type="dxa" w:w="2088"/>
            <w:vAlign w:val="center"/>
            <w:tcMar>
              <w:top w:w="55" w:type="dxa"/>
              <w:start w:w="75" w:type="dxa"/>
              <w:bottom w:w="55" w:type="dxa"/>
              <w:end w:w="75" w:type="dxa"/>
            </w:tcMar>
          </w:tcPr>
          <w:p>
            <w:pPr>
              <w:spacing w:before="0" w:after="0" w:line="240" w:lineRule="auto"/>
            </w:pPr>
            <w:r>
              <w:rPr>
                <w:rFonts w:ascii="Inter" w:hAnsi="Inter"/>
                <w:b w:val="0"/>
                <w:color w:val="172033"/>
                <w:sz w:val="15"/>
              </w:rPr>
              <w:t>Report Definition</w:t>
            </w:r>
          </w:p>
        </w:tc>
        <w:tc>
          <w:tcPr>
            <w:tcW w:type="dxa" w:w="3384"/>
            <w:vAlign w:val="center"/>
            <w:tcMar>
              <w:top w:w="55" w:type="dxa"/>
              <w:start w:w="75" w:type="dxa"/>
              <w:bottom w:w="55" w:type="dxa"/>
              <w:end w:w="75" w:type="dxa"/>
            </w:tcMar>
          </w:tcPr>
          <w:p>
            <w:pPr>
              <w:spacing w:before="0" w:after="0" w:line="240" w:lineRule="auto"/>
            </w:pPr>
            <w:r>
              <w:rPr>
                <w:rFonts w:ascii="Inter" w:hAnsi="Inter"/>
                <w:b w:val="0"/>
                <w:color w:val="172033"/>
                <w:sz w:val="15"/>
              </w:rPr>
              <w:t>Draft; For Review; Approved; Published; Inactive; Superseded</w:t>
            </w:r>
          </w:p>
        </w:tc>
        <w:tc>
          <w:tcPr>
            <w:tcW w:type="dxa" w:w="4104"/>
            <w:vAlign w:val="center"/>
            <w:tcMar>
              <w:top w:w="55" w:type="dxa"/>
              <w:start w:w="75" w:type="dxa"/>
              <w:bottom w:w="55" w:type="dxa"/>
              <w:end w:w="75" w:type="dxa"/>
            </w:tcMar>
          </w:tcPr>
          <w:p>
            <w:pPr>
              <w:spacing w:before="0" w:after="0" w:line="240" w:lineRule="auto"/>
            </w:pPr>
            <w:r>
              <w:rPr>
                <w:rFonts w:ascii="Inter" w:hAnsi="Inter"/>
                <w:b w:val="0"/>
                <w:color w:val="172033"/>
                <w:sz w:val="15"/>
              </w:rPr>
              <w:t>Only Published definitions are ordinarily available; retained outputs preserve original version.</w:t>
            </w:r>
          </w:p>
        </w:tc>
      </w:tr>
      <w:tr>
        <w:trPr>
          <w:cantSplit/>
        </w:trPr>
        <w:tc>
          <w:tcPr>
            <w:tcW w:type="dxa" w:w="208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Report Request / Generation</w:t>
            </w:r>
          </w:p>
        </w:tc>
        <w:tc>
          <w:tcPr>
            <w:tcW w:type="dxa" w:w="338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Requested; Validated; Queued; Processing; Completed; Failed; Cancelled; Expired</w:t>
            </w:r>
          </w:p>
        </w:tc>
        <w:tc>
          <w:tcPr>
            <w:tcW w:type="dxa" w:w="410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Completed is the only successful output state; timeout requires status verification.</w:t>
            </w:r>
          </w:p>
        </w:tc>
      </w:tr>
      <w:tr>
        <w:trPr>
          <w:cantSplit/>
        </w:trPr>
        <w:tc>
          <w:tcPr>
            <w:tcW w:type="dxa" w:w="2088"/>
            <w:vAlign w:val="center"/>
            <w:tcMar>
              <w:top w:w="55" w:type="dxa"/>
              <w:start w:w="75" w:type="dxa"/>
              <w:bottom w:w="55" w:type="dxa"/>
              <w:end w:w="75" w:type="dxa"/>
            </w:tcMar>
          </w:tcPr>
          <w:p>
            <w:pPr>
              <w:spacing w:before="0" w:after="0" w:line="240" w:lineRule="auto"/>
            </w:pPr>
            <w:r>
              <w:rPr>
                <w:rFonts w:ascii="Inter" w:hAnsi="Inter"/>
                <w:b w:val="0"/>
                <w:color w:val="172033"/>
                <w:sz w:val="15"/>
              </w:rPr>
              <w:t>Report Output</w:t>
            </w:r>
          </w:p>
        </w:tc>
        <w:tc>
          <w:tcPr>
            <w:tcW w:type="dxa" w:w="3384"/>
            <w:vAlign w:val="center"/>
            <w:tcMar>
              <w:top w:w="55" w:type="dxa"/>
              <w:start w:w="75" w:type="dxa"/>
              <w:bottom w:w="55" w:type="dxa"/>
              <w:end w:w="75" w:type="dxa"/>
            </w:tcMar>
          </w:tcPr>
          <w:p>
            <w:pPr>
              <w:spacing w:before="0" w:after="0" w:line="240" w:lineRule="auto"/>
            </w:pPr>
            <w:r>
              <w:rPr>
                <w:rFonts w:ascii="Inter" w:hAnsi="Inter"/>
                <w:b w:val="0"/>
                <w:color w:val="172033"/>
                <w:sz w:val="15"/>
              </w:rPr>
              <w:t>Available; Downloaded; Delivered; Archived; Expired; Purged</w:t>
            </w:r>
          </w:p>
        </w:tc>
        <w:tc>
          <w:tcPr>
            <w:tcW w:type="dxa" w:w="4104"/>
            <w:vAlign w:val="center"/>
            <w:tcMar>
              <w:top w:w="55" w:type="dxa"/>
              <w:start w:w="75" w:type="dxa"/>
              <w:bottom w:w="55" w:type="dxa"/>
              <w:end w:w="75" w:type="dxa"/>
            </w:tcMar>
          </w:tcPr>
          <w:p>
            <w:pPr>
              <w:spacing w:before="0" w:after="0" w:line="240" w:lineRule="auto"/>
            </w:pPr>
            <w:r>
              <w:rPr>
                <w:rFonts w:ascii="Inter" w:hAnsi="Inter"/>
                <w:b w:val="0"/>
                <w:color w:val="172033"/>
                <w:sz w:val="15"/>
              </w:rPr>
              <w:t>Expiry or purge affects the output file, not source records or audit history.</w:t>
            </w:r>
          </w:p>
        </w:tc>
      </w:tr>
      <w:tr>
        <w:trPr>
          <w:cantSplit/>
        </w:trPr>
        <w:tc>
          <w:tcPr>
            <w:tcW w:type="dxa" w:w="208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Report Schedule</w:t>
            </w:r>
          </w:p>
        </w:tc>
        <w:tc>
          <w:tcPr>
            <w:tcW w:type="dxa" w:w="338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Draft; Active; Paused; Failed; Expired; Cancelled</w:t>
            </w:r>
          </w:p>
        </w:tc>
        <w:tc>
          <w:tcPr>
            <w:tcW w:type="dxa" w:w="410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Active schedules revalidate permission, definition, source, recipients, and entitlement each run.</w:t>
            </w:r>
          </w:p>
        </w:tc>
      </w:tr>
      <w:tr>
        <w:trPr>
          <w:cantSplit/>
        </w:trPr>
        <w:tc>
          <w:tcPr>
            <w:tcW w:type="dxa" w:w="2088"/>
            <w:vAlign w:val="center"/>
            <w:tcMar>
              <w:top w:w="55" w:type="dxa"/>
              <w:start w:w="75" w:type="dxa"/>
              <w:bottom w:w="55" w:type="dxa"/>
              <w:end w:w="75" w:type="dxa"/>
            </w:tcMar>
          </w:tcPr>
          <w:p>
            <w:pPr>
              <w:spacing w:before="0" w:after="0" w:line="240" w:lineRule="auto"/>
            </w:pPr>
            <w:r>
              <w:rPr>
                <w:rFonts w:ascii="Inter" w:hAnsi="Inter"/>
                <w:b w:val="0"/>
                <w:color w:val="172033"/>
                <w:sz w:val="15"/>
              </w:rPr>
              <w:t>Delivery</w:t>
            </w:r>
          </w:p>
        </w:tc>
        <w:tc>
          <w:tcPr>
            <w:tcW w:type="dxa" w:w="3384"/>
            <w:vAlign w:val="center"/>
            <w:tcMar>
              <w:top w:w="55" w:type="dxa"/>
              <w:start w:w="75" w:type="dxa"/>
              <w:bottom w:w="55" w:type="dxa"/>
              <w:end w:w="75" w:type="dxa"/>
            </w:tcMar>
          </w:tcPr>
          <w:p>
            <w:pPr>
              <w:spacing w:before="0" w:after="0" w:line="240" w:lineRule="auto"/>
            </w:pPr>
            <w:r>
              <w:rPr>
                <w:rFonts w:ascii="Inter" w:hAnsi="Inter"/>
                <w:b w:val="0"/>
                <w:color w:val="172033"/>
                <w:sz w:val="15"/>
              </w:rPr>
              <w:t>Pending; Sent; Partially Sent; Failed; Cancelled; Expired</w:t>
            </w:r>
          </w:p>
        </w:tc>
        <w:tc>
          <w:tcPr>
            <w:tcW w:type="dxa" w:w="4104"/>
            <w:vAlign w:val="center"/>
            <w:tcMar>
              <w:top w:w="55" w:type="dxa"/>
              <w:start w:w="75" w:type="dxa"/>
              <w:bottom w:w="55" w:type="dxa"/>
              <w:end w:w="75" w:type="dxa"/>
            </w:tcMar>
          </w:tcPr>
          <w:p>
            <w:pPr>
              <w:spacing w:before="0" w:after="0" w:line="240" w:lineRule="auto"/>
            </w:pPr>
            <w:r>
              <w:rPr>
                <w:rFonts w:ascii="Inter" w:hAnsi="Inter"/>
                <w:b w:val="0"/>
                <w:color w:val="172033"/>
                <w:sz w:val="15"/>
              </w:rPr>
              <w:t>Sent proves system delivery attempt succeeded, not that recipient read the report.</w:t>
            </w:r>
          </w:p>
        </w:tc>
      </w:tr>
      <w:tr>
        <w:trPr>
          <w:cantSplit/>
        </w:trPr>
        <w:tc>
          <w:tcPr>
            <w:tcW w:type="dxa" w:w="208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Data Freshness</w:t>
            </w:r>
          </w:p>
        </w:tc>
        <w:tc>
          <w:tcPr>
            <w:tcW w:type="dxa" w:w="338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Current; Delayed; Stale; Snapshot; Unavailable</w:t>
            </w:r>
          </w:p>
        </w:tc>
        <w:tc>
          <w:tcPr>
            <w:tcW w:type="dxa" w:w="410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Freshness is disclosed when it affects interpretation or action.</w:t>
            </w:r>
          </w:p>
        </w:tc>
      </w:tr>
      <w:tr>
        <w:trPr>
          <w:cantSplit/>
        </w:trPr>
        <w:tc>
          <w:tcPr>
            <w:tcW w:type="dxa" w:w="2088"/>
            <w:vAlign w:val="center"/>
            <w:tcMar>
              <w:top w:w="55" w:type="dxa"/>
              <w:start w:w="75" w:type="dxa"/>
              <w:bottom w:w="55" w:type="dxa"/>
              <w:end w:w="75" w:type="dxa"/>
            </w:tcMar>
          </w:tcPr>
          <w:p>
            <w:pPr>
              <w:spacing w:before="0" w:after="0" w:line="240" w:lineRule="auto"/>
            </w:pPr>
            <w:r>
              <w:rPr>
                <w:rFonts w:ascii="Inter" w:hAnsi="Inter"/>
                <w:b w:val="0"/>
                <w:color w:val="172033"/>
                <w:sz w:val="15"/>
              </w:rPr>
              <w:t>Management Pack</w:t>
            </w:r>
          </w:p>
        </w:tc>
        <w:tc>
          <w:tcPr>
            <w:tcW w:type="dxa" w:w="3384"/>
            <w:vAlign w:val="center"/>
            <w:tcMar>
              <w:top w:w="55" w:type="dxa"/>
              <w:start w:w="75" w:type="dxa"/>
              <w:bottom w:w="55" w:type="dxa"/>
              <w:end w:w="75" w:type="dxa"/>
            </w:tcMar>
          </w:tcPr>
          <w:p>
            <w:pPr>
              <w:spacing w:before="0" w:after="0" w:line="240" w:lineRule="auto"/>
            </w:pPr>
            <w:r>
              <w:rPr>
                <w:rFonts w:ascii="Inter" w:hAnsi="Inter"/>
                <w:b w:val="0"/>
                <w:color w:val="172033"/>
                <w:sz w:val="15"/>
              </w:rPr>
              <w:t>Draft; Generated; Reviewed; Published; Superseded; Archived</w:t>
            </w:r>
          </w:p>
        </w:tc>
        <w:tc>
          <w:tcPr>
            <w:tcW w:type="dxa" w:w="4104"/>
            <w:vAlign w:val="center"/>
            <w:tcMar>
              <w:top w:w="55" w:type="dxa"/>
              <w:start w:w="75" w:type="dxa"/>
              <w:bottom w:w="55" w:type="dxa"/>
              <w:end w:w="75" w:type="dxa"/>
            </w:tcMar>
          </w:tcPr>
          <w:p>
            <w:pPr>
              <w:spacing w:before="0" w:after="0" w:line="240" w:lineRule="auto"/>
            </w:pPr>
            <w:r>
              <w:rPr>
                <w:rFonts w:ascii="Inter" w:hAnsi="Inter"/>
                <w:b w:val="0"/>
                <w:color w:val="172033"/>
                <w:sz w:val="15"/>
              </w:rPr>
              <w:t>Published pack is immutable; revision creates a superseding pack.</w:t>
            </w:r>
          </w:p>
        </w:tc>
      </w:tr>
    </w:tbl>
    <w:p>
      <w:pPr>
        <w:spacing w:after="80" w:line="259" w:lineRule="auto"/>
      </w:pPr>
    </w:p>
    <w:p>
      <w:pPr>
        <w:pStyle w:val="Heading2"/>
        <w:keepNext/>
      </w:pPr>
      <w:r>
        <w:t>11.5 Exception and Recovery Paths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316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Condition</w:t>
            </w:r>
          </w:p>
        </w:tc>
        <w:tc>
          <w:tcPr>
            <w:tcW w:type="dxa" w:w="640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Required handling</w:t>
            </w:r>
          </w:p>
        </w:tc>
      </w:tr>
      <w:tr>
        <w:trPr>
          <w:cantSplit/>
        </w:trPr>
        <w:tc>
          <w:tcPr>
            <w:tcW w:type="dxa" w:w="3168"/>
            <w:vAlign w:val="center"/>
            <w:tcMar>
              <w:top w:w="55" w:type="dxa"/>
              <w:start w:w="75" w:type="dxa"/>
              <w:bottom w:w="55" w:type="dxa"/>
              <w:end w:w="75" w:type="dxa"/>
            </w:tcMar>
          </w:tcPr>
          <w:p>
            <w:pPr>
              <w:spacing w:before="0" w:after="0" w:line="240" w:lineRule="auto"/>
            </w:pPr>
            <w:r>
              <w:rPr>
                <w:rFonts w:ascii="Inter" w:hAnsi="Inter"/>
                <w:b w:val="0"/>
                <w:color w:val="172033"/>
                <w:sz w:val="15"/>
              </w:rPr>
              <w:t>Invalid or unauthorized parameter</w:t>
            </w:r>
          </w:p>
        </w:tc>
        <w:tc>
          <w:tcPr>
            <w:tcW w:type="dxa" w:w="6408"/>
            <w:vAlign w:val="center"/>
            <w:tcMar>
              <w:top w:w="55" w:type="dxa"/>
              <w:start w:w="75" w:type="dxa"/>
              <w:bottom w:w="55" w:type="dxa"/>
              <w:end w:w="75" w:type="dxa"/>
            </w:tcMar>
          </w:tcPr>
          <w:p>
            <w:pPr>
              <w:spacing w:before="0" w:after="0" w:line="240" w:lineRule="auto"/>
            </w:pPr>
            <w:r>
              <w:rPr>
                <w:rFonts w:ascii="Inter" w:hAnsi="Inter"/>
                <w:b w:val="0"/>
                <w:color w:val="172033"/>
                <w:sz w:val="15"/>
              </w:rPr>
              <w:t>Do not generate; preserve safe input and explain the field, permission, or scope issue.</w:t>
            </w:r>
          </w:p>
        </w:tc>
      </w:tr>
      <w:tr>
        <w:trPr>
          <w:cantSplit/>
        </w:trPr>
        <w:tc>
          <w:tcPr>
            <w:tcW w:type="dxa" w:w="316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Source service unavailable</w:t>
            </w:r>
          </w:p>
        </w:tc>
        <w:tc>
          <w:tcPr>
            <w:tcW w:type="dxa" w:w="640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Show source unavailable or delayed; do not display zero or stale data as current without disclosure.</w:t>
            </w:r>
          </w:p>
        </w:tc>
      </w:tr>
      <w:tr>
        <w:trPr>
          <w:cantSplit/>
        </w:trPr>
        <w:tc>
          <w:tcPr>
            <w:tcW w:type="dxa" w:w="3168"/>
            <w:vAlign w:val="center"/>
            <w:tcMar>
              <w:top w:w="55" w:type="dxa"/>
              <w:start w:w="75" w:type="dxa"/>
              <w:bottom w:w="55" w:type="dxa"/>
              <w:end w:w="75" w:type="dxa"/>
            </w:tcMar>
          </w:tcPr>
          <w:p>
            <w:pPr>
              <w:spacing w:before="0" w:after="0" w:line="240" w:lineRule="auto"/>
            </w:pPr>
            <w:r>
              <w:rPr>
                <w:rFonts w:ascii="Inter" w:hAnsi="Inter"/>
                <w:b w:val="0"/>
                <w:color w:val="172033"/>
                <w:sz w:val="15"/>
              </w:rPr>
              <w:t>Generation timeout or uncertain response</w:t>
            </w:r>
          </w:p>
        </w:tc>
        <w:tc>
          <w:tcPr>
            <w:tcW w:type="dxa" w:w="6408"/>
            <w:vAlign w:val="center"/>
            <w:tcMar>
              <w:top w:w="55" w:type="dxa"/>
              <w:start w:w="75" w:type="dxa"/>
              <w:bottom w:w="55" w:type="dxa"/>
              <w:end w:w="75" w:type="dxa"/>
            </w:tcMar>
          </w:tcPr>
          <w:p>
            <w:pPr>
              <w:spacing w:before="0" w:after="0" w:line="240" w:lineRule="auto"/>
            </w:pPr>
            <w:r>
              <w:rPr>
                <w:rFonts w:ascii="Inter" w:hAnsi="Inter"/>
                <w:b w:val="0"/>
                <w:color w:val="172033"/>
                <w:sz w:val="15"/>
              </w:rPr>
              <w:t>Check durable request status before retry; reuse idempotency identity.</w:t>
            </w:r>
          </w:p>
        </w:tc>
      </w:tr>
      <w:tr>
        <w:trPr>
          <w:cantSplit/>
        </w:trPr>
        <w:tc>
          <w:tcPr>
            <w:tcW w:type="dxa" w:w="316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Large result exceeds interactive limit</w:t>
            </w:r>
          </w:p>
        </w:tc>
        <w:tc>
          <w:tcPr>
            <w:tcW w:type="dxa" w:w="640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Offer governed asynchronous generation, narrower filters, summary view, or permitted export.</w:t>
            </w:r>
          </w:p>
        </w:tc>
      </w:tr>
      <w:tr>
        <w:trPr>
          <w:cantSplit/>
        </w:trPr>
        <w:tc>
          <w:tcPr>
            <w:tcW w:type="dxa" w:w="3168"/>
            <w:vAlign w:val="center"/>
            <w:tcMar>
              <w:top w:w="55" w:type="dxa"/>
              <w:start w:w="75" w:type="dxa"/>
              <w:bottom w:w="55" w:type="dxa"/>
              <w:end w:w="75" w:type="dxa"/>
            </w:tcMar>
          </w:tcPr>
          <w:p>
            <w:pPr>
              <w:spacing w:before="0" w:after="0" w:line="240" w:lineRule="auto"/>
            </w:pPr>
            <w:r>
              <w:rPr>
                <w:rFonts w:ascii="Inter" w:hAnsi="Inter"/>
                <w:b w:val="0"/>
                <w:color w:val="172033"/>
                <w:sz w:val="15"/>
              </w:rPr>
              <w:t>Definition changed during generation</w:t>
            </w:r>
          </w:p>
        </w:tc>
        <w:tc>
          <w:tcPr>
            <w:tcW w:type="dxa" w:w="6408"/>
            <w:vAlign w:val="center"/>
            <w:tcMar>
              <w:top w:w="55" w:type="dxa"/>
              <w:start w:w="75" w:type="dxa"/>
              <w:bottom w:w="55" w:type="dxa"/>
              <w:end w:w="75" w:type="dxa"/>
            </w:tcMar>
          </w:tcPr>
          <w:p>
            <w:pPr>
              <w:spacing w:before="0" w:after="0" w:line="240" w:lineRule="auto"/>
            </w:pPr>
            <w:r>
              <w:rPr>
                <w:rFonts w:ascii="Inter" w:hAnsi="Inter"/>
                <w:b w:val="0"/>
                <w:color w:val="172033"/>
                <w:sz w:val="15"/>
              </w:rPr>
              <w:t>Complete using the resolved version or restart explicitly; never mix versions in one output.</w:t>
            </w:r>
          </w:p>
        </w:tc>
      </w:tr>
      <w:tr>
        <w:trPr>
          <w:cantSplit/>
        </w:trPr>
        <w:tc>
          <w:tcPr>
            <w:tcW w:type="dxa" w:w="316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Permission revoked after schedule creation</w:t>
            </w:r>
          </w:p>
        </w:tc>
        <w:tc>
          <w:tcPr>
            <w:tcW w:type="dxa" w:w="640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Suspend or fail the run; do not deliver under obsolete authority.</w:t>
            </w:r>
          </w:p>
        </w:tc>
      </w:tr>
      <w:tr>
        <w:trPr>
          <w:cantSplit/>
        </w:trPr>
        <w:tc>
          <w:tcPr>
            <w:tcW w:type="dxa" w:w="3168"/>
            <w:vAlign w:val="center"/>
            <w:tcMar>
              <w:top w:w="55" w:type="dxa"/>
              <w:start w:w="75" w:type="dxa"/>
              <w:bottom w:w="55" w:type="dxa"/>
              <w:end w:w="75" w:type="dxa"/>
            </w:tcMar>
          </w:tcPr>
          <w:p>
            <w:pPr>
              <w:spacing w:before="0" w:after="0" w:line="240" w:lineRule="auto"/>
            </w:pPr>
            <w:r>
              <w:rPr>
                <w:rFonts w:ascii="Inter" w:hAnsi="Inter"/>
                <w:b w:val="0"/>
                <w:color w:val="172033"/>
                <w:sz w:val="15"/>
              </w:rPr>
              <w:t>One recipient delivery fails</w:t>
            </w:r>
          </w:p>
        </w:tc>
        <w:tc>
          <w:tcPr>
            <w:tcW w:type="dxa" w:w="6408"/>
            <w:vAlign w:val="center"/>
            <w:tcMar>
              <w:top w:w="55" w:type="dxa"/>
              <w:start w:w="75" w:type="dxa"/>
              <w:bottom w:w="55" w:type="dxa"/>
              <w:end w:w="75" w:type="dxa"/>
            </w:tcMar>
          </w:tcPr>
          <w:p>
            <w:pPr>
              <w:spacing w:before="0" w:after="0" w:line="240" w:lineRule="auto"/>
            </w:pPr>
            <w:r>
              <w:rPr>
                <w:rFonts w:ascii="Inter" w:hAnsi="Inter"/>
                <w:b w:val="0"/>
                <w:color w:val="172033"/>
                <w:sz w:val="15"/>
              </w:rPr>
              <w:t>Record partial success by recipient, retry safely, and notify the schedule owner.</w:t>
            </w:r>
          </w:p>
        </w:tc>
      </w:tr>
      <w:tr>
        <w:trPr>
          <w:cantSplit/>
        </w:trPr>
        <w:tc>
          <w:tcPr>
            <w:tcW w:type="dxa" w:w="316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Export expired</w:t>
            </w:r>
          </w:p>
        </w:tc>
        <w:tc>
          <w:tcPr>
            <w:tcW w:type="dxa" w:w="640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Allow authorized regeneration from the same definition/parameters when still permitted; do not expose the expired file.</w:t>
            </w:r>
          </w:p>
        </w:tc>
      </w:tr>
      <w:tr>
        <w:trPr>
          <w:cantSplit/>
        </w:trPr>
        <w:tc>
          <w:tcPr>
            <w:tcW w:type="dxa" w:w="3168"/>
            <w:vAlign w:val="center"/>
            <w:tcMar>
              <w:top w:w="55" w:type="dxa"/>
              <w:start w:w="75" w:type="dxa"/>
              <w:bottom w:w="55" w:type="dxa"/>
              <w:end w:w="75" w:type="dxa"/>
            </w:tcMar>
          </w:tcPr>
          <w:p>
            <w:pPr>
              <w:spacing w:before="0" w:after="0" w:line="240" w:lineRule="auto"/>
            </w:pPr>
            <w:r>
              <w:rPr>
                <w:rFonts w:ascii="Inter" w:hAnsi="Inter"/>
                <w:b w:val="0"/>
                <w:color w:val="172033"/>
                <w:sz w:val="15"/>
              </w:rPr>
              <w:t>Reconciliation variance</w:t>
            </w:r>
          </w:p>
        </w:tc>
        <w:tc>
          <w:tcPr>
            <w:tcW w:type="dxa" w:w="6408"/>
            <w:vAlign w:val="center"/>
            <w:tcMar>
              <w:top w:w="55" w:type="dxa"/>
              <w:start w:w="75" w:type="dxa"/>
              <w:bottom w:w="55" w:type="dxa"/>
              <w:end w:w="75" w:type="dxa"/>
            </w:tcMar>
          </w:tcPr>
          <w:p>
            <w:pPr>
              <w:spacing w:before="0" w:after="0" w:line="240" w:lineRule="auto"/>
            </w:pPr>
            <w:r>
              <w:rPr>
                <w:rFonts w:ascii="Inter" w:hAnsi="Inter"/>
                <w:b w:val="0"/>
                <w:color w:val="172033"/>
                <w:sz w:val="15"/>
              </w:rPr>
              <w:t>Identify source, definition, filter, timing, and control total; route to report owner or source module without altering transactions.</w:t>
            </w:r>
          </w:p>
        </w:tc>
      </w:tr>
      <w:tr>
        <w:trPr>
          <w:cantSplit/>
        </w:trPr>
        <w:tc>
          <w:tcPr>
            <w:tcW w:type="dxa" w:w="316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AI insight low confidence or unavailable</w:t>
            </w:r>
          </w:p>
        </w:tc>
        <w:tc>
          <w:tcPr>
            <w:tcW w:type="dxa" w:w="640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Show no insight or a qualified result; ordinary reporting remains available.</w:t>
            </w:r>
          </w:p>
        </w:tc>
      </w:tr>
    </w:tbl>
    <w:p>
      <w:pPr>
        <w:pStyle w:val="PartTitle"/>
        <w:pageBreakBefore/>
      </w:pPr>
      <w:r>
        <w:t>PART III</w:t>
      </w:r>
    </w:p>
    <w:p>
      <w:pPr>
        <w:pStyle w:val="PartName"/>
      </w:pPr>
      <w:r>
        <w:t>Integration and Information</w:t>
      </w:r>
    </w:p>
    <w:p>
      <w:pPr>
        <w:pStyle w:val="PartSubtitle"/>
      </w:pPr>
      <w:r>
        <w:t>Source contracts, report catalog, analytics, notifications, security, data entities, and edition behavior.</w:t>
      </w:r>
    </w:p>
    <w:p>
      <w:pPr>
        <w:pStyle w:val="Heading1"/>
        <w:keepNext/>
        <w:pageBreakBefore w:val="0"/>
      </w:pPr>
      <w:r>
        <w:t>12. Integration</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592"/>
            <w:shd w:fill="E7F0F8"/>
            <w:vAlign w:val="center"/>
            <w:tcMar>
              <w:top w:w="55" w:type="dxa"/>
              <w:start w:w="75" w:type="dxa"/>
              <w:bottom w:w="55" w:type="dxa"/>
              <w:end w:w="75" w:type="dxa"/>
            </w:tcMar>
          </w:tcPr>
          <w:p>
            <w:pPr>
              <w:spacing w:before="0" w:after="0" w:line="240" w:lineRule="auto"/>
            </w:pPr>
            <w:r>
              <w:rPr>
                <w:rFonts w:ascii="Inter" w:hAnsi="Inter"/>
                <w:b/>
                <w:color w:val="172033"/>
                <w:sz w:val="16"/>
              </w:rPr>
              <w:t>Module / service</w:t>
            </w:r>
          </w:p>
        </w:tc>
        <w:tc>
          <w:tcPr>
            <w:tcW w:type="dxa" w:w="6984"/>
            <w:shd w:fill="E7F0F8"/>
            <w:vAlign w:val="center"/>
            <w:tcMar>
              <w:top w:w="55" w:type="dxa"/>
              <w:start w:w="75" w:type="dxa"/>
              <w:bottom w:w="55" w:type="dxa"/>
              <w:end w:w="75" w:type="dxa"/>
            </w:tcMar>
          </w:tcPr>
          <w:p>
            <w:pPr>
              <w:spacing w:before="0" w:after="0" w:line="240" w:lineRule="auto"/>
            </w:pPr>
            <w:r>
              <w:rPr>
                <w:rFonts w:ascii="Inter" w:hAnsi="Inter"/>
                <w:b/>
                <w:color w:val="172033"/>
                <w:sz w:val="16"/>
              </w:rPr>
              <w:t>MDS-900 integration</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5"/>
              </w:rPr>
              <w:t>MDS-000 Core</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5"/>
              </w:rPr>
              <w:t>Uses identity, company context, permissions, entitlements, audit, notifications, attachments, export, observability, error, and shared processing services.</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MDS-100 Dashboard</w:t>
            </w:r>
          </w:p>
        </w:tc>
        <w:tc>
          <w:tcPr>
            <w:tcW w:type="dxa" w:w="698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Supplies governed report outputs, KPI definitions, comparisons, and destinations; Dashboard controls presentation only.</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5"/>
              </w:rPr>
              <w:t>MDS-200 Sales &amp; Receivables</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5"/>
              </w:rPr>
              <w:t>Consumes sales, revenue, receivable, return, adjustment, customer, product, and source-report contracts.</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MDS-300 Collections &amp; Receipts</w:t>
            </w:r>
          </w:p>
        </w:tc>
        <w:tc>
          <w:tcPr>
            <w:tcW w:type="dxa" w:w="698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Consumes collection, receipt, application, remittance, unapplied, and collection-history contracts.</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5"/>
              </w:rPr>
              <w:t>MDS-400 Purchases &amp; Payables</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5"/>
              </w:rPr>
              <w:t>Consumes purchase, supplier invoice, payable, due-date, supplier balance, and adjustment contracts.</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MDS-500 Payments &amp; Disbursements</w:t>
            </w:r>
          </w:p>
        </w:tc>
        <w:tc>
          <w:tcPr>
            <w:tcW w:type="dxa" w:w="698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Consumes outgoing payment, allocation, instrument, approval, confirmation, failure, void, and disbursement contracts.</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5"/>
              </w:rPr>
              <w:t>MDS-600 Inventory</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5"/>
              </w:rPr>
              <w:t>Consumes stock quantity, movement, availability, count, variance, cost, valuation, warehouse, and item contracts.</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MDS-700 Cash Accounts</w:t>
            </w:r>
          </w:p>
        </w:tc>
        <w:tc>
          <w:tcPr>
            <w:tcW w:type="dxa" w:w="698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Consumes account balance, movement, transfer, reconciliation, clearing, and cash-position contracts.</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5"/>
              </w:rPr>
              <w:t>MDS-800 Expenses</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5"/>
              </w:rPr>
              <w:t>Consumes expense recognition, account/category, evidence, allocation, obligation, payment status, credit, refund, and reversal contracts.</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MDS-1000 Master Registries</w:t>
            </w:r>
          </w:p>
        </w:tc>
        <w:tc>
          <w:tcPr>
            <w:tcW w:type="dxa" w:w="698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Consumes authoritative reporting dimensions and permitted labels; never creates duplicate masters.</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5"/>
              </w:rPr>
              <w:t>MDS-1100 Settings &amp; Administration</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5"/>
              </w:rPr>
              <w:t>Consumes reporting permissions, localization, paper/output formats, schedules, delivery, retention, plan entitlements, and integration settings.</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External BI / data services</w:t>
            </w:r>
          </w:p>
        </w:tc>
        <w:tc>
          <w:tcPr>
            <w:tcW w:type="dxa" w:w="698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Uses approved APIs, extracts, events, warehouse, or semantic contracts; never writes directly to operational tables or bypasses tenant scope.</w:t>
            </w:r>
          </w:p>
        </w:tc>
      </w:tr>
    </w:tbl>
    <w:p>
      <w:pPr>
        <w:spacing w:after="80" w:line="259" w:lineRule="auto"/>
      </w:pPr>
    </w:p>
    <w:p>
      <w:pPr>
        <w:pStyle w:val="Heading2"/>
        <w:keepNext/>
      </w:pPr>
      <w:r>
        <w:t>12.1 Source Query Contract</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44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Contract field</w:t>
            </w:r>
          </w:p>
        </w:tc>
        <w:tc>
          <w:tcPr>
            <w:tcW w:type="dxa" w:w="712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Required content</w:t>
            </w:r>
          </w:p>
        </w:tc>
      </w:tr>
      <w:tr>
        <w:trPr>
          <w:cantSplit/>
        </w:trPr>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5"/>
              </w:rPr>
              <w:t>Source identity</w:t>
            </w:r>
          </w:p>
        </w:tc>
        <w:tc>
          <w:tcPr>
            <w:tcW w:type="dxa" w:w="7128"/>
            <w:vAlign w:val="center"/>
            <w:tcMar>
              <w:top w:w="55" w:type="dxa"/>
              <w:start w:w="75" w:type="dxa"/>
              <w:bottom w:w="55" w:type="dxa"/>
              <w:end w:w="75" w:type="dxa"/>
            </w:tcMar>
          </w:tcPr>
          <w:p>
            <w:pPr>
              <w:spacing w:before="0" w:after="0" w:line="240" w:lineRule="auto"/>
            </w:pPr>
            <w:r>
              <w:rPr>
                <w:rFonts w:ascii="Inter" w:hAnsi="Inter"/>
                <w:b w:val="0"/>
                <w:color w:val="172033"/>
                <w:sz w:val="15"/>
              </w:rPr>
              <w:t>Owning module, query/measure ID, version, and responsible owner.</w:t>
            </w:r>
          </w:p>
        </w:tc>
      </w:tr>
      <w:tr>
        <w:trPr>
          <w:cantSplit/>
        </w:trPr>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Business meaning</w:t>
            </w:r>
          </w:p>
        </w:tc>
        <w:tc>
          <w:tcPr>
            <w:tcW w:type="dxa" w:w="712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Definition, included/excluded records, status basis, timing, signs, precision, rounding, and exception treatment.</w:t>
            </w:r>
          </w:p>
        </w:tc>
      </w:tr>
      <w:tr>
        <w:trPr>
          <w:cantSplit/>
        </w:trPr>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5"/>
              </w:rPr>
              <w:t>Scope</w:t>
            </w:r>
          </w:p>
        </w:tc>
        <w:tc>
          <w:tcPr>
            <w:tcW w:type="dxa" w:w="7128"/>
            <w:vAlign w:val="center"/>
            <w:tcMar>
              <w:top w:w="55" w:type="dxa"/>
              <w:start w:w="75" w:type="dxa"/>
              <w:bottom w:w="55" w:type="dxa"/>
              <w:end w:w="75" w:type="dxa"/>
            </w:tcMar>
          </w:tcPr>
          <w:p>
            <w:pPr>
              <w:spacing w:before="0" w:after="0" w:line="240" w:lineRule="auto"/>
            </w:pPr>
            <w:r>
              <w:rPr>
                <w:rFonts w:ascii="Inter" w:hAnsi="Inter"/>
                <w:b w:val="0"/>
                <w:color w:val="172033"/>
                <w:sz w:val="15"/>
              </w:rPr>
              <w:t>Company, branch, record scope, field scope, edition, period, currency, and enabled dimensions.</w:t>
            </w:r>
          </w:p>
        </w:tc>
      </w:tr>
      <w:tr>
        <w:trPr>
          <w:cantSplit/>
        </w:trPr>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Parameters</w:t>
            </w:r>
          </w:p>
        </w:tc>
        <w:tc>
          <w:tcPr>
            <w:tcW w:type="dxa" w:w="712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Allowed filters, defaults, dependencies, validation, null/all behavior, and maximum range.</w:t>
            </w:r>
          </w:p>
        </w:tc>
      </w:tr>
      <w:tr>
        <w:trPr>
          <w:cantSplit/>
        </w:trPr>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5"/>
              </w:rPr>
              <w:t>Output schema</w:t>
            </w:r>
          </w:p>
        </w:tc>
        <w:tc>
          <w:tcPr>
            <w:tcW w:type="dxa" w:w="7128"/>
            <w:vAlign w:val="center"/>
            <w:tcMar>
              <w:top w:w="55" w:type="dxa"/>
              <w:start w:w="75" w:type="dxa"/>
              <w:bottom w:w="55" w:type="dxa"/>
              <w:end w:w="75" w:type="dxa"/>
            </w:tcMar>
          </w:tcPr>
          <w:p>
            <w:pPr>
              <w:spacing w:before="0" w:after="0" w:line="240" w:lineRule="auto"/>
            </w:pPr>
            <w:r>
              <w:rPr>
                <w:rFonts w:ascii="Inter" w:hAnsi="Inter"/>
                <w:b w:val="0"/>
                <w:color w:val="172033"/>
                <w:sz w:val="15"/>
              </w:rPr>
              <w:t>Columns/measures, types, identifiers, labels, totals, paging, sort, and drill-down keys.</w:t>
            </w:r>
          </w:p>
        </w:tc>
      </w:tr>
      <w:tr>
        <w:trPr>
          <w:cantSplit/>
        </w:trPr>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Freshness</w:t>
            </w:r>
          </w:p>
        </w:tc>
        <w:tc>
          <w:tcPr>
            <w:tcW w:type="dxa" w:w="712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Source as-of time, update mechanism, delay tolerance, cache/projection version, and stale behavior.</w:t>
            </w:r>
          </w:p>
        </w:tc>
      </w:tr>
      <w:tr>
        <w:trPr>
          <w:cantSplit/>
        </w:trPr>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5"/>
              </w:rPr>
              <w:t>Security</w:t>
            </w:r>
          </w:p>
        </w:tc>
        <w:tc>
          <w:tcPr>
            <w:tcW w:type="dxa" w:w="7128"/>
            <w:vAlign w:val="center"/>
            <w:tcMar>
              <w:top w:w="55" w:type="dxa"/>
              <w:start w:w="75" w:type="dxa"/>
              <w:bottom w:w="55" w:type="dxa"/>
              <w:end w:w="75" w:type="dxa"/>
            </w:tcMar>
          </w:tcPr>
          <w:p>
            <w:pPr>
              <w:spacing w:before="0" w:after="0" w:line="240" w:lineRule="auto"/>
            </w:pPr>
            <w:r>
              <w:rPr>
                <w:rFonts w:ascii="Inter" w:hAnsi="Inter"/>
                <w:b w:val="0"/>
                <w:color w:val="172033"/>
                <w:sz w:val="15"/>
              </w:rPr>
              <w:t>Permission, row/record scope, field masking, sensitive aggregation, export, and delivery restrictions.</w:t>
            </w:r>
          </w:p>
        </w:tc>
      </w:tr>
      <w:tr>
        <w:trPr>
          <w:cantSplit/>
        </w:trPr>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Reconciliation</w:t>
            </w:r>
          </w:p>
        </w:tc>
        <w:tc>
          <w:tcPr>
            <w:tcW w:type="dxa" w:w="712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Control total, expected invariants, source destination, and variance investigation route.</w:t>
            </w:r>
          </w:p>
        </w:tc>
      </w:tr>
      <w:tr>
        <w:trPr>
          <w:cantSplit/>
        </w:trPr>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5"/>
              </w:rPr>
              <w:t>Performance</w:t>
            </w:r>
          </w:p>
        </w:tc>
        <w:tc>
          <w:tcPr>
            <w:tcW w:type="dxa" w:w="7128"/>
            <w:vAlign w:val="center"/>
            <w:tcMar>
              <w:top w:w="55" w:type="dxa"/>
              <w:start w:w="75" w:type="dxa"/>
              <w:bottom w:w="55" w:type="dxa"/>
              <w:end w:w="75" w:type="dxa"/>
            </w:tcMar>
          </w:tcPr>
          <w:p>
            <w:pPr>
              <w:spacing w:before="0" w:after="0" w:line="240" w:lineRule="auto"/>
            </w:pPr>
            <w:r>
              <w:rPr>
                <w:rFonts w:ascii="Inter" w:hAnsi="Inter"/>
                <w:b w:val="0"/>
                <w:color w:val="172033"/>
                <w:sz w:val="15"/>
              </w:rPr>
              <w:t>Expected volume, synchronous/asynchronous use, indexes/views/projections, limits, and timeout behavior.</w:t>
            </w:r>
          </w:p>
        </w:tc>
      </w:tr>
    </w:tbl>
    <w:p>
      <w:pPr>
        <w:spacing w:after="80" w:line="259" w:lineRule="auto"/>
      </w:pPr>
    </w:p>
    <w:tbl>
      <w:tblPr>
        <w:tblStyle w:val="TableGrid"/>
        <w:tblW w:type="auto" w:w="0"/>
        <w:jc w:val="center"/>
        <w:tblLayout w:type="fixed"/>
        <w:tblLook w:firstColumn="1" w:firstRow="1" w:lastColumn="0" w:lastRow="0" w:noHBand="0" w:noVBand="1" w:val="04A0"/>
      </w:tblPr>
      <w:tblGrid>
        <w:gridCol w:w="10262"/>
      </w:tblGrid>
      <w:tr>
        <w:tc>
          <w:tcPr>
            <w:tcW w:type="dxa" w:w="9576"/>
            <w:shd w:fill="E7F0F8"/>
            <w:tcBorders>
              <w:left w:val="single" w:sz="18" w:color="2F78B7"/>
              <w:top w:val="single" w:sz="4" w:color="B7C9DA"/>
              <w:bottom w:val="single" w:sz="4" w:color="B7C9DA"/>
              <w:right w:val="single" w:sz="4" w:color="B7C9DA"/>
            </w:tcBorders>
          </w:tcPr>
          <w:p>
            <w:pPr>
              <w:spacing w:after="0"/>
            </w:pPr>
            <w:r>
              <w:rPr>
                <w:rFonts w:ascii="Inter" w:hAnsi="Inter"/>
                <w:b/>
                <w:color w:val="1A2D44"/>
                <w:sz w:val="17"/>
              </w:rPr>
              <w:t xml:space="preserve">INTEGRATION RULE  </w:t>
            </w:r>
            <w:r>
              <w:rPr>
                <w:rFonts w:ascii="Inter" w:hAnsi="Inter"/>
                <w:color w:val="172033"/>
                <w:sz w:val="17"/>
              </w:rPr>
              <w:t>MDS-900 may use approved reporting views, projections, semantic models, caches, or a future warehouse, but each output remains traceable to governed source contracts and shall not become a competing business record.</w:t>
            </w:r>
          </w:p>
        </w:tc>
      </w:tr>
    </w:tbl>
    <w:p>
      <w:pPr>
        <w:spacing w:after="80" w:line="259" w:lineRule="auto"/>
      </w:pPr>
    </w:p>
    <w:p>
      <w:pPr>
        <w:pStyle w:val="Heading1"/>
        <w:keepNext/>
        <w:pageBreakBefore w:val="0"/>
      </w:pPr>
      <w:r>
        <w:t>13. Reports and Analytics</w:t>
      </w:r>
    </w:p>
    <w:p>
      <w:pPr>
        <w:spacing w:after="80" w:line="259" w:lineRule="auto"/>
      </w:pPr>
      <w:r>
        <w:rPr>
          <w:rFonts w:ascii="Inter" w:hAnsi="Inter"/>
          <w:color w:val="172033"/>
          <w:sz w:val="18"/>
        </w:rPr>
        <w:t>This section defines the initial report catalog and the shared analytics responsibilities of MDS-900. Final availability depends on source-module readiness, accounting scope, edition, jurisdiction, and approved report definitions.</w:t>
      </w:r>
    </w:p>
    <w:p>
      <w:pPr>
        <w:pStyle w:val="Heading2"/>
        <w:keepNext/>
      </w:pPr>
      <w:r>
        <w:t>13.1 Initial Report Categories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44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Category</w:t>
            </w:r>
          </w:p>
        </w:tc>
        <w:tc>
          <w:tcPr>
            <w:tcW w:type="dxa" w:w="712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Representative reports</w:t>
            </w:r>
          </w:p>
        </w:tc>
      </w:tr>
      <w:tr>
        <w:trPr>
          <w:cantSplit/>
        </w:trPr>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4"/>
              </w:rPr>
              <w:t>Financial &amp; Performance</w:t>
            </w:r>
          </w:p>
        </w:tc>
        <w:tc>
          <w:tcPr>
            <w:tcW w:type="dxa" w:w="7128"/>
            <w:vAlign w:val="center"/>
            <w:tcMar>
              <w:top w:w="55" w:type="dxa"/>
              <w:start w:w="75" w:type="dxa"/>
              <w:bottom w:w="55" w:type="dxa"/>
              <w:end w:w="75" w:type="dxa"/>
            </w:tcMar>
          </w:tcPr>
          <w:p>
            <w:pPr>
              <w:spacing w:before="0" w:after="0" w:line="240" w:lineRule="auto"/>
            </w:pPr>
            <w:r>
              <w:rPr>
                <w:rFonts w:ascii="Inter" w:hAnsi="Inter"/>
                <w:b w:val="0"/>
                <w:color w:val="172033"/>
                <w:sz w:val="14"/>
              </w:rPr>
              <w:t>Profit or Loss; Statement of Financial Position; Cash Flow; Trial Balance; Sales &amp; Profit; Gross Margin; Expense Analysis; financial statements when supported.</w:t>
            </w:r>
          </w:p>
        </w:tc>
      </w:tr>
      <w:tr>
        <w:trPr>
          <w:cantSplit/>
        </w:trPr>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Sales &amp; Receivables</w:t>
            </w:r>
          </w:p>
        </w:tc>
        <w:tc>
          <w:tcPr>
            <w:tcW w:type="dxa" w:w="712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Sales Register; Sales by Product/Customer/Period; Returns; Discounts; Receivable Aging; Customer Balances; Billing; Overdue Receivables.</w:t>
            </w:r>
          </w:p>
        </w:tc>
      </w:tr>
      <w:tr>
        <w:trPr>
          <w:cantSplit/>
        </w:trPr>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4"/>
              </w:rPr>
              <w:t>Collections &amp; Receipts</w:t>
            </w:r>
          </w:p>
        </w:tc>
        <w:tc>
          <w:tcPr>
            <w:tcW w:type="dxa" w:w="7128"/>
            <w:vAlign w:val="center"/>
            <w:tcMar>
              <w:top w:w="55" w:type="dxa"/>
              <w:start w:w="75" w:type="dxa"/>
              <w:bottom w:w="55" w:type="dxa"/>
              <w:end w:w="75" w:type="dxa"/>
            </w:tcMar>
          </w:tcPr>
          <w:p>
            <w:pPr>
              <w:spacing w:before="0" w:after="0" w:line="240" w:lineRule="auto"/>
            </w:pPr>
            <w:r>
              <w:rPr>
                <w:rFonts w:ascii="Inter" w:hAnsi="Inter"/>
                <w:b w:val="0"/>
                <w:color w:val="172033"/>
                <w:sz w:val="14"/>
              </w:rPr>
              <w:t>Receipt Register; Collections by Period/Collector/Method; Unapplied Receipts; Remittance; Collection History; Failed/Returned Receipts.</w:t>
            </w:r>
          </w:p>
        </w:tc>
      </w:tr>
      <w:tr>
        <w:trPr>
          <w:cantSplit/>
        </w:trPr>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Purchases &amp; Payables</w:t>
            </w:r>
          </w:p>
        </w:tc>
        <w:tc>
          <w:tcPr>
            <w:tcW w:type="dxa" w:w="712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Purchase Register; Purchases by Supplier/Product; Payable Aging; Supplier Balances; Due for Payment; Purchase Returns and Adjustments.</w:t>
            </w:r>
          </w:p>
        </w:tc>
      </w:tr>
      <w:tr>
        <w:trPr>
          <w:cantSplit/>
        </w:trPr>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4"/>
              </w:rPr>
              <w:t>Payments &amp; Disbursements</w:t>
            </w:r>
          </w:p>
        </w:tc>
        <w:tc>
          <w:tcPr>
            <w:tcW w:type="dxa" w:w="7128"/>
            <w:vAlign w:val="center"/>
            <w:tcMar>
              <w:top w:w="55" w:type="dxa"/>
              <w:start w:w="75" w:type="dxa"/>
              <w:bottom w:w="55" w:type="dxa"/>
              <w:end w:w="75" w:type="dxa"/>
            </w:tcMar>
          </w:tcPr>
          <w:p>
            <w:pPr>
              <w:spacing w:before="0" w:after="0" w:line="240" w:lineRule="auto"/>
            </w:pPr>
            <w:r>
              <w:rPr>
                <w:rFonts w:ascii="Inter" w:hAnsi="Inter"/>
                <w:b w:val="0"/>
                <w:color w:val="172033"/>
                <w:sz w:val="14"/>
              </w:rPr>
              <w:t>Payment Register; Disbursements by Method/Payee/Cash Account; Scheduled/Failed/Void Payments; Check Register; Approval and Allocation Analysis.</w:t>
            </w:r>
          </w:p>
        </w:tc>
      </w:tr>
      <w:tr>
        <w:trPr>
          <w:cantSplit/>
        </w:trPr>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Inventory</w:t>
            </w:r>
          </w:p>
        </w:tc>
        <w:tc>
          <w:tcPr>
            <w:tcW w:type="dxa" w:w="712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Stock Availability; Low/Out of Stock; Stock Card; Movement Register; Count Variance; Inventory Valuation; Slow/Fast Moving; Turnover.</w:t>
            </w:r>
          </w:p>
        </w:tc>
      </w:tr>
      <w:tr>
        <w:trPr>
          <w:cantSplit/>
        </w:trPr>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4"/>
              </w:rPr>
              <w:t>Cash Accounts</w:t>
            </w:r>
          </w:p>
        </w:tc>
        <w:tc>
          <w:tcPr>
            <w:tcW w:type="dxa" w:w="7128"/>
            <w:vAlign w:val="center"/>
            <w:tcMar>
              <w:top w:w="55" w:type="dxa"/>
              <w:start w:w="75" w:type="dxa"/>
              <w:bottom w:w="55" w:type="dxa"/>
              <w:end w:w="75" w:type="dxa"/>
            </w:tcMar>
          </w:tcPr>
          <w:p>
            <w:pPr>
              <w:spacing w:before="0" w:after="0" w:line="240" w:lineRule="auto"/>
            </w:pPr>
            <w:r>
              <w:rPr>
                <w:rFonts w:ascii="Inter" w:hAnsi="Inter"/>
                <w:b w:val="0"/>
                <w:color w:val="172033"/>
                <w:sz w:val="14"/>
              </w:rPr>
              <w:t>Cash Position; Cash Account Ledger; Cash Movement; Transfers; Deposits/Withdrawals; Reconciliation; Unreconciled Items; Custody Variance.</w:t>
            </w:r>
          </w:p>
        </w:tc>
      </w:tr>
      <w:tr>
        <w:trPr>
          <w:cantSplit/>
        </w:trPr>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Expenses</w:t>
            </w:r>
          </w:p>
        </w:tc>
        <w:tc>
          <w:tcPr>
            <w:tcW w:type="dxa" w:w="712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Expense Register; Expense by Account/Category/Payee/Period; Unpaid Expenses; Missing Evidence; Reimbursements; Recurring Expenses; Credits/Refunds.</w:t>
            </w:r>
          </w:p>
        </w:tc>
      </w:tr>
      <w:tr>
        <w:trPr>
          <w:cantSplit/>
        </w:trPr>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4"/>
              </w:rPr>
              <w:t>Management &amp; Analytics</w:t>
            </w:r>
          </w:p>
        </w:tc>
        <w:tc>
          <w:tcPr>
            <w:tcW w:type="dxa" w:w="7128"/>
            <w:vAlign w:val="center"/>
            <w:tcMar>
              <w:top w:w="55" w:type="dxa"/>
              <w:start w:w="75" w:type="dxa"/>
              <w:bottom w:w="55" w:type="dxa"/>
              <w:end w:w="75" w:type="dxa"/>
            </w:tcMar>
          </w:tcPr>
          <w:p>
            <w:pPr>
              <w:spacing w:before="0" w:after="0" w:line="240" w:lineRule="auto"/>
            </w:pPr>
            <w:r>
              <w:rPr>
                <w:rFonts w:ascii="Inter" w:hAnsi="Inter"/>
                <w:b w:val="0"/>
                <w:color w:val="172033"/>
                <w:sz w:val="14"/>
              </w:rPr>
              <w:t>Business Performance; Working Capital; Cash Conversion; Trend and Comparison; KPI Scorecard; Monthly Management Pack.</w:t>
            </w:r>
          </w:p>
        </w:tc>
      </w:tr>
      <w:tr>
        <w:trPr>
          <w:cantSplit/>
        </w:trPr>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Audit, Control &amp; Administration</w:t>
            </w:r>
          </w:p>
        </w:tc>
        <w:tc>
          <w:tcPr>
            <w:tcW w:type="dxa" w:w="712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Voided/Reversed Records; Approval History; Export/Delivery History; User Activity; Access and Configuration Changes; Exception Reports.</w:t>
            </w:r>
          </w:p>
        </w:tc>
      </w:tr>
    </w:tbl>
    <w:p>
      <w:pPr>
        <w:spacing w:after="80" w:line="259" w:lineRule="auto"/>
      </w:pPr>
    </w:p>
    <w:p>
      <w:pPr>
        <w:pStyle w:val="Heading2"/>
        <w:keepNext/>
      </w:pPr>
      <w:r>
        <w:t>13.2 Core Report Definition Requirements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376"/>
            <w:shd w:fill="E7F0F8"/>
            <w:vAlign w:val="center"/>
            <w:tcMar>
              <w:top w:w="55" w:type="dxa"/>
              <w:start w:w="75" w:type="dxa"/>
              <w:bottom w:w="55" w:type="dxa"/>
              <w:end w:w="75" w:type="dxa"/>
            </w:tcMar>
          </w:tcPr>
          <w:p>
            <w:pPr>
              <w:spacing w:before="0" w:after="0" w:line="240" w:lineRule="auto"/>
            </w:pPr>
            <w:r>
              <w:rPr>
                <w:rFonts w:ascii="Inter" w:hAnsi="Inter"/>
                <w:b/>
                <w:color w:val="172033"/>
                <w:sz w:val="16"/>
              </w:rPr>
              <w:t>Definition area</w:t>
            </w:r>
          </w:p>
        </w:tc>
        <w:tc>
          <w:tcPr>
            <w:tcW w:type="dxa" w:w="720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Required content</w:t>
            </w:r>
          </w:p>
        </w:tc>
      </w:tr>
      <w:tr>
        <w:trPr>
          <w:cantSplit/>
        </w:trPr>
        <w:tc>
          <w:tcPr>
            <w:tcW w:type="dxa" w:w="2376"/>
            <w:vAlign w:val="center"/>
            <w:tcMar>
              <w:top w:w="55" w:type="dxa"/>
              <w:start w:w="75" w:type="dxa"/>
              <w:bottom w:w="55" w:type="dxa"/>
              <w:end w:w="75" w:type="dxa"/>
            </w:tcMar>
          </w:tcPr>
          <w:p>
            <w:pPr>
              <w:spacing w:before="0" w:after="0" w:line="240" w:lineRule="auto"/>
            </w:pPr>
            <w:r>
              <w:rPr>
                <w:rFonts w:ascii="Inter" w:hAnsi="Inter"/>
                <w:b w:val="0"/>
                <w:color w:val="172033"/>
                <w:sz w:val="15"/>
              </w:rPr>
              <w:t>Business purpose</w:t>
            </w:r>
          </w:p>
        </w:tc>
        <w:tc>
          <w:tcPr>
            <w:tcW w:type="dxa" w:w="7200"/>
            <w:vAlign w:val="center"/>
            <w:tcMar>
              <w:top w:w="55" w:type="dxa"/>
              <w:start w:w="75" w:type="dxa"/>
              <w:bottom w:w="55" w:type="dxa"/>
              <w:end w:w="75" w:type="dxa"/>
            </w:tcMar>
          </w:tcPr>
          <w:p>
            <w:pPr>
              <w:spacing w:before="0" w:after="0" w:line="240" w:lineRule="auto"/>
            </w:pPr>
            <w:r>
              <w:rPr>
                <w:rFonts w:ascii="Inter" w:hAnsi="Inter"/>
                <w:b w:val="0"/>
                <w:color w:val="172033"/>
                <w:sz w:val="15"/>
              </w:rPr>
              <w:t>Question answered, intended user, decision supported, limitations, and owner.</w:t>
            </w:r>
          </w:p>
        </w:tc>
      </w:tr>
      <w:tr>
        <w:trPr>
          <w:cantSplit/>
        </w:trPr>
        <w:tc>
          <w:tcPr>
            <w:tcW w:type="dxa" w:w="2376"/>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Population</w:t>
            </w:r>
          </w:p>
        </w:tc>
        <w:tc>
          <w:tcPr>
            <w:tcW w:type="dxa" w:w="720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Included and excluded modules, document types, statuses, dates, parties, accounts, and exceptional records.</w:t>
            </w:r>
          </w:p>
        </w:tc>
      </w:tr>
      <w:tr>
        <w:trPr>
          <w:cantSplit/>
        </w:trPr>
        <w:tc>
          <w:tcPr>
            <w:tcW w:type="dxa" w:w="2376"/>
            <w:vAlign w:val="center"/>
            <w:tcMar>
              <w:top w:w="55" w:type="dxa"/>
              <w:start w:w="75" w:type="dxa"/>
              <w:bottom w:w="55" w:type="dxa"/>
              <w:end w:w="75" w:type="dxa"/>
            </w:tcMar>
          </w:tcPr>
          <w:p>
            <w:pPr>
              <w:spacing w:before="0" w:after="0" w:line="240" w:lineRule="auto"/>
            </w:pPr>
            <w:r>
              <w:rPr>
                <w:rFonts w:ascii="Inter" w:hAnsi="Inter"/>
                <w:b w:val="0"/>
                <w:color w:val="172033"/>
                <w:sz w:val="15"/>
              </w:rPr>
              <w:t>Calculation</w:t>
            </w:r>
          </w:p>
        </w:tc>
        <w:tc>
          <w:tcPr>
            <w:tcW w:type="dxa" w:w="7200"/>
            <w:vAlign w:val="center"/>
            <w:tcMar>
              <w:top w:w="55" w:type="dxa"/>
              <w:start w:w="75" w:type="dxa"/>
              <w:bottom w:w="55" w:type="dxa"/>
              <w:end w:w="75" w:type="dxa"/>
            </w:tcMar>
          </w:tcPr>
          <w:p>
            <w:pPr>
              <w:spacing w:before="0" w:after="0" w:line="240" w:lineRule="auto"/>
            </w:pPr>
            <w:r>
              <w:rPr>
                <w:rFonts w:ascii="Inter" w:hAnsi="Inter"/>
                <w:b w:val="0"/>
                <w:color w:val="172033"/>
                <w:sz w:val="15"/>
              </w:rPr>
              <w:t>Formula, signs, debit/credit treatment, quantities, costs, currency, tax, rounding, and aggregation.</w:t>
            </w:r>
          </w:p>
        </w:tc>
      </w:tr>
      <w:tr>
        <w:trPr>
          <w:cantSplit/>
        </w:trPr>
        <w:tc>
          <w:tcPr>
            <w:tcW w:type="dxa" w:w="2376"/>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Period basis</w:t>
            </w:r>
          </w:p>
        </w:tc>
        <w:tc>
          <w:tcPr>
            <w:tcW w:type="dxa" w:w="720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Transaction date, business date, posting date, due date, clearing date, as-of date, fiscal period, and comparison logic.</w:t>
            </w:r>
          </w:p>
        </w:tc>
      </w:tr>
      <w:tr>
        <w:trPr>
          <w:cantSplit/>
        </w:trPr>
        <w:tc>
          <w:tcPr>
            <w:tcW w:type="dxa" w:w="2376"/>
            <w:vAlign w:val="center"/>
            <w:tcMar>
              <w:top w:w="55" w:type="dxa"/>
              <w:start w:w="75" w:type="dxa"/>
              <w:bottom w:w="55" w:type="dxa"/>
              <w:end w:w="75" w:type="dxa"/>
            </w:tcMar>
          </w:tcPr>
          <w:p>
            <w:pPr>
              <w:spacing w:before="0" w:after="0" w:line="240" w:lineRule="auto"/>
            </w:pPr>
            <w:r>
              <w:rPr>
                <w:rFonts w:ascii="Inter" w:hAnsi="Inter"/>
                <w:b w:val="0"/>
                <w:color w:val="172033"/>
                <w:sz w:val="15"/>
              </w:rPr>
              <w:t>Parameters</w:t>
            </w:r>
          </w:p>
        </w:tc>
        <w:tc>
          <w:tcPr>
            <w:tcW w:type="dxa" w:w="7200"/>
            <w:vAlign w:val="center"/>
            <w:tcMar>
              <w:top w:w="55" w:type="dxa"/>
              <w:start w:w="75" w:type="dxa"/>
              <w:bottom w:w="55" w:type="dxa"/>
              <w:end w:w="75" w:type="dxa"/>
            </w:tcMar>
          </w:tcPr>
          <w:p>
            <w:pPr>
              <w:spacing w:before="0" w:after="0" w:line="240" w:lineRule="auto"/>
            </w:pPr>
            <w:r>
              <w:rPr>
                <w:rFonts w:ascii="Inter" w:hAnsi="Inter"/>
                <w:b w:val="0"/>
                <w:color w:val="172033"/>
                <w:sz w:val="15"/>
              </w:rPr>
              <w:t>Required/default filters, valid combinations, all/null behavior, scope, and range limits.</w:t>
            </w:r>
          </w:p>
        </w:tc>
      </w:tr>
      <w:tr>
        <w:trPr>
          <w:cantSplit/>
        </w:trPr>
        <w:tc>
          <w:tcPr>
            <w:tcW w:type="dxa" w:w="2376"/>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Presentation</w:t>
            </w:r>
          </w:p>
        </w:tc>
        <w:tc>
          <w:tcPr>
            <w:tcW w:type="dxa" w:w="720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Columns, groups, subtotals, totals, charts, labels, negative format, ordering, and accessible alternative.</w:t>
            </w:r>
          </w:p>
        </w:tc>
      </w:tr>
      <w:tr>
        <w:trPr>
          <w:cantSplit/>
        </w:trPr>
        <w:tc>
          <w:tcPr>
            <w:tcW w:type="dxa" w:w="2376"/>
            <w:vAlign w:val="center"/>
            <w:tcMar>
              <w:top w:w="55" w:type="dxa"/>
              <w:start w:w="75" w:type="dxa"/>
              <w:bottom w:w="55" w:type="dxa"/>
              <w:end w:w="75" w:type="dxa"/>
            </w:tcMar>
          </w:tcPr>
          <w:p>
            <w:pPr>
              <w:spacing w:before="0" w:after="0" w:line="240" w:lineRule="auto"/>
            </w:pPr>
            <w:r>
              <w:rPr>
                <w:rFonts w:ascii="Inter" w:hAnsi="Inter"/>
                <w:b w:val="0"/>
                <w:color w:val="172033"/>
                <w:sz w:val="15"/>
              </w:rPr>
              <w:t>Security</w:t>
            </w:r>
          </w:p>
        </w:tc>
        <w:tc>
          <w:tcPr>
            <w:tcW w:type="dxa" w:w="7200"/>
            <w:vAlign w:val="center"/>
            <w:tcMar>
              <w:top w:w="55" w:type="dxa"/>
              <w:start w:w="75" w:type="dxa"/>
              <w:bottom w:w="55" w:type="dxa"/>
              <w:end w:w="75" w:type="dxa"/>
            </w:tcMar>
          </w:tcPr>
          <w:p>
            <w:pPr>
              <w:spacing w:before="0" w:after="0" w:line="240" w:lineRule="auto"/>
            </w:pPr>
            <w:r>
              <w:rPr>
                <w:rFonts w:ascii="Inter" w:hAnsi="Inter"/>
                <w:b w:val="0"/>
                <w:color w:val="172033"/>
                <w:sz w:val="15"/>
              </w:rPr>
              <w:t>Permission, row scope, field scope, sensitive totals, export, print, schedule, and delivery restrictions.</w:t>
            </w:r>
          </w:p>
        </w:tc>
      </w:tr>
      <w:tr>
        <w:trPr>
          <w:cantSplit/>
        </w:trPr>
        <w:tc>
          <w:tcPr>
            <w:tcW w:type="dxa" w:w="2376"/>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Traceability</w:t>
            </w:r>
          </w:p>
        </w:tc>
        <w:tc>
          <w:tcPr>
            <w:tcW w:type="dxa" w:w="720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Source contract, drill-down, control total, definition version, test cases, and change history.</w:t>
            </w:r>
          </w:p>
        </w:tc>
      </w:tr>
    </w:tbl>
    <w:p>
      <w:pPr>
        <w:spacing w:after="80" w:line="259" w:lineRule="auto"/>
      </w:pPr>
    </w:p>
    <w:p>
      <w:pPr>
        <w:pStyle w:val="Heading2"/>
        <w:keepNext/>
      </w:pPr>
      <w:r>
        <w:t>13.3 Analytics and KPI Framework</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44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Analytics type</w:t>
            </w:r>
          </w:p>
        </w:tc>
        <w:tc>
          <w:tcPr>
            <w:tcW w:type="dxa" w:w="712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Required design</w:t>
            </w:r>
          </w:p>
        </w:tc>
      </w:tr>
      <w:tr>
        <w:trPr>
          <w:cantSplit/>
        </w:trPr>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5"/>
              </w:rPr>
              <w:t>Trend</w:t>
            </w:r>
          </w:p>
        </w:tc>
        <w:tc>
          <w:tcPr>
            <w:tcW w:type="dxa" w:w="7128"/>
            <w:vAlign w:val="center"/>
            <w:tcMar>
              <w:top w:w="55" w:type="dxa"/>
              <w:start w:w="75" w:type="dxa"/>
              <w:bottom w:w="55" w:type="dxa"/>
              <w:end w:w="75" w:type="dxa"/>
            </w:tcMar>
          </w:tcPr>
          <w:p>
            <w:pPr>
              <w:spacing w:before="0" w:after="0" w:line="240" w:lineRule="auto"/>
            </w:pPr>
            <w:r>
              <w:rPr>
                <w:rFonts w:ascii="Inter" w:hAnsi="Inter"/>
                <w:b w:val="0"/>
                <w:color w:val="172033"/>
                <w:sz w:val="15"/>
              </w:rPr>
              <w:t>Time grain, baseline, seasonality awareness, missing periods, definition consistency, and change direction.</w:t>
            </w:r>
          </w:p>
        </w:tc>
      </w:tr>
      <w:tr>
        <w:trPr>
          <w:cantSplit/>
        </w:trPr>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Comparison</w:t>
            </w:r>
          </w:p>
        </w:tc>
        <w:tc>
          <w:tcPr>
            <w:tcW w:type="dxa" w:w="712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Current versus prior period/year, target, budget, benchmark, branch, product, customer, supplier, category, or other governed dimension.</w:t>
            </w:r>
          </w:p>
        </w:tc>
      </w:tr>
      <w:tr>
        <w:trPr>
          <w:cantSplit/>
        </w:trPr>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5"/>
              </w:rPr>
              <w:t>Aging</w:t>
            </w:r>
          </w:p>
        </w:tc>
        <w:tc>
          <w:tcPr>
            <w:tcW w:type="dxa" w:w="7128"/>
            <w:vAlign w:val="center"/>
            <w:tcMar>
              <w:top w:w="55" w:type="dxa"/>
              <w:start w:w="75" w:type="dxa"/>
              <w:bottom w:w="55" w:type="dxa"/>
              <w:end w:w="75" w:type="dxa"/>
            </w:tcMar>
          </w:tcPr>
          <w:p>
            <w:pPr>
              <w:spacing w:before="0" w:after="0" w:line="240" w:lineRule="auto"/>
            </w:pPr>
            <w:r>
              <w:rPr>
                <w:rFonts w:ascii="Inter" w:hAnsi="Inter"/>
                <w:b w:val="0"/>
                <w:color w:val="172033"/>
                <w:sz w:val="15"/>
              </w:rPr>
              <w:t>As-of date, due-date source, bucket definitions, unapplied/credit treatment, disputed items, and currency.</w:t>
            </w:r>
          </w:p>
        </w:tc>
      </w:tr>
      <w:tr>
        <w:trPr>
          <w:cantSplit/>
        </w:trPr>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Margin</w:t>
            </w:r>
          </w:p>
        </w:tc>
        <w:tc>
          <w:tcPr>
            <w:tcW w:type="dxa" w:w="712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Revenue, discount, return, cost source, timing, allocation, sign, and treatment of missing cost.</w:t>
            </w:r>
          </w:p>
        </w:tc>
      </w:tr>
      <w:tr>
        <w:trPr>
          <w:cantSplit/>
        </w:trPr>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5"/>
              </w:rPr>
              <w:t>Exception</w:t>
            </w:r>
          </w:p>
        </w:tc>
        <w:tc>
          <w:tcPr>
            <w:tcW w:type="dxa" w:w="7128"/>
            <w:vAlign w:val="center"/>
            <w:tcMar>
              <w:top w:w="55" w:type="dxa"/>
              <w:start w:w="75" w:type="dxa"/>
              <w:bottom w:w="55" w:type="dxa"/>
              <w:end w:w="75" w:type="dxa"/>
            </w:tcMar>
          </w:tcPr>
          <w:p>
            <w:pPr>
              <w:spacing w:before="0" w:after="0" w:line="240" w:lineRule="auto"/>
            </w:pPr>
            <w:r>
              <w:rPr>
                <w:rFonts w:ascii="Inter" w:hAnsi="Inter"/>
                <w:b w:val="0"/>
                <w:color w:val="172033"/>
                <w:sz w:val="15"/>
              </w:rPr>
              <w:t>Threshold, rule, severity, owner, source records, resolution route, and refresh behavior.</w:t>
            </w:r>
          </w:p>
        </w:tc>
      </w:tr>
      <w:tr>
        <w:trPr>
          <w:cantSplit/>
        </w:trPr>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Forecast / prediction</w:t>
            </w:r>
          </w:p>
        </w:tc>
        <w:tc>
          <w:tcPr>
            <w:tcW w:type="dxa" w:w="712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Training/source window, assumptions, horizon, confidence, scenario, exclusions, limitations, and human interpretation.</w:t>
            </w:r>
          </w:p>
        </w:tc>
      </w:tr>
      <w:tr>
        <w:trPr>
          <w:cantSplit/>
        </w:trPr>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5"/>
              </w:rPr>
              <w:t>Narrative insight</w:t>
            </w:r>
          </w:p>
        </w:tc>
        <w:tc>
          <w:tcPr>
            <w:tcW w:type="dxa" w:w="7128"/>
            <w:vAlign w:val="center"/>
            <w:tcMar>
              <w:top w:w="55" w:type="dxa"/>
              <w:start w:w="75" w:type="dxa"/>
              <w:bottom w:w="55" w:type="dxa"/>
              <w:end w:w="75" w:type="dxa"/>
            </w:tcMar>
          </w:tcPr>
          <w:p>
            <w:pPr>
              <w:spacing w:before="0" w:after="0" w:line="240" w:lineRule="auto"/>
            </w:pPr>
            <w:r>
              <w:rPr>
                <w:rFonts w:ascii="Inter" w:hAnsi="Inter"/>
                <w:b w:val="0"/>
                <w:color w:val="172033"/>
                <w:sz w:val="15"/>
              </w:rPr>
              <w:t>Source reports, material facts, comparison, uncertainty, plain-language explanation, and no unsupported causal claim.</w:t>
            </w:r>
          </w:p>
        </w:tc>
      </w:tr>
    </w:tbl>
    <w:p>
      <w:pPr>
        <w:spacing w:after="80" w:line="259" w:lineRule="auto"/>
      </w:pPr>
    </w:p>
    <w:p>
      <w:pPr>
        <w:pStyle w:val="Heading1"/>
        <w:keepNext/>
        <w:pageBreakBefore w:val="0"/>
      </w:pPr>
      <w:r>
        <w:t>14. Notifications and Tasks</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2592"/>
            <w:shd w:fill="E7F0F8"/>
            <w:vAlign w:val="center"/>
            <w:tcMar>
              <w:top w:w="55" w:type="dxa"/>
              <w:start w:w="75" w:type="dxa"/>
              <w:bottom w:w="55" w:type="dxa"/>
              <w:end w:w="75" w:type="dxa"/>
            </w:tcMar>
          </w:tcPr>
          <w:p>
            <w:pPr>
              <w:spacing w:before="0" w:after="0" w:line="240" w:lineRule="auto"/>
            </w:pPr>
            <w:r>
              <w:rPr>
                <w:rFonts w:ascii="Inter" w:hAnsi="Inter"/>
                <w:b/>
                <w:color w:val="172033"/>
                <w:sz w:val="16"/>
              </w:rPr>
              <w:t>Trigger</w:t>
            </w:r>
          </w:p>
        </w:tc>
        <w:tc>
          <w:tcPr>
            <w:tcW w:type="dxa" w:w="216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Recipient</w:t>
            </w:r>
          </w:p>
        </w:tc>
        <w:tc>
          <w:tcPr>
            <w:tcW w:type="dxa" w:w="4824"/>
            <w:shd w:fill="E7F0F8"/>
            <w:vAlign w:val="center"/>
            <w:tcMar>
              <w:top w:w="55" w:type="dxa"/>
              <w:start w:w="75" w:type="dxa"/>
              <w:bottom w:w="55" w:type="dxa"/>
              <w:end w:w="75" w:type="dxa"/>
            </w:tcMar>
          </w:tcPr>
          <w:p>
            <w:pPr>
              <w:spacing w:before="0" w:after="0" w:line="240" w:lineRule="auto"/>
            </w:pPr>
            <w:r>
              <w:rPr>
                <w:rFonts w:ascii="Inter" w:hAnsi="Inter"/>
                <w:b/>
                <w:color w:val="172033"/>
                <w:sz w:val="16"/>
              </w:rPr>
              <w:t>Message / route</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5"/>
              </w:rPr>
              <w:t>Interactive report completed</w:t>
            </w:r>
          </w:p>
        </w:tc>
        <w:tc>
          <w:tcPr>
            <w:tcW w:type="dxa" w:w="2160"/>
            <w:vAlign w:val="center"/>
            <w:tcMar>
              <w:top w:w="55" w:type="dxa"/>
              <w:start w:w="75" w:type="dxa"/>
              <w:bottom w:w="55" w:type="dxa"/>
              <w:end w:w="75" w:type="dxa"/>
            </w:tcMar>
          </w:tcPr>
          <w:p>
            <w:pPr>
              <w:spacing w:before="0" w:after="0" w:line="240" w:lineRule="auto"/>
            </w:pPr>
            <w:r>
              <w:rPr>
                <w:rFonts w:ascii="Inter" w:hAnsi="Inter"/>
                <w:b w:val="0"/>
                <w:color w:val="172033"/>
                <w:sz w:val="15"/>
              </w:rPr>
              <w:t>Requesting user</w:t>
            </w:r>
          </w:p>
        </w:tc>
        <w:tc>
          <w:tcPr>
            <w:tcW w:type="dxa" w:w="4824"/>
            <w:vAlign w:val="center"/>
            <w:tcMar>
              <w:top w:w="55" w:type="dxa"/>
              <w:start w:w="75" w:type="dxa"/>
              <w:bottom w:w="55" w:type="dxa"/>
              <w:end w:w="75" w:type="dxa"/>
            </w:tcMar>
          </w:tcPr>
          <w:p>
            <w:pPr>
              <w:spacing w:before="0" w:after="0" w:line="240" w:lineRule="auto"/>
            </w:pPr>
            <w:r>
              <w:rPr>
                <w:rFonts w:ascii="Inter" w:hAnsi="Inter"/>
                <w:b w:val="0"/>
                <w:color w:val="172033"/>
                <w:sz w:val="15"/>
              </w:rPr>
              <w:t>Report is ready; open Display Report or authorized output.</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Interactive or scheduled report failed</w:t>
            </w:r>
          </w:p>
        </w:tc>
        <w:tc>
          <w:tcPr>
            <w:tcW w:type="dxa" w:w="216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Requesting user / schedule owner / support role as configured</w:t>
            </w:r>
          </w:p>
        </w:tc>
        <w:tc>
          <w:tcPr>
            <w:tcW w:type="dxa" w:w="482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State what failed, what remains safe, source/dependency, retry or corrective route.</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5"/>
              </w:rPr>
              <w:t>Scheduled report delivered or partially delivered</w:t>
            </w:r>
          </w:p>
        </w:tc>
        <w:tc>
          <w:tcPr>
            <w:tcW w:type="dxa" w:w="2160"/>
            <w:vAlign w:val="center"/>
            <w:tcMar>
              <w:top w:w="55" w:type="dxa"/>
              <w:start w:w="75" w:type="dxa"/>
              <w:bottom w:w="55" w:type="dxa"/>
              <w:end w:w="75" w:type="dxa"/>
            </w:tcMar>
          </w:tcPr>
          <w:p>
            <w:pPr>
              <w:spacing w:before="0" w:after="0" w:line="240" w:lineRule="auto"/>
            </w:pPr>
            <w:r>
              <w:rPr>
                <w:rFonts w:ascii="Inter" w:hAnsi="Inter"/>
                <w:b w:val="0"/>
                <w:color w:val="172033"/>
                <w:sz w:val="15"/>
              </w:rPr>
              <w:t>Schedule owner</w:t>
            </w:r>
          </w:p>
        </w:tc>
        <w:tc>
          <w:tcPr>
            <w:tcW w:type="dxa" w:w="4824"/>
            <w:vAlign w:val="center"/>
            <w:tcMar>
              <w:top w:w="55" w:type="dxa"/>
              <w:start w:w="75" w:type="dxa"/>
              <w:bottom w:w="55" w:type="dxa"/>
              <w:end w:w="75" w:type="dxa"/>
            </w:tcMar>
          </w:tcPr>
          <w:p>
            <w:pPr>
              <w:spacing w:before="0" w:after="0" w:line="240" w:lineRule="auto"/>
            </w:pPr>
            <w:r>
              <w:rPr>
                <w:rFonts w:ascii="Inter" w:hAnsi="Inter"/>
                <w:b w:val="0"/>
                <w:color w:val="172033"/>
                <w:sz w:val="15"/>
              </w:rPr>
              <w:t>Delivery result by channel/recipient and secure access route.</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Report output nearing expiry</w:t>
            </w:r>
          </w:p>
        </w:tc>
        <w:tc>
          <w:tcPr>
            <w:tcW w:type="dxa" w:w="216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Output owner where useful</w:t>
            </w:r>
          </w:p>
        </w:tc>
        <w:tc>
          <w:tcPr>
            <w:tcW w:type="dxa" w:w="482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Expiry time and authorized regeneration or archive option.</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5"/>
              </w:rPr>
              <w:t>Report definition published or materially revised</w:t>
            </w:r>
          </w:p>
        </w:tc>
        <w:tc>
          <w:tcPr>
            <w:tcW w:type="dxa" w:w="2160"/>
            <w:vAlign w:val="center"/>
            <w:tcMar>
              <w:top w:w="55" w:type="dxa"/>
              <w:start w:w="75" w:type="dxa"/>
              <w:bottom w:w="55" w:type="dxa"/>
              <w:end w:w="75" w:type="dxa"/>
            </w:tcMar>
          </w:tcPr>
          <w:p>
            <w:pPr>
              <w:spacing w:before="0" w:after="0" w:line="240" w:lineRule="auto"/>
            </w:pPr>
            <w:r>
              <w:rPr>
                <w:rFonts w:ascii="Inter" w:hAnsi="Inter"/>
                <w:b w:val="0"/>
                <w:color w:val="172033"/>
                <w:sz w:val="15"/>
              </w:rPr>
              <w:t>Affected report owners/admins/users as configured</w:t>
            </w:r>
          </w:p>
        </w:tc>
        <w:tc>
          <w:tcPr>
            <w:tcW w:type="dxa" w:w="4824"/>
            <w:vAlign w:val="center"/>
            <w:tcMar>
              <w:top w:w="55" w:type="dxa"/>
              <w:start w:w="75" w:type="dxa"/>
              <w:bottom w:w="55" w:type="dxa"/>
              <w:end w:w="75" w:type="dxa"/>
            </w:tcMar>
          </w:tcPr>
          <w:p>
            <w:pPr>
              <w:spacing w:before="0" w:after="0" w:line="240" w:lineRule="auto"/>
            </w:pPr>
            <w:r>
              <w:rPr>
                <w:rFonts w:ascii="Inter" w:hAnsi="Inter"/>
                <w:b w:val="0"/>
                <w:color w:val="172033"/>
                <w:sz w:val="15"/>
              </w:rPr>
              <w:t>Effective version, changed meaning, comparability note, and documentation.</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Source data delayed or stale</w:t>
            </w:r>
          </w:p>
        </w:tc>
        <w:tc>
          <w:tcPr>
            <w:tcW w:type="dxa" w:w="216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Report viewer / report owner</w:t>
            </w:r>
          </w:p>
        </w:tc>
        <w:tc>
          <w:tcPr>
            <w:tcW w:type="dxa" w:w="482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Freshness state, as-of time, affected measure, and source route.</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5"/>
              </w:rPr>
              <w:t>Reconciliation or control-total variance</w:t>
            </w:r>
          </w:p>
        </w:tc>
        <w:tc>
          <w:tcPr>
            <w:tcW w:type="dxa" w:w="2160"/>
            <w:vAlign w:val="center"/>
            <w:tcMar>
              <w:top w:w="55" w:type="dxa"/>
              <w:start w:w="75" w:type="dxa"/>
              <w:bottom w:w="55" w:type="dxa"/>
              <w:end w:w="75" w:type="dxa"/>
            </w:tcMar>
          </w:tcPr>
          <w:p>
            <w:pPr>
              <w:spacing w:before="0" w:after="0" w:line="240" w:lineRule="auto"/>
            </w:pPr>
            <w:r>
              <w:rPr>
                <w:rFonts w:ascii="Inter" w:hAnsi="Inter"/>
                <w:b w:val="0"/>
                <w:color w:val="172033"/>
                <w:sz w:val="15"/>
              </w:rPr>
              <w:t>Report owner / source owner</w:t>
            </w:r>
          </w:p>
        </w:tc>
        <w:tc>
          <w:tcPr>
            <w:tcW w:type="dxa" w:w="4824"/>
            <w:vAlign w:val="center"/>
            <w:tcMar>
              <w:top w:w="55" w:type="dxa"/>
              <w:start w:w="75" w:type="dxa"/>
              <w:bottom w:w="55" w:type="dxa"/>
              <w:end w:w="75" w:type="dxa"/>
            </w:tcMar>
          </w:tcPr>
          <w:p>
            <w:pPr>
              <w:spacing w:before="0" w:after="0" w:line="240" w:lineRule="auto"/>
            </w:pPr>
            <w:r>
              <w:rPr>
                <w:rFonts w:ascii="Inter" w:hAnsi="Inter"/>
                <w:b w:val="0"/>
                <w:color w:val="172033"/>
                <w:sz w:val="15"/>
              </w:rPr>
              <w:t>Definition, parameters, expected/actual control, variance, and investigation route.</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Schedule paused due to invalid permission, owner, recipient, source, or entitlement</w:t>
            </w:r>
          </w:p>
        </w:tc>
        <w:tc>
          <w:tcPr>
            <w:tcW w:type="dxa" w:w="216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Schedule owner / administrator</w:t>
            </w:r>
          </w:p>
        </w:tc>
        <w:tc>
          <w:tcPr>
            <w:tcW w:type="dxa" w:w="482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Reason, affected schedule, and authorized remediation.</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5"/>
              </w:rPr>
              <w:t>AI insight generated or unavailable</w:t>
            </w:r>
          </w:p>
        </w:tc>
        <w:tc>
          <w:tcPr>
            <w:tcW w:type="dxa" w:w="2160"/>
            <w:vAlign w:val="center"/>
            <w:tcMar>
              <w:top w:w="55" w:type="dxa"/>
              <w:start w:w="75" w:type="dxa"/>
              <w:bottom w:w="55" w:type="dxa"/>
              <w:end w:w="75" w:type="dxa"/>
            </w:tcMar>
          </w:tcPr>
          <w:p>
            <w:pPr>
              <w:spacing w:before="0" w:after="0" w:line="240" w:lineRule="auto"/>
            </w:pPr>
            <w:r>
              <w:rPr>
                <w:rFonts w:ascii="Inter" w:hAnsi="Inter"/>
                <w:b w:val="0"/>
                <w:color w:val="172033"/>
                <w:sz w:val="15"/>
              </w:rPr>
              <w:t>Requesting user</w:t>
            </w:r>
          </w:p>
        </w:tc>
        <w:tc>
          <w:tcPr>
            <w:tcW w:type="dxa" w:w="4824"/>
            <w:vAlign w:val="center"/>
            <w:tcMar>
              <w:top w:w="55" w:type="dxa"/>
              <w:start w:w="75" w:type="dxa"/>
              <w:bottom w:w="55" w:type="dxa"/>
              <w:end w:w="75" w:type="dxa"/>
            </w:tcMar>
          </w:tcPr>
          <w:p>
            <w:pPr>
              <w:spacing w:before="0" w:after="0" w:line="240" w:lineRule="auto"/>
            </w:pPr>
            <w:r>
              <w:rPr>
                <w:rFonts w:ascii="Inter" w:hAnsi="Inter"/>
                <w:b w:val="0"/>
                <w:color w:val="172033"/>
                <w:sz w:val="15"/>
              </w:rPr>
              <w:t>Source-linked insight or qualified no-result; ordinary report remains accessible.</w:t>
            </w:r>
          </w:p>
        </w:tc>
      </w:tr>
    </w:tbl>
    <w:p>
      <w:pPr>
        <w:spacing w:after="80" w:line="259" w:lineRule="auto"/>
      </w:pPr>
    </w:p>
    <w:p>
      <w:pPr>
        <w:spacing w:after="80" w:line="259" w:lineRule="auto"/>
      </w:pPr>
      <w:r>
        <w:rPr>
          <w:rFonts w:ascii="Inter" w:hAnsi="Inter"/>
          <w:color w:val="172033"/>
          <w:sz w:val="18"/>
        </w:rPr>
        <w:t>Needs Attention may surface failed schedules, stale data, expiring outputs, unresolved reconciliation variances, or invalid recipients. Action Center may present assigned report-definition review or schedule-remediation tasks. These frameworks do not create a reporting formula or source record outside MDS-900.</w:t>
      </w:r>
    </w:p>
    <w:p>
      <w:pPr>
        <w:pStyle w:val="Heading1"/>
        <w:keepNext/>
        <w:pageBreakBefore w:val="0"/>
      </w:pPr>
      <w:r>
        <w:t>15. Security and Access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88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Permission area</w:t>
            </w:r>
          </w:p>
        </w:tc>
        <w:tc>
          <w:tcPr>
            <w:tcW w:type="dxa" w:w="6696"/>
            <w:shd w:fill="E7F0F8"/>
            <w:vAlign w:val="center"/>
            <w:tcMar>
              <w:top w:w="55" w:type="dxa"/>
              <w:start w:w="75" w:type="dxa"/>
              <w:bottom w:w="55" w:type="dxa"/>
              <w:end w:w="75" w:type="dxa"/>
            </w:tcMar>
          </w:tcPr>
          <w:p>
            <w:pPr>
              <w:spacing w:before="0" w:after="0" w:line="240" w:lineRule="auto"/>
            </w:pPr>
            <w:r>
              <w:rPr>
                <w:rFonts w:ascii="Inter" w:hAnsi="Inter"/>
                <w:b/>
                <w:color w:val="172033"/>
                <w:sz w:val="16"/>
              </w:rPr>
              <w:t>Examples</w:t>
            </w:r>
          </w:p>
        </w:tc>
      </w:tr>
      <w:tr>
        <w:trPr>
          <w:cantSplit/>
        </w:trPr>
        <w:tc>
          <w:tcPr>
            <w:tcW w:type="dxa" w:w="2880"/>
            <w:vAlign w:val="center"/>
            <w:tcMar>
              <w:top w:w="55" w:type="dxa"/>
              <w:start w:w="75" w:type="dxa"/>
              <w:bottom w:w="55" w:type="dxa"/>
              <w:end w:w="75" w:type="dxa"/>
            </w:tcMar>
          </w:tcPr>
          <w:p>
            <w:pPr>
              <w:spacing w:before="0" w:after="0" w:line="240" w:lineRule="auto"/>
            </w:pPr>
            <w:r>
              <w:rPr>
                <w:rFonts w:ascii="Inter" w:hAnsi="Inter"/>
                <w:b w:val="0"/>
                <w:color w:val="172033"/>
                <w:sz w:val="15"/>
              </w:rPr>
              <w:t>Catalog discovery</w:t>
            </w:r>
          </w:p>
        </w:tc>
        <w:tc>
          <w:tcPr>
            <w:tcW w:type="dxa" w:w="6696"/>
            <w:vAlign w:val="center"/>
            <w:tcMar>
              <w:top w:w="55" w:type="dxa"/>
              <w:start w:w="75" w:type="dxa"/>
              <w:bottom w:w="55" w:type="dxa"/>
              <w:end w:w="75" w:type="dxa"/>
            </w:tcMar>
          </w:tcPr>
          <w:p>
            <w:pPr>
              <w:spacing w:before="0" w:after="0" w:line="240" w:lineRule="auto"/>
            </w:pPr>
            <w:r>
              <w:rPr>
                <w:rFonts w:ascii="Inter" w:hAnsi="Inter"/>
                <w:b w:val="0"/>
                <w:color w:val="172033"/>
                <w:sz w:val="15"/>
              </w:rPr>
              <w:t>View report name/category without protected data; discover locked edition only where useful.</w:t>
            </w:r>
          </w:p>
        </w:tc>
      </w:tr>
      <w:tr>
        <w:trPr>
          <w:cantSplit/>
        </w:trPr>
        <w:tc>
          <w:tcPr>
            <w:tcW w:type="dxa" w:w="288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Generate / display</w:t>
            </w:r>
          </w:p>
        </w:tc>
        <w:tc>
          <w:tcPr>
            <w:tcW w:type="dxa" w:w="6696"/>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Run specified report within company, branch, role, record, and field scope.</w:t>
            </w:r>
          </w:p>
        </w:tc>
      </w:tr>
      <w:tr>
        <w:trPr>
          <w:cantSplit/>
        </w:trPr>
        <w:tc>
          <w:tcPr>
            <w:tcW w:type="dxa" w:w="2880"/>
            <w:vAlign w:val="center"/>
            <w:tcMar>
              <w:top w:w="55" w:type="dxa"/>
              <w:start w:w="75" w:type="dxa"/>
              <w:bottom w:w="55" w:type="dxa"/>
              <w:end w:w="75" w:type="dxa"/>
            </w:tcMar>
          </w:tcPr>
          <w:p>
            <w:pPr>
              <w:spacing w:before="0" w:after="0" w:line="240" w:lineRule="auto"/>
            </w:pPr>
            <w:r>
              <w:rPr>
                <w:rFonts w:ascii="Inter" w:hAnsi="Inter"/>
                <w:b w:val="0"/>
                <w:color w:val="172033"/>
                <w:sz w:val="15"/>
              </w:rPr>
              <w:t>Drill-down</w:t>
            </w:r>
          </w:p>
        </w:tc>
        <w:tc>
          <w:tcPr>
            <w:tcW w:type="dxa" w:w="6696"/>
            <w:vAlign w:val="center"/>
            <w:tcMar>
              <w:top w:w="55" w:type="dxa"/>
              <w:start w:w="75" w:type="dxa"/>
              <w:bottom w:w="55" w:type="dxa"/>
              <w:end w:w="75" w:type="dxa"/>
            </w:tcMar>
          </w:tcPr>
          <w:p>
            <w:pPr>
              <w:spacing w:before="0" w:after="0" w:line="240" w:lineRule="auto"/>
            </w:pPr>
            <w:r>
              <w:rPr>
                <w:rFonts w:ascii="Inter" w:hAnsi="Inter"/>
                <w:b w:val="0"/>
                <w:color w:val="172033"/>
                <w:sz w:val="15"/>
              </w:rPr>
              <w:t>Open source details only when the user has source-module permission.</w:t>
            </w:r>
          </w:p>
        </w:tc>
      </w:tr>
      <w:tr>
        <w:trPr>
          <w:cantSplit/>
        </w:trPr>
        <w:tc>
          <w:tcPr>
            <w:tcW w:type="dxa" w:w="288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Export / print</w:t>
            </w:r>
          </w:p>
        </w:tc>
        <w:tc>
          <w:tcPr>
            <w:tcW w:type="dxa" w:w="6696"/>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Generate PDF, XLSX, CSV, or print; may be stricter than on-screen access.</w:t>
            </w:r>
          </w:p>
        </w:tc>
      </w:tr>
      <w:tr>
        <w:trPr>
          <w:cantSplit/>
        </w:trPr>
        <w:tc>
          <w:tcPr>
            <w:tcW w:type="dxa" w:w="2880"/>
            <w:vAlign w:val="center"/>
            <w:tcMar>
              <w:top w:w="55" w:type="dxa"/>
              <w:start w:w="75" w:type="dxa"/>
              <w:bottom w:w="55" w:type="dxa"/>
              <w:end w:w="75" w:type="dxa"/>
            </w:tcMar>
          </w:tcPr>
          <w:p>
            <w:pPr>
              <w:spacing w:before="0" w:after="0" w:line="240" w:lineRule="auto"/>
            </w:pPr>
            <w:r>
              <w:rPr>
                <w:rFonts w:ascii="Inter" w:hAnsi="Inter"/>
                <w:b w:val="0"/>
                <w:color w:val="172033"/>
                <w:sz w:val="15"/>
              </w:rPr>
              <w:t>Schedule / deliver</w:t>
            </w:r>
          </w:p>
        </w:tc>
        <w:tc>
          <w:tcPr>
            <w:tcW w:type="dxa" w:w="6696"/>
            <w:vAlign w:val="center"/>
            <w:tcMar>
              <w:top w:w="55" w:type="dxa"/>
              <w:start w:w="75" w:type="dxa"/>
              <w:bottom w:w="55" w:type="dxa"/>
              <w:end w:w="75" w:type="dxa"/>
            </w:tcMar>
          </w:tcPr>
          <w:p>
            <w:pPr>
              <w:spacing w:before="0" w:after="0" w:line="240" w:lineRule="auto"/>
            </w:pPr>
            <w:r>
              <w:rPr>
                <w:rFonts w:ascii="Inter" w:hAnsi="Inter"/>
                <w:b w:val="0"/>
                <w:color w:val="172033"/>
                <w:sz w:val="15"/>
              </w:rPr>
              <w:t>Create, change, pause, cancel schedules; select authorized recipients and channels.</w:t>
            </w:r>
          </w:p>
        </w:tc>
      </w:tr>
      <w:tr>
        <w:trPr>
          <w:cantSplit/>
        </w:trPr>
        <w:tc>
          <w:tcPr>
            <w:tcW w:type="dxa" w:w="288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Sensitive financial access</w:t>
            </w:r>
          </w:p>
        </w:tc>
        <w:tc>
          <w:tcPr>
            <w:tcW w:type="dxa" w:w="6696"/>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View costs, margin, cash, bank, tax, payroll-ready, personal, or confidential management data.</w:t>
            </w:r>
          </w:p>
        </w:tc>
      </w:tr>
      <w:tr>
        <w:trPr>
          <w:cantSplit/>
        </w:trPr>
        <w:tc>
          <w:tcPr>
            <w:tcW w:type="dxa" w:w="2880"/>
            <w:vAlign w:val="center"/>
            <w:tcMar>
              <w:top w:w="55" w:type="dxa"/>
              <w:start w:w="75" w:type="dxa"/>
              <w:bottom w:w="55" w:type="dxa"/>
              <w:end w:w="75" w:type="dxa"/>
            </w:tcMar>
          </w:tcPr>
          <w:p>
            <w:pPr>
              <w:spacing w:before="0" w:after="0" w:line="240" w:lineRule="auto"/>
            </w:pPr>
            <w:r>
              <w:rPr>
                <w:rFonts w:ascii="Inter" w:hAnsi="Inter"/>
                <w:b w:val="0"/>
                <w:color w:val="172033"/>
                <w:sz w:val="15"/>
              </w:rPr>
              <w:t>Definition governance</w:t>
            </w:r>
          </w:p>
        </w:tc>
        <w:tc>
          <w:tcPr>
            <w:tcW w:type="dxa" w:w="6696"/>
            <w:vAlign w:val="center"/>
            <w:tcMar>
              <w:top w:w="55" w:type="dxa"/>
              <w:start w:w="75" w:type="dxa"/>
              <w:bottom w:w="55" w:type="dxa"/>
              <w:end w:w="75" w:type="dxa"/>
            </w:tcMar>
          </w:tcPr>
          <w:p>
            <w:pPr>
              <w:spacing w:before="0" w:after="0" w:line="240" w:lineRule="auto"/>
            </w:pPr>
            <w:r>
              <w:rPr>
                <w:rFonts w:ascii="Inter" w:hAnsi="Inter"/>
                <w:b w:val="0"/>
                <w:color w:val="172033"/>
                <w:sz w:val="15"/>
              </w:rPr>
              <w:t>Create, test, review, approve, publish, supersede, deactivate, and localize definitions.</w:t>
            </w:r>
          </w:p>
        </w:tc>
      </w:tr>
      <w:tr>
        <w:trPr>
          <w:cantSplit/>
        </w:trPr>
        <w:tc>
          <w:tcPr>
            <w:tcW w:type="dxa" w:w="288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Cross-company / consolidation</w:t>
            </w:r>
          </w:p>
        </w:tc>
        <w:tc>
          <w:tcPr>
            <w:tcW w:type="dxa" w:w="6696"/>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View or combine explicitly permitted companies and legal entities.</w:t>
            </w:r>
          </w:p>
        </w:tc>
      </w:tr>
      <w:tr>
        <w:trPr>
          <w:cantSplit/>
        </w:trPr>
        <w:tc>
          <w:tcPr>
            <w:tcW w:type="dxa" w:w="2880"/>
            <w:vAlign w:val="center"/>
            <w:tcMar>
              <w:top w:w="55" w:type="dxa"/>
              <w:start w:w="75" w:type="dxa"/>
              <w:bottom w:w="55" w:type="dxa"/>
              <w:end w:w="75" w:type="dxa"/>
            </w:tcMar>
          </w:tcPr>
          <w:p>
            <w:pPr>
              <w:spacing w:before="0" w:after="0" w:line="240" w:lineRule="auto"/>
            </w:pPr>
            <w:r>
              <w:rPr>
                <w:rFonts w:ascii="Inter" w:hAnsi="Inter"/>
                <w:b w:val="0"/>
                <w:color w:val="172033"/>
                <w:sz w:val="15"/>
              </w:rPr>
              <w:t>Audit / output history</w:t>
            </w:r>
          </w:p>
        </w:tc>
        <w:tc>
          <w:tcPr>
            <w:tcW w:type="dxa" w:w="6696"/>
            <w:vAlign w:val="center"/>
            <w:tcMar>
              <w:top w:w="55" w:type="dxa"/>
              <w:start w:w="75" w:type="dxa"/>
              <w:bottom w:w="55" w:type="dxa"/>
              <w:end w:w="75" w:type="dxa"/>
            </w:tcMar>
          </w:tcPr>
          <w:p>
            <w:pPr>
              <w:spacing w:before="0" w:after="0" w:line="240" w:lineRule="auto"/>
            </w:pPr>
            <w:r>
              <w:rPr>
                <w:rFonts w:ascii="Inter" w:hAnsi="Inter"/>
                <w:b w:val="0"/>
                <w:color w:val="172033"/>
                <w:sz w:val="15"/>
              </w:rPr>
              <w:t>View generation, export, print, schedule, delivery, and access evidence.</w:t>
            </w:r>
          </w:p>
        </w:tc>
      </w:tr>
      <w:tr>
        <w:trPr>
          <w:cantSplit/>
        </w:trPr>
        <w:tc>
          <w:tcPr>
            <w:tcW w:type="dxa" w:w="288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AI insight</w:t>
            </w:r>
          </w:p>
        </w:tc>
        <w:tc>
          <w:tcPr>
            <w:tcW w:type="dxa" w:w="6696"/>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Request and view AI analysis only over data already permitted to the acting user and service.</w:t>
            </w:r>
          </w:p>
        </w:tc>
      </w:tr>
    </w:tbl>
    <w:p>
      <w:pPr>
        <w:spacing w:after="80" w:line="259" w:lineRule="auto"/>
      </w:pPr>
    </w:p>
    <w:p>
      <w:pPr>
        <w:pStyle w:val="Heading2"/>
        <w:keepNext/>
      </w:pPr>
      <w:r>
        <w:t>15.1 Security Controls</w:t>
      </w:r>
    </w:p>
    <w:p>
      <w:pPr>
        <w:pStyle w:val="ListBullet"/>
        <w:spacing w:after="40" w:line="247" w:lineRule="auto"/>
      </w:pPr>
      <w:r>
        <w:rPr>
          <w:rFonts w:ascii="Inter" w:hAnsi="Inter"/>
          <w:color w:val="172033"/>
          <w:sz w:val="18"/>
        </w:rPr>
        <w:t>All authorization shall be enforced server-side; hidden buttons are not a security boundary.</w:t>
      </w:r>
    </w:p>
    <w:p>
      <w:pPr>
        <w:pStyle w:val="ListBullet"/>
        <w:spacing w:after="40" w:line="247" w:lineRule="auto"/>
      </w:pPr>
      <w:r>
        <w:rPr>
          <w:rFonts w:ascii="Inter" w:hAnsi="Inter"/>
          <w:color w:val="172033"/>
          <w:sz w:val="18"/>
        </w:rPr>
        <w:t>Tenant and company scope shall persist through queries, caches, exports, background jobs, notifications, delivery, and logs.</w:t>
      </w:r>
    </w:p>
    <w:p>
      <w:pPr>
        <w:pStyle w:val="ListBullet"/>
        <w:spacing w:after="40" w:line="247" w:lineRule="auto"/>
      </w:pPr>
      <w:r>
        <w:rPr>
          <w:rFonts w:ascii="Inter" w:hAnsi="Inter"/>
          <w:color w:val="172033"/>
          <w:sz w:val="18"/>
        </w:rPr>
        <w:t>Field masking and aggregation shall prevent inference of protected detail where practical.</w:t>
      </w:r>
    </w:p>
    <w:p>
      <w:pPr>
        <w:pStyle w:val="ListBullet"/>
        <w:spacing w:after="40" w:line="247" w:lineRule="auto"/>
      </w:pPr>
      <w:r>
        <w:rPr>
          <w:rFonts w:ascii="Inter" w:hAnsi="Inter"/>
          <w:color w:val="172033"/>
          <w:sz w:val="18"/>
        </w:rPr>
        <w:t>Exports shall protect against formula injection, unsafe hyperlinks, untrusted embedded content, and unauthorized metadata.</w:t>
      </w:r>
    </w:p>
    <w:p>
      <w:pPr>
        <w:pStyle w:val="ListBullet"/>
        <w:spacing w:after="40" w:line="247" w:lineRule="auto"/>
      </w:pPr>
      <w:r>
        <w:rPr>
          <w:rFonts w:ascii="Inter" w:hAnsi="Inter"/>
          <w:color w:val="172033"/>
          <w:sz w:val="18"/>
        </w:rPr>
        <w:t>Secure report links shall be scoped, revocable where practical, time-limited, non-guessable, and auditable.</w:t>
      </w:r>
    </w:p>
    <w:p>
      <w:pPr>
        <w:pStyle w:val="ListBullet"/>
        <w:spacing w:after="40" w:line="247" w:lineRule="auto"/>
      </w:pPr>
      <w:r>
        <w:rPr>
          <w:rFonts w:ascii="Inter" w:hAnsi="Inter"/>
          <w:color w:val="172033"/>
          <w:sz w:val="18"/>
        </w:rPr>
        <w:t>Scheduled delivery shall revalidate owner, recipient, definition, entitlement, and permission at execution time.</w:t>
      </w:r>
    </w:p>
    <w:p>
      <w:pPr>
        <w:pStyle w:val="ListBullet"/>
        <w:spacing w:after="40" w:line="247" w:lineRule="auto"/>
      </w:pPr>
      <w:r>
        <w:rPr>
          <w:rFonts w:ascii="Inter" w:hAnsi="Inter"/>
          <w:color w:val="172033"/>
          <w:sz w:val="18"/>
        </w:rPr>
        <w:t>Logs and AI prompts shall not contain secrets, credentials, full bank data, or unnecessary personal information.</w:t>
      </w:r>
    </w:p>
    <w:p>
      <w:pPr>
        <w:pStyle w:val="ListBullet"/>
        <w:spacing w:after="40" w:line="247" w:lineRule="auto"/>
      </w:pPr>
      <w:r>
        <w:rPr>
          <w:rFonts w:ascii="Inter" w:hAnsi="Inter"/>
          <w:color w:val="172033"/>
          <w:sz w:val="18"/>
        </w:rPr>
        <w:t>Support or administrator access to sensitive outputs shall be explicit, logged, and time-bound where practical.</w:t>
      </w:r>
    </w:p>
    <w:p>
      <w:pPr>
        <w:pStyle w:val="Heading1"/>
        <w:keepNext/>
        <w:pageBreakBefore w:val="0"/>
      </w:pPr>
      <w:r>
        <w:t>16. Data Entities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44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Entity</w:t>
            </w:r>
          </w:p>
        </w:tc>
        <w:tc>
          <w:tcPr>
            <w:tcW w:type="dxa" w:w="712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Ownership and purpose</w:t>
            </w:r>
          </w:p>
        </w:tc>
      </w:tr>
      <w:tr>
        <w:trPr>
          <w:cantSplit/>
        </w:trPr>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4"/>
              </w:rPr>
              <w:t>ReportDefinition</w:t>
            </w:r>
          </w:p>
        </w:tc>
        <w:tc>
          <w:tcPr>
            <w:tcW w:type="dxa" w:w="7128"/>
            <w:vAlign w:val="center"/>
            <w:tcMar>
              <w:top w:w="55" w:type="dxa"/>
              <w:start w:w="75" w:type="dxa"/>
              <w:bottom w:w="55" w:type="dxa"/>
              <w:end w:w="75" w:type="dxa"/>
            </w:tcMar>
          </w:tcPr>
          <w:p>
            <w:pPr>
              <w:spacing w:before="0" w:after="0" w:line="240" w:lineRule="auto"/>
            </w:pPr>
            <w:r>
              <w:rPr>
                <w:rFonts w:ascii="Inter" w:hAnsi="Inter"/>
                <w:b w:val="0"/>
                <w:color w:val="172033"/>
                <w:sz w:val="14"/>
              </w:rPr>
              <w:t>Versioned report meaning, owner, category, source contracts, formula, parameters, security, output, entitlement, and effective status.</w:t>
            </w:r>
          </w:p>
        </w:tc>
      </w:tr>
      <w:tr>
        <w:trPr>
          <w:cantSplit/>
        </w:trPr>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ReportCategory</w:t>
            </w:r>
          </w:p>
        </w:tc>
        <w:tc>
          <w:tcPr>
            <w:tcW w:type="dxa" w:w="712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Controlled catalog grouping and display order.</w:t>
            </w:r>
          </w:p>
        </w:tc>
      </w:tr>
      <w:tr>
        <w:trPr>
          <w:cantSplit/>
        </w:trPr>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4"/>
              </w:rPr>
              <w:t>ReportParameterDefinition</w:t>
            </w:r>
          </w:p>
        </w:tc>
        <w:tc>
          <w:tcPr>
            <w:tcW w:type="dxa" w:w="7128"/>
            <w:vAlign w:val="center"/>
            <w:tcMar>
              <w:top w:w="55" w:type="dxa"/>
              <w:start w:w="75" w:type="dxa"/>
              <w:bottom w:w="55" w:type="dxa"/>
              <w:end w:w="75" w:type="dxa"/>
            </w:tcMar>
          </w:tcPr>
          <w:p>
            <w:pPr>
              <w:spacing w:before="0" w:after="0" w:line="240" w:lineRule="auto"/>
            </w:pPr>
            <w:r>
              <w:rPr>
                <w:rFonts w:ascii="Inter" w:hAnsi="Inter"/>
                <w:b w:val="0"/>
                <w:color w:val="172033"/>
                <w:sz w:val="14"/>
              </w:rPr>
              <w:t>Parameter type, source, default, dependency, validation, scope, and label.</w:t>
            </w:r>
          </w:p>
        </w:tc>
      </w:tr>
      <w:tr>
        <w:trPr>
          <w:cantSplit/>
        </w:trPr>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ReportColumnDefinition</w:t>
            </w:r>
          </w:p>
        </w:tc>
        <w:tc>
          <w:tcPr>
            <w:tcW w:type="dxa" w:w="712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Column/measure identity, type, formula, format, total, sort, group, visibility, and field security.</w:t>
            </w:r>
          </w:p>
        </w:tc>
      </w:tr>
      <w:tr>
        <w:trPr>
          <w:cantSplit/>
        </w:trPr>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4"/>
              </w:rPr>
              <w:t>AnalyticsDefinition</w:t>
            </w:r>
          </w:p>
        </w:tc>
        <w:tc>
          <w:tcPr>
            <w:tcW w:type="dxa" w:w="7128"/>
            <w:vAlign w:val="center"/>
            <w:tcMar>
              <w:top w:w="55" w:type="dxa"/>
              <w:start w:w="75" w:type="dxa"/>
              <w:bottom w:w="55" w:type="dxa"/>
              <w:end w:w="75" w:type="dxa"/>
            </w:tcMar>
          </w:tcPr>
          <w:p>
            <w:pPr>
              <w:spacing w:before="0" w:after="0" w:line="240" w:lineRule="auto"/>
            </w:pPr>
            <w:r>
              <w:rPr>
                <w:rFonts w:ascii="Inter" w:hAnsi="Inter"/>
                <w:b w:val="0"/>
                <w:color w:val="172033"/>
                <w:sz w:val="14"/>
              </w:rPr>
              <w:t>Versioned KPI, comparison, trend, exception, forecast, or narrative definition.</w:t>
            </w:r>
          </w:p>
        </w:tc>
      </w:tr>
      <w:tr>
        <w:trPr>
          <w:cantSplit/>
        </w:trPr>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ReportRequest</w:t>
            </w:r>
          </w:p>
        </w:tc>
        <w:tc>
          <w:tcPr>
            <w:tcW w:type="dxa" w:w="712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Actor, company context, definition/version, parameters, output type, request identity, status, and timestamps.</w:t>
            </w:r>
          </w:p>
        </w:tc>
      </w:tr>
      <w:tr>
        <w:trPr>
          <w:cantSplit/>
        </w:trPr>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4"/>
              </w:rPr>
              <w:t>ReportOutput</w:t>
            </w:r>
          </w:p>
        </w:tc>
        <w:tc>
          <w:tcPr>
            <w:tcW w:type="dxa" w:w="7128"/>
            <w:vAlign w:val="center"/>
            <w:tcMar>
              <w:top w:w="55" w:type="dxa"/>
              <w:start w:w="75" w:type="dxa"/>
              <w:bottom w:w="55" w:type="dxa"/>
              <w:end w:w="75" w:type="dxa"/>
            </w:tcMar>
          </w:tcPr>
          <w:p>
            <w:pPr>
              <w:spacing w:before="0" w:after="0" w:line="240" w:lineRule="auto"/>
            </w:pPr>
            <w:r>
              <w:rPr>
                <w:rFonts w:ascii="Inter" w:hAnsi="Inter"/>
                <w:b w:val="0"/>
                <w:color w:val="172033"/>
                <w:sz w:val="14"/>
              </w:rPr>
              <w:t>Result identity, storage/reference, definition version, parameter snapshot/hash, as-of time, freshness, format, sensitivity, size, expiry, and result status.</w:t>
            </w:r>
          </w:p>
        </w:tc>
      </w:tr>
      <w:tr>
        <w:trPr>
          <w:cantSplit/>
        </w:trPr>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ReportSnapshot</w:t>
            </w:r>
          </w:p>
        </w:tc>
        <w:tc>
          <w:tcPr>
            <w:tcW w:type="dxa" w:w="712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Immutable retained output for audit, period pack, comparison, regulatory, or management purpose.</w:t>
            </w:r>
          </w:p>
        </w:tc>
      </w:tr>
      <w:tr>
        <w:trPr>
          <w:cantSplit/>
        </w:trPr>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4"/>
              </w:rPr>
              <w:t>ReportFavorite</w:t>
            </w:r>
          </w:p>
        </w:tc>
        <w:tc>
          <w:tcPr>
            <w:tcW w:type="dxa" w:w="7128"/>
            <w:vAlign w:val="center"/>
            <w:tcMar>
              <w:top w:w="55" w:type="dxa"/>
              <w:start w:w="75" w:type="dxa"/>
              <w:bottom w:w="55" w:type="dxa"/>
              <w:end w:w="75" w:type="dxa"/>
            </w:tcMar>
          </w:tcPr>
          <w:p>
            <w:pPr>
              <w:spacing w:before="0" w:after="0" w:line="240" w:lineRule="auto"/>
            </w:pPr>
            <w:r>
              <w:rPr>
                <w:rFonts w:ascii="Inter" w:hAnsi="Inter"/>
                <w:b w:val="0"/>
                <w:color w:val="172033"/>
                <w:sz w:val="14"/>
              </w:rPr>
              <w:t>User-specific report reference, saved parameters, label, and display order.</w:t>
            </w:r>
          </w:p>
        </w:tc>
      </w:tr>
      <w:tr>
        <w:trPr>
          <w:cantSplit/>
        </w:trPr>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ReportSchedule</w:t>
            </w:r>
          </w:p>
        </w:tc>
        <w:tc>
          <w:tcPr>
            <w:tcW w:type="dxa" w:w="712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Owner, definition/version policy, parameters, recurrence, time zone, recipients, format, channel, active state, and next run.</w:t>
            </w:r>
          </w:p>
        </w:tc>
      </w:tr>
      <w:tr>
        <w:trPr>
          <w:cantSplit/>
        </w:trPr>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4"/>
              </w:rPr>
              <w:t>ReportScheduleRun</w:t>
            </w:r>
          </w:p>
        </w:tc>
        <w:tc>
          <w:tcPr>
            <w:tcW w:type="dxa" w:w="7128"/>
            <w:vAlign w:val="center"/>
            <w:tcMar>
              <w:top w:w="55" w:type="dxa"/>
              <w:start w:w="75" w:type="dxa"/>
              <w:bottom w:w="55" w:type="dxa"/>
              <w:end w:w="75" w:type="dxa"/>
            </w:tcMar>
          </w:tcPr>
          <w:p>
            <w:pPr>
              <w:spacing w:before="0" w:after="0" w:line="240" w:lineRule="auto"/>
            </w:pPr>
            <w:r>
              <w:rPr>
                <w:rFonts w:ascii="Inter" w:hAnsi="Inter"/>
                <w:b w:val="0"/>
                <w:color w:val="172033"/>
                <w:sz w:val="14"/>
              </w:rPr>
              <w:t>Scheduled occurrence, intended period, request/output, execution, delivery, failures, and retry evidence.</w:t>
            </w:r>
          </w:p>
        </w:tc>
      </w:tr>
      <w:tr>
        <w:trPr>
          <w:cantSplit/>
        </w:trPr>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ReportDelivery</w:t>
            </w:r>
          </w:p>
        </w:tc>
        <w:tc>
          <w:tcPr>
            <w:tcW w:type="dxa" w:w="712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Output, recipient, channel, send status, secure-link expiry, failure, and timestamp.</w:t>
            </w:r>
          </w:p>
        </w:tc>
      </w:tr>
      <w:tr>
        <w:trPr>
          <w:cantSplit/>
        </w:trPr>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4"/>
              </w:rPr>
              <w:t>ReportPack</w:t>
            </w:r>
          </w:p>
        </w:tc>
        <w:tc>
          <w:tcPr>
            <w:tcW w:type="dxa" w:w="7128"/>
            <w:vAlign w:val="center"/>
            <w:tcMar>
              <w:top w:w="55" w:type="dxa"/>
              <w:start w:w="75" w:type="dxa"/>
              <w:bottom w:w="55" w:type="dxa"/>
              <w:end w:w="75" w:type="dxa"/>
            </w:tcMar>
          </w:tcPr>
          <w:p>
            <w:pPr>
              <w:spacing w:before="0" w:after="0" w:line="240" w:lineRule="auto"/>
            </w:pPr>
            <w:r>
              <w:rPr>
                <w:rFonts w:ascii="Inter" w:hAnsi="Inter"/>
                <w:b w:val="0"/>
                <w:color w:val="172033"/>
                <w:sz w:val="14"/>
              </w:rPr>
              <w:t>Advanced collection of report outputs for one period, review, publication, and archive.</w:t>
            </w:r>
          </w:p>
        </w:tc>
      </w:tr>
      <w:tr>
        <w:trPr>
          <w:cantSplit/>
        </w:trPr>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ReportAccessAudit</w:t>
            </w:r>
          </w:p>
        </w:tc>
        <w:tc>
          <w:tcPr>
            <w:tcW w:type="dxa" w:w="712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Material generation, display, drill-down, export, print, schedule, delivery, definition, and sensitive-access evidence.</w:t>
            </w:r>
          </w:p>
        </w:tc>
      </w:tr>
      <w:tr>
        <w:trPr>
          <w:cantSplit/>
        </w:trPr>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4"/>
              </w:rPr>
              <w:t>ReportingProjection</w:t>
            </w:r>
          </w:p>
        </w:tc>
        <w:tc>
          <w:tcPr>
            <w:tcW w:type="dxa" w:w="7128"/>
            <w:vAlign w:val="center"/>
            <w:tcMar>
              <w:top w:w="55" w:type="dxa"/>
              <w:start w:w="75" w:type="dxa"/>
              <w:bottom w:w="55" w:type="dxa"/>
              <w:end w:w="75" w:type="dxa"/>
            </w:tcMar>
          </w:tcPr>
          <w:p>
            <w:pPr>
              <w:spacing w:before="0" w:after="0" w:line="240" w:lineRule="auto"/>
            </w:pPr>
            <w:r>
              <w:rPr>
                <w:rFonts w:ascii="Inter" w:hAnsi="Inter"/>
                <w:b w:val="0"/>
                <w:color w:val="172033"/>
                <w:sz w:val="14"/>
              </w:rPr>
              <w:t>Approved derived data structure or cache linked to source contract, definition, scope, freshness, and rebuild process.</w:t>
            </w:r>
          </w:p>
        </w:tc>
      </w:tr>
      <w:tr>
        <w:trPr>
          <w:cantSplit/>
        </w:trPr>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AIInsightResult</w:t>
            </w:r>
          </w:p>
        </w:tc>
        <w:tc>
          <w:tcPr>
            <w:tcW w:type="dxa" w:w="712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Source report/output, service/model metadata where required, prompt/context hash, result, confidence, limitations, user, and audit evidence.</w:t>
            </w:r>
          </w:p>
        </w:tc>
      </w:tr>
    </w:tbl>
    <w:p>
      <w:pPr>
        <w:spacing w:after="80" w:line="259" w:lineRule="auto"/>
      </w:pPr>
    </w:p>
    <w:p>
      <w:pPr>
        <w:pStyle w:val="Heading2"/>
        <w:keepNext/>
      </w:pPr>
      <w:r>
        <w:t>16.1 Integrity and Retention</w:t>
      </w:r>
    </w:p>
    <w:p>
      <w:pPr>
        <w:pStyle w:val="ListBullet"/>
        <w:spacing w:after="40" w:line="247" w:lineRule="auto"/>
      </w:pPr>
      <w:r>
        <w:rPr>
          <w:rFonts w:ascii="Inter" w:hAnsi="Inter"/>
          <w:color w:val="172033"/>
          <w:sz w:val="18"/>
        </w:rPr>
        <w:t>Report definitions and retained outputs shall use stable internal identifiers and explicit tenant/company scope.</w:t>
      </w:r>
    </w:p>
    <w:p>
      <w:pPr>
        <w:pStyle w:val="ListBullet"/>
        <w:spacing w:after="40" w:line="247" w:lineRule="auto"/>
      </w:pPr>
      <w:r>
        <w:rPr>
          <w:rFonts w:ascii="Inter" w:hAnsi="Inter"/>
          <w:color w:val="172033"/>
          <w:sz w:val="18"/>
        </w:rPr>
        <w:t>Parameter snapshots shall preserve business meaning while minimizing unnecessary sensitive duplication.</w:t>
      </w:r>
    </w:p>
    <w:p>
      <w:pPr>
        <w:pStyle w:val="ListBullet"/>
        <w:spacing w:after="40" w:line="247" w:lineRule="auto"/>
      </w:pPr>
      <w:r>
        <w:rPr>
          <w:rFonts w:ascii="Inter" w:hAnsi="Inter"/>
          <w:color w:val="172033"/>
          <w:sz w:val="18"/>
        </w:rPr>
        <w:t>Reporting projections and caches are rebuildable derived data; source transactions remain authoritative.</w:t>
      </w:r>
    </w:p>
    <w:p>
      <w:pPr>
        <w:pStyle w:val="ListBullet"/>
        <w:spacing w:after="40" w:line="247" w:lineRule="auto"/>
      </w:pPr>
      <w:r>
        <w:rPr>
          <w:rFonts w:ascii="Inter" w:hAnsi="Inter"/>
          <w:color w:val="172033"/>
          <w:sz w:val="18"/>
        </w:rPr>
        <w:t>Archived snapshots and published report packs are immutable; revised information creates a new output or superseding pack.</w:t>
      </w:r>
    </w:p>
    <w:p>
      <w:pPr>
        <w:pStyle w:val="ListBullet"/>
        <w:spacing w:after="40" w:line="247" w:lineRule="auto"/>
      </w:pPr>
      <w:r>
        <w:rPr>
          <w:rFonts w:ascii="Inter" w:hAnsi="Inter"/>
          <w:color w:val="172033"/>
          <w:sz w:val="18"/>
        </w:rPr>
        <w:t>Output files may expire or be purged while generation and audit evidence remain according to policy.</w:t>
      </w:r>
    </w:p>
    <w:p>
      <w:pPr>
        <w:pStyle w:val="ListBullet"/>
        <w:spacing w:after="40" w:line="247" w:lineRule="auto"/>
      </w:pPr>
      <w:r>
        <w:rPr>
          <w:rFonts w:ascii="Inter" w:hAnsi="Inter"/>
          <w:color w:val="172033"/>
          <w:sz w:val="18"/>
        </w:rPr>
        <w:t>Retention shall distinguish transient display output, downloadable export, scheduled delivery, formal snapshot, regulatory output, and audit evidence.</w:t>
      </w:r>
    </w:p>
    <w:p>
      <w:pPr>
        <w:pStyle w:val="Heading1"/>
        <w:keepNext/>
        <w:pageBreakBefore w:val="0"/>
      </w:pPr>
      <w:r>
        <w:t>17. Edition Availability</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tblHeader w:val="true"/>
          <w:cantSplit/>
        </w:trPr>
        <w:tc>
          <w:tcPr>
            <w:tcW w:type="dxa" w:w="324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Capability</w:t>
            </w:r>
          </w:p>
        </w:tc>
        <w:tc>
          <w:tcPr>
            <w:tcW w:type="dxa" w:w="1267"/>
            <w:shd w:fill="E7F0F8"/>
            <w:vAlign w:val="center"/>
            <w:tcMar>
              <w:top w:w="55" w:type="dxa"/>
              <w:start w:w="75" w:type="dxa"/>
              <w:bottom w:w="55" w:type="dxa"/>
              <w:end w:w="75" w:type="dxa"/>
            </w:tcMar>
          </w:tcPr>
          <w:p>
            <w:pPr>
              <w:spacing w:before="0" w:after="0" w:line="240" w:lineRule="auto"/>
            </w:pPr>
            <w:r>
              <w:rPr>
                <w:rFonts w:ascii="Inter" w:hAnsi="Inter"/>
                <w:b/>
                <w:color w:val="172033"/>
                <w:sz w:val="16"/>
              </w:rPr>
              <w:t>Free</w:t>
            </w:r>
          </w:p>
        </w:tc>
        <w:tc>
          <w:tcPr>
            <w:tcW w:type="dxa" w:w="1267"/>
            <w:shd w:fill="E7F0F8"/>
            <w:vAlign w:val="center"/>
            <w:tcMar>
              <w:top w:w="55" w:type="dxa"/>
              <w:start w:w="75" w:type="dxa"/>
              <w:bottom w:w="55" w:type="dxa"/>
              <w:end w:w="75" w:type="dxa"/>
            </w:tcMar>
          </w:tcPr>
          <w:p>
            <w:pPr>
              <w:spacing w:before="0" w:after="0" w:line="240" w:lineRule="auto"/>
            </w:pPr>
            <w:r>
              <w:rPr>
                <w:rFonts w:ascii="Inter" w:hAnsi="Inter"/>
                <w:b/>
                <w:color w:val="172033"/>
                <w:sz w:val="16"/>
              </w:rPr>
              <w:t>Startup</w:t>
            </w:r>
          </w:p>
        </w:tc>
        <w:tc>
          <w:tcPr>
            <w:tcW w:type="dxa" w:w="1267"/>
            <w:shd w:fill="E7F0F8"/>
            <w:vAlign w:val="center"/>
            <w:tcMar>
              <w:top w:w="55" w:type="dxa"/>
              <w:start w:w="75" w:type="dxa"/>
              <w:bottom w:w="55" w:type="dxa"/>
              <w:end w:w="75" w:type="dxa"/>
            </w:tcMar>
          </w:tcPr>
          <w:p>
            <w:pPr>
              <w:spacing w:before="0" w:after="0" w:line="240" w:lineRule="auto"/>
            </w:pPr>
            <w:r>
              <w:rPr>
                <w:rFonts w:ascii="Inter" w:hAnsi="Inter"/>
                <w:b/>
                <w:color w:val="172033"/>
                <w:sz w:val="16"/>
              </w:rPr>
              <w:t>Pro</w:t>
            </w:r>
          </w:p>
        </w:tc>
        <w:tc>
          <w:tcPr>
            <w:tcW w:type="dxa" w:w="1267"/>
            <w:shd w:fill="E7F0F8"/>
            <w:vAlign w:val="center"/>
            <w:tcMar>
              <w:top w:w="55" w:type="dxa"/>
              <w:start w:w="75" w:type="dxa"/>
              <w:bottom w:w="55" w:type="dxa"/>
              <w:end w:w="75" w:type="dxa"/>
            </w:tcMar>
          </w:tcPr>
          <w:p>
            <w:pPr>
              <w:spacing w:before="0" w:after="0" w:line="240" w:lineRule="auto"/>
            </w:pPr>
            <w:r>
              <w:rPr>
                <w:rFonts w:ascii="Inter" w:hAnsi="Inter"/>
                <w:b/>
                <w:color w:val="172033"/>
                <w:sz w:val="16"/>
              </w:rPr>
              <w:t>Advanced</w:t>
            </w:r>
          </w:p>
        </w:tc>
        <w:tc>
          <w:tcPr>
            <w:tcW w:type="dxa" w:w="1267"/>
            <w:shd w:fill="E7F0F8"/>
            <w:vAlign w:val="center"/>
            <w:tcMar>
              <w:top w:w="55" w:type="dxa"/>
              <w:start w:w="75" w:type="dxa"/>
              <w:bottom w:w="55" w:type="dxa"/>
              <w:end w:w="75" w:type="dxa"/>
            </w:tcMar>
          </w:tcPr>
          <w:p>
            <w:pPr>
              <w:spacing w:before="0" w:after="0" w:line="240" w:lineRule="auto"/>
            </w:pPr>
            <w:r>
              <w:rPr>
                <w:rFonts w:ascii="Inter" w:hAnsi="Inter"/>
                <w:b/>
                <w:color w:val="172033"/>
                <w:sz w:val="16"/>
              </w:rPr>
              <w:t>ERP</w:t>
            </w:r>
          </w:p>
        </w:tc>
      </w:tr>
      <w:tr>
        <w:trPr>
          <w:cantSplit/>
        </w:trPr>
        <w:tc>
          <w:tcPr>
            <w:tcW w:type="dxa" w:w="3240"/>
            <w:vAlign w:val="center"/>
            <w:tcMar>
              <w:top w:w="55" w:type="dxa"/>
              <w:start w:w="75" w:type="dxa"/>
              <w:bottom w:w="55" w:type="dxa"/>
              <w:end w:w="75" w:type="dxa"/>
            </w:tcMar>
          </w:tcPr>
          <w:p>
            <w:pPr>
              <w:spacing w:before="0" w:after="0" w:line="240" w:lineRule="auto"/>
            </w:pPr>
            <w:r>
              <w:rPr>
                <w:rFonts w:ascii="Inter" w:hAnsi="Inter"/>
                <w:b w:val="0"/>
                <w:color w:val="172033"/>
                <w:sz w:val="13"/>
              </w:rPr>
              <w:t>Standard operational reports</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r>
      <w:tr>
        <w:trPr>
          <w:cantSplit/>
        </w:trPr>
        <w:tc>
          <w:tcPr>
            <w:tcW w:type="dxa" w:w="3240"/>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Basic financial/performance reports</w:t>
            </w:r>
          </w:p>
        </w:tc>
        <w:tc>
          <w:tcPr>
            <w:tcW w:type="dxa" w:w="1267"/>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67"/>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67"/>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67"/>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67"/>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r>
      <w:tr>
        <w:trPr>
          <w:cantSplit/>
        </w:trPr>
        <w:tc>
          <w:tcPr>
            <w:tcW w:type="dxa" w:w="3240"/>
            <w:vAlign w:val="center"/>
            <w:tcMar>
              <w:top w:w="55" w:type="dxa"/>
              <w:start w:w="75" w:type="dxa"/>
              <w:bottom w:w="55" w:type="dxa"/>
              <w:end w:w="75" w:type="dxa"/>
            </w:tcMar>
          </w:tcPr>
          <w:p>
            <w:pPr>
              <w:spacing w:before="0" w:after="0" w:line="240" w:lineRule="auto"/>
            </w:pPr>
            <w:r>
              <w:rPr>
                <w:rFonts w:ascii="Inter" w:hAnsi="Inter"/>
                <w:b w:val="0"/>
                <w:color w:val="172033"/>
                <w:sz w:val="13"/>
              </w:rPr>
              <w:t>Display Report and print</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r>
      <w:tr>
        <w:trPr>
          <w:cantSplit/>
        </w:trPr>
        <w:tc>
          <w:tcPr>
            <w:tcW w:type="dxa" w:w="3240"/>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PDF export</w:t>
            </w:r>
          </w:p>
        </w:tc>
        <w:tc>
          <w:tcPr>
            <w:tcW w:type="dxa" w:w="1267"/>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67"/>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67"/>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67"/>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67"/>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r>
      <w:tr>
        <w:trPr>
          <w:cantSplit/>
        </w:trPr>
        <w:tc>
          <w:tcPr>
            <w:tcW w:type="dxa" w:w="3240"/>
            <w:vAlign w:val="center"/>
            <w:tcMar>
              <w:top w:w="55" w:type="dxa"/>
              <w:start w:w="75" w:type="dxa"/>
              <w:bottom w:w="55" w:type="dxa"/>
              <w:end w:w="75" w:type="dxa"/>
            </w:tcMar>
          </w:tcPr>
          <w:p>
            <w:pPr>
              <w:spacing w:before="0" w:after="0" w:line="240" w:lineRule="auto"/>
            </w:pPr>
            <w:r>
              <w:rPr>
                <w:rFonts w:ascii="Inter" w:hAnsi="Inter"/>
                <w:b w:val="0"/>
                <w:color w:val="172033"/>
                <w:sz w:val="13"/>
              </w:rPr>
              <w:t>Spreadsheet / CSV export</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Limited / excluded</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r>
      <w:tr>
        <w:trPr>
          <w:cantSplit/>
        </w:trPr>
        <w:tc>
          <w:tcPr>
            <w:tcW w:type="dxa" w:w="3240"/>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Advanced filters and grouping</w:t>
            </w:r>
          </w:p>
        </w:tc>
        <w:tc>
          <w:tcPr>
            <w:tcW w:type="dxa" w:w="1267"/>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Basic</w:t>
            </w:r>
          </w:p>
        </w:tc>
        <w:tc>
          <w:tcPr>
            <w:tcW w:type="dxa" w:w="1267"/>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67"/>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67"/>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67"/>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r>
      <w:tr>
        <w:trPr>
          <w:cantSplit/>
        </w:trPr>
        <w:tc>
          <w:tcPr>
            <w:tcW w:type="dxa" w:w="3240"/>
            <w:vAlign w:val="center"/>
            <w:tcMar>
              <w:top w:w="55" w:type="dxa"/>
              <w:start w:w="75" w:type="dxa"/>
              <w:bottom w:w="55" w:type="dxa"/>
              <w:end w:w="75" w:type="dxa"/>
            </w:tcMar>
          </w:tcPr>
          <w:p>
            <w:pPr>
              <w:spacing w:before="0" w:after="0" w:line="240" w:lineRule="auto"/>
            </w:pPr>
            <w:r>
              <w:rPr>
                <w:rFonts w:ascii="Inter" w:hAnsi="Inter"/>
                <w:b w:val="0"/>
                <w:color w:val="172033"/>
                <w:sz w:val="13"/>
              </w:rPr>
              <w:t>Favorites and saved views</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Limited / excluded</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r>
      <w:tr>
        <w:trPr>
          <w:cantSplit/>
        </w:trPr>
        <w:tc>
          <w:tcPr>
            <w:tcW w:type="dxa" w:w="3240"/>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Drill-down to source</w:t>
            </w:r>
          </w:p>
        </w:tc>
        <w:tc>
          <w:tcPr>
            <w:tcW w:type="dxa" w:w="1267"/>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Limited</w:t>
            </w:r>
          </w:p>
        </w:tc>
        <w:tc>
          <w:tcPr>
            <w:tcW w:type="dxa" w:w="1267"/>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Limited</w:t>
            </w:r>
          </w:p>
        </w:tc>
        <w:tc>
          <w:tcPr>
            <w:tcW w:type="dxa" w:w="1267"/>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67"/>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67"/>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r>
      <w:tr>
        <w:trPr>
          <w:cantSplit/>
        </w:trPr>
        <w:tc>
          <w:tcPr>
            <w:tcW w:type="dxa" w:w="3240"/>
            <w:vAlign w:val="center"/>
            <w:tcMar>
              <w:top w:w="55" w:type="dxa"/>
              <w:start w:w="75" w:type="dxa"/>
              <w:bottom w:w="55" w:type="dxa"/>
              <w:end w:w="75" w:type="dxa"/>
            </w:tcMar>
          </w:tcPr>
          <w:p>
            <w:pPr>
              <w:spacing w:before="0" w:after="0" w:line="240" w:lineRule="auto"/>
            </w:pPr>
            <w:r>
              <w:rPr>
                <w:rFonts w:ascii="Inter" w:hAnsi="Inter"/>
                <w:b w:val="0"/>
                <w:color w:val="172033"/>
                <w:sz w:val="13"/>
              </w:rPr>
              <w:t>Period and branch comparison</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Limited</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r>
      <w:tr>
        <w:trPr>
          <w:cantSplit/>
        </w:trPr>
        <w:tc>
          <w:tcPr>
            <w:tcW w:type="dxa" w:w="3240"/>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Scheduled reports and secure delivery</w:t>
            </w:r>
          </w:p>
        </w:tc>
        <w:tc>
          <w:tcPr>
            <w:tcW w:type="dxa" w:w="1267"/>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Excluded</w:t>
            </w:r>
          </w:p>
        </w:tc>
        <w:tc>
          <w:tcPr>
            <w:tcW w:type="dxa" w:w="1267"/>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Excluded / limited</w:t>
            </w:r>
          </w:p>
        </w:tc>
        <w:tc>
          <w:tcPr>
            <w:tcW w:type="dxa" w:w="1267"/>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Limited</w:t>
            </w:r>
          </w:p>
        </w:tc>
        <w:tc>
          <w:tcPr>
            <w:tcW w:type="dxa" w:w="1267"/>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67"/>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r>
      <w:tr>
        <w:trPr>
          <w:cantSplit/>
        </w:trPr>
        <w:tc>
          <w:tcPr>
            <w:tcW w:type="dxa" w:w="3240"/>
            <w:vAlign w:val="center"/>
            <w:tcMar>
              <w:top w:w="55" w:type="dxa"/>
              <w:start w:w="75" w:type="dxa"/>
              <w:bottom w:w="55" w:type="dxa"/>
              <w:end w:w="75" w:type="dxa"/>
            </w:tcMar>
          </w:tcPr>
          <w:p>
            <w:pPr>
              <w:spacing w:before="0" w:after="0" w:line="240" w:lineRule="auto"/>
            </w:pPr>
            <w:r>
              <w:rPr>
                <w:rFonts w:ascii="Inter" w:hAnsi="Inter"/>
                <w:b w:val="0"/>
                <w:color w:val="172033"/>
                <w:sz w:val="13"/>
              </w:rPr>
              <w:t>Custom report views / layouts</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Excluded</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Excluded</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Limited</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r>
      <w:tr>
        <w:trPr>
          <w:cantSplit/>
        </w:trPr>
        <w:tc>
          <w:tcPr>
            <w:tcW w:type="dxa" w:w="3240"/>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Management report packs</w:t>
            </w:r>
          </w:p>
        </w:tc>
        <w:tc>
          <w:tcPr>
            <w:tcW w:type="dxa" w:w="1267"/>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Excluded</w:t>
            </w:r>
          </w:p>
        </w:tc>
        <w:tc>
          <w:tcPr>
            <w:tcW w:type="dxa" w:w="1267"/>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Excluded</w:t>
            </w:r>
          </w:p>
        </w:tc>
        <w:tc>
          <w:tcPr>
            <w:tcW w:type="dxa" w:w="1267"/>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Limited</w:t>
            </w:r>
          </w:p>
        </w:tc>
        <w:tc>
          <w:tcPr>
            <w:tcW w:type="dxa" w:w="1267"/>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67"/>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r>
      <w:tr>
        <w:trPr>
          <w:cantSplit/>
        </w:trPr>
        <w:tc>
          <w:tcPr>
            <w:tcW w:type="dxa" w:w="3240"/>
            <w:vAlign w:val="center"/>
            <w:tcMar>
              <w:top w:w="55" w:type="dxa"/>
              <w:start w:w="75" w:type="dxa"/>
              <w:bottom w:w="55" w:type="dxa"/>
              <w:end w:w="75" w:type="dxa"/>
            </w:tcMar>
          </w:tcPr>
          <w:p>
            <w:pPr>
              <w:spacing w:before="0" w:after="0" w:line="240" w:lineRule="auto"/>
            </w:pPr>
            <w:r>
              <w:rPr>
                <w:rFonts w:ascii="Inter" w:hAnsi="Inter"/>
                <w:b w:val="0"/>
                <w:color w:val="172033"/>
                <w:sz w:val="13"/>
              </w:rPr>
              <w:t>Multi-branch consolidation</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Excluded</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Excluded</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Limited</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r>
      <w:tr>
        <w:trPr>
          <w:cantSplit/>
        </w:trPr>
        <w:tc>
          <w:tcPr>
            <w:tcW w:type="dxa" w:w="3240"/>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Multi-company / legal-entity consolidation</w:t>
            </w:r>
          </w:p>
        </w:tc>
        <w:tc>
          <w:tcPr>
            <w:tcW w:type="dxa" w:w="1267"/>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Excluded</w:t>
            </w:r>
          </w:p>
        </w:tc>
        <w:tc>
          <w:tcPr>
            <w:tcW w:type="dxa" w:w="1267"/>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Excluded</w:t>
            </w:r>
          </w:p>
        </w:tc>
        <w:tc>
          <w:tcPr>
            <w:tcW w:type="dxa" w:w="1267"/>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Excluded</w:t>
            </w:r>
          </w:p>
        </w:tc>
        <w:tc>
          <w:tcPr>
            <w:tcW w:type="dxa" w:w="1267"/>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Limited</w:t>
            </w:r>
          </w:p>
        </w:tc>
        <w:tc>
          <w:tcPr>
            <w:tcW w:type="dxa" w:w="1267"/>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r>
      <w:tr>
        <w:trPr>
          <w:cantSplit/>
        </w:trPr>
        <w:tc>
          <w:tcPr>
            <w:tcW w:type="dxa" w:w="3240"/>
            <w:vAlign w:val="center"/>
            <w:tcMar>
              <w:top w:w="55" w:type="dxa"/>
              <w:start w:w="75" w:type="dxa"/>
              <w:bottom w:w="55" w:type="dxa"/>
              <w:end w:w="75" w:type="dxa"/>
            </w:tcMar>
          </w:tcPr>
          <w:p>
            <w:pPr>
              <w:spacing w:before="0" w:after="0" w:line="240" w:lineRule="auto"/>
            </w:pPr>
            <w:r>
              <w:rPr>
                <w:rFonts w:ascii="Inter" w:hAnsi="Inter"/>
                <w:b w:val="0"/>
                <w:color w:val="172033"/>
                <w:sz w:val="13"/>
              </w:rPr>
              <w:t>Business intelligence / semantic model</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Excluded</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Excluded</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Excluded</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Limited</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r>
      <w:tr>
        <w:trPr>
          <w:cantSplit/>
        </w:trPr>
        <w:tc>
          <w:tcPr>
            <w:tcW w:type="dxa" w:w="3240"/>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AI-assisted insights and forecasting</w:t>
            </w:r>
          </w:p>
        </w:tc>
        <w:tc>
          <w:tcPr>
            <w:tcW w:type="dxa" w:w="1267"/>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Excluded / discovery</w:t>
            </w:r>
          </w:p>
        </w:tc>
        <w:tc>
          <w:tcPr>
            <w:tcW w:type="dxa" w:w="1267"/>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Limited / discovery</w:t>
            </w:r>
          </w:p>
        </w:tc>
        <w:tc>
          <w:tcPr>
            <w:tcW w:type="dxa" w:w="1267"/>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Limited</w:t>
            </w:r>
          </w:p>
        </w:tc>
        <w:tc>
          <w:tcPr>
            <w:tcW w:type="dxa" w:w="1267"/>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c>
          <w:tcPr>
            <w:tcW w:type="dxa" w:w="1267"/>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r>
      <w:tr>
        <w:trPr>
          <w:cantSplit/>
        </w:trPr>
        <w:tc>
          <w:tcPr>
            <w:tcW w:type="dxa" w:w="3240"/>
            <w:vAlign w:val="center"/>
            <w:tcMar>
              <w:top w:w="55" w:type="dxa"/>
              <w:start w:w="75" w:type="dxa"/>
              <w:bottom w:w="55" w:type="dxa"/>
              <w:end w:w="75" w:type="dxa"/>
            </w:tcMar>
          </w:tcPr>
          <w:p>
            <w:pPr>
              <w:spacing w:before="0" w:after="0" w:line="240" w:lineRule="auto"/>
            </w:pPr>
            <w:r>
              <w:rPr>
                <w:rFonts w:ascii="Inter" w:hAnsi="Inter"/>
                <w:b w:val="0"/>
                <w:color w:val="172033"/>
                <w:sz w:val="13"/>
              </w:rPr>
              <w:t>Regulatory and data-warehouse integration</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Excluded</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Excluded</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Excluded</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Limited</w:t>
            </w:r>
          </w:p>
        </w:tc>
        <w:tc>
          <w:tcPr>
            <w:tcW w:type="dxa" w:w="1267"/>
            <w:vAlign w:val="center"/>
            <w:tcMar>
              <w:top w:w="55" w:type="dxa"/>
              <w:start w:w="75" w:type="dxa"/>
              <w:bottom w:w="55" w:type="dxa"/>
              <w:end w:w="75" w:type="dxa"/>
            </w:tcMar>
          </w:tcPr>
          <w:p>
            <w:pPr>
              <w:spacing w:before="0" w:after="0" w:line="240" w:lineRule="auto"/>
            </w:pPr>
            <w:r>
              <w:rPr>
                <w:rFonts w:ascii="Inter" w:hAnsi="Inter"/>
                <w:b w:val="0"/>
                <w:color w:val="172033"/>
                <w:sz w:val="13"/>
              </w:rPr>
              <w:t>Included</w:t>
            </w:r>
          </w:p>
        </w:tc>
      </w:tr>
    </w:tbl>
    <w:p>
      <w:pPr>
        <w:spacing w:after="80" w:line="259" w:lineRule="auto"/>
      </w:pPr>
    </w:p>
    <w:tbl>
      <w:tblPr>
        <w:tblStyle w:val="TableGrid"/>
        <w:tblW w:type="auto" w:w="0"/>
        <w:jc w:val="center"/>
        <w:tblLayout w:type="fixed"/>
        <w:tblLook w:firstColumn="1" w:firstRow="1" w:lastColumn="0" w:lastRow="0" w:noHBand="0" w:noVBand="1" w:val="04A0"/>
      </w:tblPr>
      <w:tblGrid>
        <w:gridCol w:w="10262"/>
      </w:tblGrid>
      <w:tr>
        <w:tc>
          <w:tcPr>
            <w:tcW w:type="dxa" w:w="9576"/>
            <w:shd w:fill="E7F0F8"/>
            <w:tcBorders>
              <w:left w:val="single" w:sz="18" w:color="2F78B7"/>
              <w:top w:val="single" w:sz="4" w:color="B7C9DA"/>
              <w:bottom w:val="single" w:sz="4" w:color="B7C9DA"/>
              <w:right w:val="single" w:sz="4" w:color="B7C9DA"/>
            </w:tcBorders>
          </w:tcPr>
          <w:p>
            <w:pPr>
              <w:spacing w:after="0"/>
            </w:pPr>
            <w:r>
              <w:rPr>
                <w:rFonts w:ascii="Inter" w:hAnsi="Inter"/>
                <w:b/>
                <w:color w:val="1A2D44"/>
                <w:sz w:val="17"/>
              </w:rPr>
              <w:t xml:space="preserve">EDITION RULE  </w:t>
            </w:r>
            <w:r>
              <w:rPr>
                <w:rFonts w:ascii="Inter" w:hAnsi="Inter"/>
                <w:color w:val="172033"/>
                <w:sz w:val="17"/>
              </w:rPr>
              <w:t>All editions use the same governed definitions, source contracts, security, and data architecture. Edition differences unlock capability; they shall not create separate formulas, duplicate records, or incompatible report histories.</w:t>
            </w:r>
          </w:p>
        </w:tc>
      </w:tr>
    </w:tbl>
    <w:p>
      <w:pPr>
        <w:pStyle w:val="PartTitle"/>
        <w:pageBreakBefore/>
      </w:pPr>
      <w:r>
        <w:t>PART IV</w:t>
      </w:r>
    </w:p>
    <w:p>
      <w:pPr>
        <w:pStyle w:val="PartName"/>
      </w:pPr>
      <w:r>
        <w:t>Quality and Evolution</w:t>
      </w:r>
    </w:p>
    <w:p>
      <w:pPr>
        <w:pStyle w:val="PartSubtitle"/>
      </w:pPr>
      <w:r>
        <w:t>Performance, reliability, accessibility, AI readiness, implementation assurance, ERP expansion, and formal acceptance.</w:t>
      </w:r>
    </w:p>
    <w:p>
      <w:pPr>
        <w:pStyle w:val="Heading1"/>
        <w:keepNext/>
        <w:pageBreakBefore w:val="0"/>
      </w:pPr>
      <w:r>
        <w:t>18. Non-Functional Requirements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72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ID</w:t>
            </w:r>
          </w:p>
        </w:tc>
        <w:tc>
          <w:tcPr>
            <w:tcW w:type="dxa" w:w="784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Requirement</w:t>
            </w:r>
          </w:p>
        </w:tc>
      </w:tr>
      <w:tr>
        <w:trPr>
          <w:cantSplit/>
        </w:trPr>
        <w:tc>
          <w:tcPr>
            <w:tcW w:type="dxa" w:w="1728"/>
            <w:vAlign w:val="center"/>
            <w:tcMar>
              <w:top w:w="55" w:type="dxa"/>
              <w:start w:w="75" w:type="dxa"/>
              <w:bottom w:w="55" w:type="dxa"/>
              <w:end w:w="75" w:type="dxa"/>
            </w:tcMar>
          </w:tcPr>
          <w:p>
            <w:pPr>
              <w:spacing w:before="0" w:after="0" w:line="240" w:lineRule="auto"/>
            </w:pPr>
            <w:r>
              <w:rPr>
                <w:rFonts w:ascii="Inter" w:hAnsi="Inter"/>
                <w:b/>
                <w:color w:val="172033"/>
                <w:sz w:val="14"/>
              </w:rPr>
              <w:t>MDS-900-NFR-001</w:t>
            </w:r>
          </w:p>
        </w:tc>
        <w:tc>
          <w:tcPr>
            <w:tcW w:type="dxa" w:w="7848"/>
            <w:vAlign w:val="center"/>
            <w:tcMar>
              <w:top w:w="55" w:type="dxa"/>
              <w:start w:w="75" w:type="dxa"/>
              <w:bottom w:w="55" w:type="dxa"/>
              <w:end w:w="75" w:type="dxa"/>
            </w:tcMar>
          </w:tcPr>
          <w:p>
            <w:pPr>
              <w:spacing w:before="0" w:after="0" w:line="240" w:lineRule="auto"/>
            </w:pPr>
            <w:r>
              <w:rPr>
                <w:rFonts w:ascii="Inter" w:hAnsi="Inter"/>
                <w:b w:val="0"/>
                <w:color w:val="172033"/>
                <w:sz w:val="14"/>
              </w:rPr>
              <w:t>Common interactive reports should display within approximately two seconds under normal supported data volume and conditions; longer work shall show progress or use asynchronous generation.</w:t>
            </w:r>
          </w:p>
        </w:tc>
      </w:tr>
      <w:tr>
        <w:trPr>
          <w:cantSplit/>
        </w:trPr>
        <w:tc>
          <w:tcPr>
            <w:tcW w:type="dxa" w:w="1728"/>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MDS-900-NFR-002</w:t>
            </w:r>
          </w:p>
        </w:tc>
        <w:tc>
          <w:tcPr>
            <w:tcW w:type="dxa" w:w="784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Generation performance shall scale through approved queries, indexes, projections, caches, pagination, streaming, queues, and future warehouse services without changing business meaning.</w:t>
            </w:r>
          </w:p>
        </w:tc>
      </w:tr>
      <w:tr>
        <w:trPr>
          <w:cantSplit/>
        </w:trPr>
        <w:tc>
          <w:tcPr>
            <w:tcW w:type="dxa" w:w="1728"/>
            <w:vAlign w:val="center"/>
            <w:tcMar>
              <w:top w:w="55" w:type="dxa"/>
              <w:start w:w="75" w:type="dxa"/>
              <w:bottom w:w="55" w:type="dxa"/>
              <w:end w:w="75" w:type="dxa"/>
            </w:tcMar>
          </w:tcPr>
          <w:p>
            <w:pPr>
              <w:spacing w:before="0" w:after="0" w:line="240" w:lineRule="auto"/>
            </w:pPr>
            <w:r>
              <w:rPr>
                <w:rFonts w:ascii="Inter" w:hAnsi="Inter"/>
                <w:b/>
                <w:color w:val="172033"/>
                <w:sz w:val="14"/>
              </w:rPr>
              <w:t>MDS-900-NFR-003</w:t>
            </w:r>
          </w:p>
        </w:tc>
        <w:tc>
          <w:tcPr>
            <w:tcW w:type="dxa" w:w="7848"/>
            <w:vAlign w:val="center"/>
            <w:tcMar>
              <w:top w:w="55" w:type="dxa"/>
              <w:start w:w="75" w:type="dxa"/>
              <w:bottom w:w="55" w:type="dxa"/>
              <w:end w:w="75" w:type="dxa"/>
            </w:tcMar>
          </w:tcPr>
          <w:p>
            <w:pPr>
              <w:spacing w:before="0" w:after="0" w:line="240" w:lineRule="auto"/>
            </w:pPr>
            <w:r>
              <w:rPr>
                <w:rFonts w:ascii="Inter" w:hAnsi="Inter"/>
                <w:b w:val="0"/>
                <w:color w:val="172033"/>
                <w:sz w:val="14"/>
              </w:rPr>
              <w:t>Reports shall remain accurate under concurrent posting, reversal, payment, stock, and reconciliation activity through explicit as-of/freshness semantics.</w:t>
            </w:r>
          </w:p>
        </w:tc>
      </w:tr>
      <w:tr>
        <w:trPr>
          <w:cantSplit/>
        </w:trPr>
        <w:tc>
          <w:tcPr>
            <w:tcW w:type="dxa" w:w="1728"/>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MDS-900-NFR-004</w:t>
            </w:r>
          </w:p>
        </w:tc>
        <w:tc>
          <w:tcPr>
            <w:tcW w:type="dxa" w:w="784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Requests, jobs, exports, schedules, deliveries, and drill-down shall carry correlation identity for observability and support.</w:t>
            </w:r>
          </w:p>
        </w:tc>
      </w:tr>
      <w:tr>
        <w:trPr>
          <w:cantSplit/>
        </w:trPr>
        <w:tc>
          <w:tcPr>
            <w:tcW w:type="dxa" w:w="1728"/>
            <w:vAlign w:val="center"/>
            <w:tcMar>
              <w:top w:w="55" w:type="dxa"/>
              <w:start w:w="75" w:type="dxa"/>
              <w:bottom w:w="55" w:type="dxa"/>
              <w:end w:w="75" w:type="dxa"/>
            </w:tcMar>
          </w:tcPr>
          <w:p>
            <w:pPr>
              <w:spacing w:before="0" w:after="0" w:line="240" w:lineRule="auto"/>
            </w:pPr>
            <w:r>
              <w:rPr>
                <w:rFonts w:ascii="Inter" w:hAnsi="Inter"/>
                <w:b/>
                <w:color w:val="172033"/>
                <w:sz w:val="14"/>
              </w:rPr>
              <w:t>MDS-900-NFR-005</w:t>
            </w:r>
          </w:p>
        </w:tc>
        <w:tc>
          <w:tcPr>
            <w:tcW w:type="dxa" w:w="7848"/>
            <w:vAlign w:val="center"/>
            <w:tcMar>
              <w:top w:w="55" w:type="dxa"/>
              <w:start w:w="75" w:type="dxa"/>
              <w:bottom w:w="55" w:type="dxa"/>
              <w:end w:w="75" w:type="dxa"/>
            </w:tcMar>
          </w:tcPr>
          <w:p>
            <w:pPr>
              <w:spacing w:before="0" w:after="0" w:line="240" w:lineRule="auto"/>
            </w:pPr>
            <w:r>
              <w:rPr>
                <w:rFonts w:ascii="Inter" w:hAnsi="Inter"/>
                <w:b w:val="0"/>
                <w:color w:val="172033"/>
                <w:sz w:val="14"/>
              </w:rPr>
              <w:t>Report failures shall distinguish validation, authorization, entitlement, source, timeout, resource, delivery, and unexpected defects.</w:t>
            </w:r>
          </w:p>
        </w:tc>
      </w:tr>
      <w:tr>
        <w:trPr>
          <w:cantSplit/>
        </w:trPr>
        <w:tc>
          <w:tcPr>
            <w:tcW w:type="dxa" w:w="1728"/>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MDS-900-NFR-006</w:t>
            </w:r>
          </w:p>
        </w:tc>
        <w:tc>
          <w:tcPr>
            <w:tcW w:type="dxa" w:w="784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The user interface shall remain responsive, keyboard operable, focus-visible, screen-reader compatible, and usable across approved viewport ranges.</w:t>
            </w:r>
          </w:p>
        </w:tc>
      </w:tr>
      <w:tr>
        <w:trPr>
          <w:cantSplit/>
        </w:trPr>
        <w:tc>
          <w:tcPr>
            <w:tcW w:type="dxa" w:w="1728"/>
            <w:vAlign w:val="center"/>
            <w:tcMar>
              <w:top w:w="55" w:type="dxa"/>
              <w:start w:w="75" w:type="dxa"/>
              <w:bottom w:w="55" w:type="dxa"/>
              <w:end w:w="75" w:type="dxa"/>
            </w:tcMar>
          </w:tcPr>
          <w:p>
            <w:pPr>
              <w:spacing w:before="0" w:after="0" w:line="240" w:lineRule="auto"/>
            </w:pPr>
            <w:r>
              <w:rPr>
                <w:rFonts w:ascii="Inter" w:hAnsi="Inter"/>
                <w:b/>
                <w:color w:val="172033"/>
                <w:sz w:val="14"/>
              </w:rPr>
              <w:t>MDS-900-NFR-007</w:t>
            </w:r>
          </w:p>
        </w:tc>
        <w:tc>
          <w:tcPr>
            <w:tcW w:type="dxa" w:w="7848"/>
            <w:vAlign w:val="center"/>
            <w:tcMar>
              <w:top w:w="55" w:type="dxa"/>
              <w:start w:w="75" w:type="dxa"/>
              <w:bottom w:w="55" w:type="dxa"/>
              <w:end w:w="75" w:type="dxa"/>
            </w:tcMar>
          </w:tcPr>
          <w:p>
            <w:pPr>
              <w:spacing w:before="0" w:after="0" w:line="240" w:lineRule="auto"/>
            </w:pPr>
            <w:r>
              <w:rPr>
                <w:rFonts w:ascii="Inter" w:hAnsi="Inter"/>
                <w:b w:val="0"/>
                <w:color w:val="172033"/>
                <w:sz w:val="14"/>
              </w:rPr>
              <w:t>Charts shall have descriptive titles, labels, non-color cues, and equivalent accessible tables or summaries.</w:t>
            </w:r>
          </w:p>
        </w:tc>
      </w:tr>
      <w:tr>
        <w:trPr>
          <w:cantSplit/>
        </w:trPr>
        <w:tc>
          <w:tcPr>
            <w:tcW w:type="dxa" w:w="1728"/>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MDS-900-NFR-008</w:t>
            </w:r>
          </w:p>
        </w:tc>
        <w:tc>
          <w:tcPr>
            <w:tcW w:type="dxa" w:w="784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Generated PDF and spreadsheet outputs shall preserve readable layout, headers, repeated table headings, page metadata, and understandable totals.</w:t>
            </w:r>
          </w:p>
        </w:tc>
      </w:tr>
      <w:tr>
        <w:trPr>
          <w:cantSplit/>
        </w:trPr>
        <w:tc>
          <w:tcPr>
            <w:tcW w:type="dxa" w:w="1728"/>
            <w:vAlign w:val="center"/>
            <w:tcMar>
              <w:top w:w="55" w:type="dxa"/>
              <w:start w:w="75" w:type="dxa"/>
              <w:bottom w:w="55" w:type="dxa"/>
              <w:end w:w="75" w:type="dxa"/>
            </w:tcMar>
          </w:tcPr>
          <w:p>
            <w:pPr>
              <w:spacing w:before="0" w:after="0" w:line="240" w:lineRule="auto"/>
            </w:pPr>
            <w:r>
              <w:rPr>
                <w:rFonts w:ascii="Inter" w:hAnsi="Inter"/>
                <w:b/>
                <w:color w:val="172033"/>
                <w:sz w:val="14"/>
              </w:rPr>
              <w:t>MDS-900-NFR-009</w:t>
            </w:r>
          </w:p>
        </w:tc>
        <w:tc>
          <w:tcPr>
            <w:tcW w:type="dxa" w:w="7848"/>
            <w:vAlign w:val="center"/>
            <w:tcMar>
              <w:top w:w="55" w:type="dxa"/>
              <w:start w:w="75" w:type="dxa"/>
              <w:bottom w:w="55" w:type="dxa"/>
              <w:end w:w="75" w:type="dxa"/>
            </w:tcMar>
          </w:tcPr>
          <w:p>
            <w:pPr>
              <w:spacing w:before="0" w:after="0" w:line="240" w:lineRule="auto"/>
            </w:pPr>
            <w:r>
              <w:rPr>
                <w:rFonts w:ascii="Inter" w:hAnsi="Inter"/>
                <w:b w:val="0"/>
                <w:color w:val="172033"/>
                <w:sz w:val="14"/>
              </w:rPr>
              <w:t>Localization shall support configured date, time, number, currency, language, paper size, and address conventions.</w:t>
            </w:r>
          </w:p>
        </w:tc>
      </w:tr>
      <w:tr>
        <w:trPr>
          <w:cantSplit/>
        </w:trPr>
        <w:tc>
          <w:tcPr>
            <w:tcW w:type="dxa" w:w="1728"/>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MDS-900-NFR-010</w:t>
            </w:r>
          </w:p>
        </w:tc>
        <w:tc>
          <w:tcPr>
            <w:tcW w:type="dxa" w:w="784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Report generation and output storage shall not exhaust shared application resources or expose one tenant to another.</w:t>
            </w:r>
          </w:p>
        </w:tc>
      </w:tr>
      <w:tr>
        <w:trPr>
          <w:cantSplit/>
        </w:trPr>
        <w:tc>
          <w:tcPr>
            <w:tcW w:type="dxa" w:w="1728"/>
            <w:vAlign w:val="center"/>
            <w:tcMar>
              <w:top w:w="55" w:type="dxa"/>
              <w:start w:w="75" w:type="dxa"/>
              <w:bottom w:w="55" w:type="dxa"/>
              <w:end w:w="75" w:type="dxa"/>
            </w:tcMar>
          </w:tcPr>
          <w:p>
            <w:pPr>
              <w:spacing w:before="0" w:after="0" w:line="240" w:lineRule="auto"/>
            </w:pPr>
            <w:r>
              <w:rPr>
                <w:rFonts w:ascii="Inter" w:hAnsi="Inter"/>
                <w:b/>
                <w:color w:val="172033"/>
                <w:sz w:val="14"/>
              </w:rPr>
              <w:t>MDS-900-NFR-011</w:t>
            </w:r>
          </w:p>
        </w:tc>
        <w:tc>
          <w:tcPr>
            <w:tcW w:type="dxa" w:w="7848"/>
            <w:vAlign w:val="center"/>
            <w:tcMar>
              <w:top w:w="55" w:type="dxa"/>
              <w:start w:w="75" w:type="dxa"/>
              <w:bottom w:w="55" w:type="dxa"/>
              <w:end w:w="75" w:type="dxa"/>
            </w:tcMar>
          </w:tcPr>
          <w:p>
            <w:pPr>
              <w:spacing w:before="0" w:after="0" w:line="240" w:lineRule="auto"/>
            </w:pPr>
            <w:r>
              <w:rPr>
                <w:rFonts w:ascii="Inter" w:hAnsi="Inter"/>
                <w:b w:val="0"/>
                <w:color w:val="172033"/>
                <w:sz w:val="14"/>
              </w:rPr>
              <w:t>Backups and restore shall preserve definitions, schedules, retained outputs, references, permissions, and audit continuity according to recovery standards.</w:t>
            </w:r>
          </w:p>
        </w:tc>
      </w:tr>
      <w:tr>
        <w:trPr>
          <w:cantSplit/>
        </w:trPr>
        <w:tc>
          <w:tcPr>
            <w:tcW w:type="dxa" w:w="1728"/>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MDS-900-NFR-012</w:t>
            </w:r>
          </w:p>
        </w:tc>
        <w:tc>
          <w:tcPr>
            <w:tcW w:type="dxa" w:w="784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The module shall support maintainable versioned definitions, automated tests, migrations, source contracts, and reusable rendering components.</w:t>
            </w:r>
          </w:p>
        </w:tc>
      </w:tr>
      <w:tr>
        <w:trPr>
          <w:cantSplit/>
        </w:trPr>
        <w:tc>
          <w:tcPr>
            <w:tcW w:type="dxa" w:w="1728"/>
            <w:vAlign w:val="center"/>
            <w:tcMar>
              <w:top w:w="55" w:type="dxa"/>
              <w:start w:w="75" w:type="dxa"/>
              <w:bottom w:w="55" w:type="dxa"/>
              <w:end w:w="75" w:type="dxa"/>
            </w:tcMar>
          </w:tcPr>
          <w:p>
            <w:pPr>
              <w:spacing w:before="0" w:after="0" w:line="240" w:lineRule="auto"/>
            </w:pPr>
            <w:r>
              <w:rPr>
                <w:rFonts w:ascii="Inter" w:hAnsi="Inter"/>
                <w:b/>
                <w:color w:val="172033"/>
                <w:sz w:val="14"/>
              </w:rPr>
              <w:t>MDS-900-NFR-013</w:t>
            </w:r>
          </w:p>
        </w:tc>
        <w:tc>
          <w:tcPr>
            <w:tcW w:type="dxa" w:w="7848"/>
            <w:vAlign w:val="center"/>
            <w:tcMar>
              <w:top w:w="55" w:type="dxa"/>
              <w:start w:w="75" w:type="dxa"/>
              <w:bottom w:w="55" w:type="dxa"/>
              <w:end w:w="75" w:type="dxa"/>
            </w:tcMar>
          </w:tcPr>
          <w:p>
            <w:pPr>
              <w:spacing w:before="0" w:after="0" w:line="240" w:lineRule="auto"/>
            </w:pPr>
            <w:r>
              <w:rPr>
                <w:rFonts w:ascii="Inter" w:hAnsi="Inter"/>
                <w:b w:val="0"/>
                <w:color w:val="172033"/>
                <w:sz w:val="14"/>
              </w:rPr>
              <w:t>AI or external analytics service failure shall not block core report generation or corrupt retained outputs.</w:t>
            </w:r>
          </w:p>
        </w:tc>
      </w:tr>
      <w:tr>
        <w:trPr>
          <w:cantSplit/>
        </w:trPr>
        <w:tc>
          <w:tcPr>
            <w:tcW w:type="dxa" w:w="1728"/>
            <w:shd w:fill="F6F9FC"/>
            <w:vAlign w:val="center"/>
            <w:tcMar>
              <w:top w:w="55" w:type="dxa"/>
              <w:start w:w="75" w:type="dxa"/>
              <w:bottom w:w="55" w:type="dxa"/>
              <w:end w:w="75" w:type="dxa"/>
            </w:tcMar>
          </w:tcPr>
          <w:p>
            <w:pPr>
              <w:spacing w:before="0" w:after="0" w:line="240" w:lineRule="auto"/>
            </w:pPr>
            <w:r>
              <w:rPr>
                <w:rFonts w:ascii="Inter" w:hAnsi="Inter"/>
                <w:b/>
                <w:color w:val="172033"/>
                <w:sz w:val="14"/>
              </w:rPr>
              <w:t>MDS-900-NFR-014</w:t>
            </w:r>
          </w:p>
        </w:tc>
        <w:tc>
          <w:tcPr>
            <w:tcW w:type="dxa" w:w="7848"/>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Outputs shall be portable across supported browsers and deployment environments without embedding environment-specific business logic.</w:t>
            </w:r>
          </w:p>
        </w:tc>
      </w:tr>
    </w:tbl>
    <w:p>
      <w:pPr>
        <w:spacing w:after="80" w:line="259" w:lineRule="auto"/>
      </w:pPr>
    </w:p>
    <w:p>
      <w:pPr>
        <w:pStyle w:val="Heading2"/>
        <w:keepNext/>
      </w:pPr>
      <w:r>
        <w:t>18.1 User Experience and Accessibility</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376"/>
            <w:shd w:fill="E7F0F8"/>
            <w:vAlign w:val="center"/>
            <w:tcMar>
              <w:top w:w="55" w:type="dxa"/>
              <w:start w:w="75" w:type="dxa"/>
              <w:bottom w:w="55" w:type="dxa"/>
              <w:end w:w="75" w:type="dxa"/>
            </w:tcMar>
          </w:tcPr>
          <w:p>
            <w:pPr>
              <w:spacing w:before="0" w:after="0" w:line="240" w:lineRule="auto"/>
            </w:pPr>
            <w:r>
              <w:rPr>
                <w:rFonts w:ascii="Inter" w:hAnsi="Inter"/>
                <w:b/>
                <w:color w:val="172033"/>
                <w:sz w:val="16"/>
              </w:rPr>
              <w:t>Workspace element</w:t>
            </w:r>
          </w:p>
        </w:tc>
        <w:tc>
          <w:tcPr>
            <w:tcW w:type="dxa" w:w="720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Required treatment</w:t>
            </w:r>
          </w:p>
        </w:tc>
      </w:tr>
      <w:tr>
        <w:trPr>
          <w:cantSplit/>
        </w:trPr>
        <w:tc>
          <w:tcPr>
            <w:tcW w:type="dxa" w:w="2376"/>
            <w:vAlign w:val="center"/>
            <w:tcMar>
              <w:top w:w="55" w:type="dxa"/>
              <w:start w:w="75" w:type="dxa"/>
              <w:bottom w:w="55" w:type="dxa"/>
              <w:end w:w="75" w:type="dxa"/>
            </w:tcMar>
          </w:tcPr>
          <w:p>
            <w:pPr>
              <w:spacing w:before="0" w:after="0" w:line="240" w:lineRule="auto"/>
            </w:pPr>
            <w:r>
              <w:rPr>
                <w:rFonts w:ascii="Inter" w:hAnsi="Inter"/>
                <w:b w:val="0"/>
                <w:color w:val="172033"/>
                <w:sz w:val="15"/>
              </w:rPr>
              <w:t>Landing page</w:t>
            </w:r>
          </w:p>
        </w:tc>
        <w:tc>
          <w:tcPr>
            <w:tcW w:type="dxa" w:w="7200"/>
            <w:vAlign w:val="center"/>
            <w:tcMar>
              <w:top w:w="55" w:type="dxa"/>
              <w:start w:w="75" w:type="dxa"/>
              <w:bottom w:w="55" w:type="dxa"/>
              <w:end w:w="75" w:type="dxa"/>
            </w:tcMar>
          </w:tcPr>
          <w:p>
            <w:pPr>
              <w:spacing w:before="0" w:after="0" w:line="240" w:lineRule="auto"/>
            </w:pPr>
            <w:r>
              <w:rPr>
                <w:rFonts w:ascii="Inter" w:hAnsi="Inter"/>
                <w:b w:val="0"/>
                <w:color w:val="172033"/>
                <w:sz w:val="15"/>
              </w:rPr>
              <w:t>Title Reports &amp; Analytics; subtitle focused on understanding performance; up to three dominant actions such as Find Report, Display Recent, and Export or Scheduled Reports according to WF.</w:t>
            </w:r>
          </w:p>
        </w:tc>
      </w:tr>
      <w:tr>
        <w:trPr>
          <w:cantSplit/>
        </w:trPr>
        <w:tc>
          <w:tcPr>
            <w:tcW w:type="dxa" w:w="2376"/>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Catalog</w:t>
            </w:r>
          </w:p>
        </w:tc>
        <w:tc>
          <w:tcPr>
            <w:tcW w:type="dxa" w:w="720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Category cards/list, search, favorite/recent indicators, description, source, edition, permission, and empty states.</w:t>
            </w:r>
          </w:p>
        </w:tc>
      </w:tr>
      <w:tr>
        <w:trPr>
          <w:cantSplit/>
        </w:trPr>
        <w:tc>
          <w:tcPr>
            <w:tcW w:type="dxa" w:w="2376"/>
            <w:vAlign w:val="center"/>
            <w:tcMar>
              <w:top w:w="55" w:type="dxa"/>
              <w:start w:w="75" w:type="dxa"/>
              <w:bottom w:w="55" w:type="dxa"/>
              <w:end w:w="75" w:type="dxa"/>
            </w:tcMar>
          </w:tcPr>
          <w:p>
            <w:pPr>
              <w:spacing w:before="0" w:after="0" w:line="240" w:lineRule="auto"/>
            </w:pPr>
            <w:r>
              <w:rPr>
                <w:rFonts w:ascii="Inter" w:hAnsi="Inter"/>
                <w:b w:val="0"/>
                <w:color w:val="172033"/>
                <w:sz w:val="15"/>
              </w:rPr>
              <w:t>Parameter panel</w:t>
            </w:r>
          </w:p>
        </w:tc>
        <w:tc>
          <w:tcPr>
            <w:tcW w:type="dxa" w:w="7200"/>
            <w:vAlign w:val="center"/>
            <w:tcMar>
              <w:top w:w="55" w:type="dxa"/>
              <w:start w:w="75" w:type="dxa"/>
              <w:bottom w:w="55" w:type="dxa"/>
              <w:end w:w="75" w:type="dxa"/>
            </w:tcMar>
          </w:tcPr>
          <w:p>
            <w:pPr>
              <w:spacing w:before="0" w:after="0" w:line="240" w:lineRule="auto"/>
            </w:pPr>
            <w:r>
              <w:rPr>
                <w:rFonts w:ascii="Inter" w:hAnsi="Inter"/>
                <w:b w:val="0"/>
                <w:color w:val="172033"/>
                <w:sz w:val="15"/>
              </w:rPr>
              <w:t>Persistent labels, logical grouping, safe defaults, validation summary, keyboard order, clear all/reset, and active-filter summary.</w:t>
            </w:r>
          </w:p>
        </w:tc>
      </w:tr>
      <w:tr>
        <w:trPr>
          <w:cantSplit/>
        </w:trPr>
        <w:tc>
          <w:tcPr>
            <w:tcW w:type="dxa" w:w="2376"/>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Display Report</w:t>
            </w:r>
          </w:p>
        </w:tc>
        <w:tc>
          <w:tcPr>
            <w:tcW w:type="dxa" w:w="720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Report title, period, context, filters, freshness, generated time, totals, accessible table/chart, drill-down, and action bar.</w:t>
            </w:r>
          </w:p>
        </w:tc>
      </w:tr>
      <w:tr>
        <w:trPr>
          <w:cantSplit/>
        </w:trPr>
        <w:tc>
          <w:tcPr>
            <w:tcW w:type="dxa" w:w="2376"/>
            <w:vAlign w:val="center"/>
            <w:tcMar>
              <w:top w:w="55" w:type="dxa"/>
              <w:start w:w="75" w:type="dxa"/>
              <w:bottom w:w="55" w:type="dxa"/>
              <w:end w:w="75" w:type="dxa"/>
            </w:tcMar>
          </w:tcPr>
          <w:p>
            <w:pPr>
              <w:spacing w:before="0" w:after="0" w:line="240" w:lineRule="auto"/>
            </w:pPr>
            <w:r>
              <w:rPr>
                <w:rFonts w:ascii="Inter" w:hAnsi="Inter"/>
                <w:b w:val="0"/>
                <w:color w:val="172033"/>
                <w:sz w:val="15"/>
              </w:rPr>
              <w:t>Processing state</w:t>
            </w:r>
          </w:p>
        </w:tc>
        <w:tc>
          <w:tcPr>
            <w:tcW w:type="dxa" w:w="7200"/>
            <w:vAlign w:val="center"/>
            <w:tcMar>
              <w:top w:w="55" w:type="dxa"/>
              <w:start w:w="75" w:type="dxa"/>
              <w:bottom w:w="55" w:type="dxa"/>
              <w:end w:w="75" w:type="dxa"/>
            </w:tcMar>
          </w:tcPr>
          <w:p>
            <w:pPr>
              <w:spacing w:before="0" w:after="0" w:line="240" w:lineRule="auto"/>
            </w:pPr>
            <w:r>
              <w:rPr>
                <w:rFonts w:ascii="Inter" w:hAnsi="Inter"/>
                <w:b w:val="0"/>
                <w:color w:val="172033"/>
                <w:sz w:val="15"/>
              </w:rPr>
              <w:t>Progress, queued identity, safe navigation, notification option, cancellation where valid, and authoritative status check.</w:t>
            </w:r>
          </w:p>
        </w:tc>
      </w:tr>
      <w:tr>
        <w:trPr>
          <w:cantSplit/>
        </w:trPr>
        <w:tc>
          <w:tcPr>
            <w:tcW w:type="dxa" w:w="2376"/>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Error state</w:t>
            </w:r>
          </w:p>
        </w:tc>
        <w:tc>
          <w:tcPr>
            <w:tcW w:type="dxa" w:w="720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Specific issue, preserved parameters, what remains safe, recovery route, and no exposed technical details.</w:t>
            </w:r>
          </w:p>
        </w:tc>
      </w:tr>
      <w:tr>
        <w:trPr>
          <w:cantSplit/>
        </w:trPr>
        <w:tc>
          <w:tcPr>
            <w:tcW w:type="dxa" w:w="2376"/>
            <w:vAlign w:val="center"/>
            <w:tcMar>
              <w:top w:w="55" w:type="dxa"/>
              <w:start w:w="75" w:type="dxa"/>
              <w:bottom w:w="55" w:type="dxa"/>
              <w:end w:w="75" w:type="dxa"/>
            </w:tcMar>
          </w:tcPr>
          <w:p>
            <w:pPr>
              <w:spacing w:before="0" w:after="0" w:line="240" w:lineRule="auto"/>
            </w:pPr>
            <w:r>
              <w:rPr>
                <w:rFonts w:ascii="Inter" w:hAnsi="Inter"/>
                <w:b w:val="0"/>
                <w:color w:val="172033"/>
                <w:sz w:val="15"/>
              </w:rPr>
              <w:t>Mobile/tablet</w:t>
            </w:r>
          </w:p>
        </w:tc>
        <w:tc>
          <w:tcPr>
            <w:tcW w:type="dxa" w:w="7200"/>
            <w:vAlign w:val="center"/>
            <w:tcMar>
              <w:top w:w="55" w:type="dxa"/>
              <w:start w:w="75" w:type="dxa"/>
              <w:bottom w:w="55" w:type="dxa"/>
              <w:end w:w="75" w:type="dxa"/>
            </w:tcMar>
          </w:tcPr>
          <w:p>
            <w:pPr>
              <w:spacing w:before="0" w:after="0" w:line="240" w:lineRule="auto"/>
            </w:pPr>
            <w:r>
              <w:rPr>
                <w:rFonts w:ascii="Inter" w:hAnsi="Inter"/>
                <w:b w:val="0"/>
                <w:color w:val="172033"/>
                <w:sz w:val="15"/>
              </w:rPr>
              <w:t>Prioritize report selection, summary totals, filter drawer, responsive columns/cards, horizontal table strategy, and accessible export.</w:t>
            </w:r>
          </w:p>
        </w:tc>
      </w:tr>
      <w:tr>
        <w:trPr>
          <w:cantSplit/>
        </w:trPr>
        <w:tc>
          <w:tcPr>
            <w:tcW w:type="dxa" w:w="2376"/>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Print/export</w:t>
            </w:r>
          </w:p>
        </w:tc>
        <w:tc>
          <w:tcPr>
            <w:tcW w:type="dxa" w:w="720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Readable structure, repeated headings, page numbers, context metadata, sensitivity treatment, and no clipped content.</w:t>
            </w:r>
          </w:p>
        </w:tc>
      </w:tr>
    </w:tbl>
    <w:p>
      <w:pPr>
        <w:spacing w:after="80" w:line="259" w:lineRule="auto"/>
      </w:pPr>
    </w:p>
    <w:p>
      <w:pPr>
        <w:pStyle w:val="Heading2"/>
        <w:keepNext/>
      </w:pPr>
      <w:r>
        <w:t>18.2 Testing and Acceptance</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592"/>
            <w:shd w:fill="E7F0F8"/>
            <w:vAlign w:val="center"/>
            <w:tcMar>
              <w:top w:w="55" w:type="dxa"/>
              <w:start w:w="75" w:type="dxa"/>
              <w:bottom w:w="55" w:type="dxa"/>
              <w:end w:w="75" w:type="dxa"/>
            </w:tcMar>
          </w:tcPr>
          <w:p>
            <w:pPr>
              <w:spacing w:before="0" w:after="0" w:line="240" w:lineRule="auto"/>
            </w:pPr>
            <w:r>
              <w:rPr>
                <w:rFonts w:ascii="Inter" w:hAnsi="Inter"/>
                <w:b/>
                <w:color w:val="172033"/>
                <w:sz w:val="16"/>
              </w:rPr>
              <w:t>Test area</w:t>
            </w:r>
          </w:p>
        </w:tc>
        <w:tc>
          <w:tcPr>
            <w:tcW w:type="dxa" w:w="6984"/>
            <w:shd w:fill="E7F0F8"/>
            <w:vAlign w:val="center"/>
            <w:tcMar>
              <w:top w:w="55" w:type="dxa"/>
              <w:start w:w="75" w:type="dxa"/>
              <w:bottom w:w="55" w:type="dxa"/>
              <w:end w:w="75" w:type="dxa"/>
            </w:tcMar>
          </w:tcPr>
          <w:p>
            <w:pPr>
              <w:spacing w:before="0" w:after="0" w:line="240" w:lineRule="auto"/>
            </w:pPr>
            <w:r>
              <w:rPr>
                <w:rFonts w:ascii="Inter" w:hAnsi="Inter"/>
                <w:b/>
                <w:color w:val="172033"/>
                <w:sz w:val="16"/>
              </w:rPr>
              <w:t>Minimum scenarios</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5"/>
              </w:rPr>
              <w:t>Accuracy</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5"/>
              </w:rPr>
              <w:t>Known datasets, control totals, signs, rounding, dates, statuses, currency, tax, quantity, returns, voids, reversals, and partial transactions.</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Permissions</w:t>
            </w:r>
          </w:p>
        </w:tc>
        <w:tc>
          <w:tcPr>
            <w:tcW w:type="dxa" w:w="698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Direct URL, catalog, display, drill-down, field masking, print, export, schedule, delivery, cross-company, and admin definition tests.</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5"/>
              </w:rPr>
              <w:t>Parameters</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5"/>
              </w:rPr>
              <w:t>Required, default, all/null, invalid combinations, large date range, inactive master, multi-select, time zone, and localization.</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Concurrency / freshness</w:t>
            </w:r>
          </w:p>
        </w:tc>
        <w:tc>
          <w:tcPr>
            <w:tcW w:type="dxa" w:w="698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Posting during generation, delayed projection, stale disclosure, definition change, source restore, and as-of behavior.</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5"/>
              </w:rPr>
              <w:t>Failure / retry</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5"/>
              </w:rPr>
              <w:t>Timeout, duplicate request, queue failure, source unavailable, export failure, delivery partial success, expired link, and safe regeneration.</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Edition</w:t>
            </w:r>
          </w:p>
        </w:tc>
        <w:tc>
          <w:tcPr>
            <w:tcW w:type="dxa" w:w="698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Included, locked discovery, excluded, upgrade, downgrade, records preserved, schedule suspended, and output history retained.</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5"/>
              </w:rPr>
              <w:t>Accessibility</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5"/>
              </w:rPr>
              <w:t>Keyboard, focus, labels, errors, table headers, chart alternatives, screen reader, contrast, zoom, mobile, and print.</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Performance</w:t>
            </w:r>
          </w:p>
        </w:tc>
        <w:tc>
          <w:tcPr>
            <w:tcW w:type="dxa" w:w="698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Normal, boundary, large result, concurrent users, scheduled burst, export size, memory, queue backlog, and tenant isolation.</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5"/>
              </w:rPr>
              <w:t>AI safety</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5"/>
              </w:rPr>
              <w:t>Permission inheritance, source citation, unsupported inference, low confidence, privacy, human interpretation, unavailable service, and no source mutation.</w:t>
            </w:r>
          </w:p>
        </w:tc>
      </w:tr>
    </w:tbl>
    <w:p>
      <w:pPr>
        <w:spacing w:after="80" w:line="259" w:lineRule="auto"/>
      </w:pPr>
    </w:p>
    <w:p>
      <w:pPr>
        <w:pStyle w:val="Heading1"/>
        <w:keepNext/>
        <w:pageBreakBefore w:val="0"/>
      </w:pPr>
      <w:r>
        <w:t>19. Future ERP Expansion</w:t>
      </w:r>
    </w:p>
    <w:p>
      <w:pPr>
        <w:pStyle w:val="ListBullet"/>
        <w:spacing w:after="40" w:line="247" w:lineRule="auto"/>
      </w:pPr>
      <w:r>
        <w:rPr>
          <w:rFonts w:ascii="Inter" w:hAnsi="Inter"/>
          <w:color w:val="172033"/>
          <w:sz w:val="18"/>
        </w:rPr>
        <w:t>Full financial statement suite, comparative statements, notes support, period close reporting, and jurisdiction-specific presentation.</w:t>
      </w:r>
    </w:p>
    <w:p>
      <w:pPr>
        <w:pStyle w:val="ListBullet"/>
        <w:spacing w:after="40" w:line="247" w:lineRule="auto"/>
      </w:pPr>
      <w:r>
        <w:rPr>
          <w:rFonts w:ascii="Inter" w:hAnsi="Inter"/>
          <w:color w:val="172033"/>
          <w:sz w:val="18"/>
        </w:rPr>
        <w:t>Budget versus actual, forecast versus actual, variance analysis, scenario planning, and rolling forecasts.</w:t>
      </w:r>
    </w:p>
    <w:p>
      <w:pPr>
        <w:pStyle w:val="ListBullet"/>
        <w:spacing w:after="40" w:line="247" w:lineRule="auto"/>
      </w:pPr>
      <w:r>
        <w:rPr>
          <w:rFonts w:ascii="Inter" w:hAnsi="Inter"/>
          <w:color w:val="172033"/>
          <w:sz w:val="18"/>
        </w:rPr>
        <w:t>Cost center, profit center, department, project, branch, warehouse, territory, product line, channel, and segment reporting.</w:t>
      </w:r>
    </w:p>
    <w:p>
      <w:pPr>
        <w:pStyle w:val="ListBullet"/>
        <w:spacing w:after="40" w:line="247" w:lineRule="auto"/>
      </w:pPr>
      <w:r>
        <w:rPr>
          <w:rFonts w:ascii="Inter" w:hAnsi="Inter"/>
          <w:color w:val="172033"/>
          <w:sz w:val="18"/>
        </w:rPr>
        <w:t>Multi-company and multi-legal-entity consolidation with elimination, translation, ownership, and intercompany controls.</w:t>
      </w:r>
    </w:p>
    <w:p>
      <w:pPr>
        <w:pStyle w:val="ListBullet"/>
        <w:spacing w:after="40" w:line="247" w:lineRule="auto"/>
      </w:pPr>
      <w:r>
        <w:rPr>
          <w:rFonts w:ascii="Inter" w:hAnsi="Inter"/>
          <w:color w:val="172033"/>
          <w:sz w:val="18"/>
        </w:rPr>
        <w:t>Enterprise management packs, board packs, regulatory packages, certification, electronic filing, and controlled publication.</w:t>
      </w:r>
    </w:p>
    <w:p>
      <w:pPr>
        <w:pStyle w:val="ListBullet"/>
        <w:spacing w:after="40" w:line="247" w:lineRule="auto"/>
      </w:pPr>
      <w:r>
        <w:rPr>
          <w:rFonts w:ascii="Inter" w:hAnsi="Inter"/>
          <w:color w:val="172033"/>
          <w:sz w:val="18"/>
        </w:rPr>
        <w:t>Business intelligence semantic layer, governed self-service analytics, data mart/warehouse/lakehouse integration, and approved external BI tools.</w:t>
      </w:r>
    </w:p>
    <w:p>
      <w:pPr>
        <w:pStyle w:val="ListBullet"/>
        <w:spacing w:after="40" w:line="247" w:lineRule="auto"/>
      </w:pPr>
      <w:r>
        <w:rPr>
          <w:rFonts w:ascii="Inter" w:hAnsi="Inter"/>
          <w:color w:val="172033"/>
          <w:sz w:val="18"/>
        </w:rPr>
        <w:t>Near-real-time analytics, event-stream processing, large-volume asynchronous reporting, and operational analytics.</w:t>
      </w:r>
    </w:p>
    <w:p>
      <w:pPr>
        <w:pStyle w:val="ListBullet"/>
        <w:spacing w:after="40" w:line="247" w:lineRule="auto"/>
      </w:pPr>
      <w:r>
        <w:rPr>
          <w:rFonts w:ascii="Inter" w:hAnsi="Inter"/>
          <w:color w:val="172033"/>
          <w:sz w:val="18"/>
        </w:rPr>
        <w:t>Advanced forecasting, anomaly detection, driver analysis, benchmark analysis, recommendation, and explainable AI-assisted narratives.</w:t>
      </w:r>
    </w:p>
    <w:p>
      <w:pPr>
        <w:pStyle w:val="ListBullet"/>
        <w:spacing w:after="40" w:line="247" w:lineRule="auto"/>
      </w:pPr>
      <w:r>
        <w:rPr>
          <w:rFonts w:ascii="Inter" w:hAnsi="Inter"/>
          <w:color w:val="172033"/>
          <w:sz w:val="18"/>
        </w:rPr>
        <w:t>Natural-language report discovery and parameter assistance with permission inheritance and no silent formula creation.</w:t>
      </w:r>
    </w:p>
    <w:p>
      <w:pPr>
        <w:pStyle w:val="ListBullet"/>
        <w:spacing w:after="40" w:line="247" w:lineRule="auto"/>
      </w:pPr>
      <w:r>
        <w:rPr>
          <w:rFonts w:ascii="Inter" w:hAnsi="Inter"/>
          <w:color w:val="172033"/>
          <w:sz w:val="18"/>
        </w:rPr>
        <w:t>Custom report designer, calculated fields, governed extensions, reusable templates, version control, and controlled distribution.</w:t>
      </w:r>
    </w:p>
    <w:p>
      <w:pPr>
        <w:pStyle w:val="ListBullet"/>
        <w:spacing w:after="40" w:line="247" w:lineRule="auto"/>
      </w:pPr>
      <w:r>
        <w:rPr>
          <w:rFonts w:ascii="Inter" w:hAnsi="Inter"/>
          <w:color w:val="172033"/>
          <w:sz w:val="18"/>
        </w:rPr>
        <w:t>Enterprise subscriptions, scheduled delivery groups, report bursting, secure portals, digital signatures, and legal hold.</w:t>
      </w:r>
    </w:p>
    <w:p>
      <w:pPr>
        <w:pStyle w:val="ListBullet"/>
        <w:spacing w:after="40" w:line="247" w:lineRule="auto"/>
      </w:pPr>
      <w:r>
        <w:rPr>
          <w:rFonts w:ascii="Inter" w:hAnsi="Inter"/>
          <w:color w:val="172033"/>
          <w:sz w:val="18"/>
        </w:rPr>
        <w:t>Sustainability, ESG, industry, tax, audit, statutory, grant, donor, and other specialized reporting through new governed definitions and sources.</w:t>
      </w:r>
    </w:p>
    <w:tbl>
      <w:tblPr>
        <w:tblStyle w:val="TableGrid"/>
        <w:tblW w:type="auto" w:w="0"/>
        <w:jc w:val="center"/>
        <w:tblLayout w:type="fixed"/>
        <w:tblLook w:firstColumn="1" w:firstRow="1" w:lastColumn="0" w:lastRow="0" w:noHBand="0" w:noVBand="1" w:val="04A0"/>
      </w:tblPr>
      <w:tblGrid>
        <w:gridCol w:w="10262"/>
      </w:tblGrid>
      <w:tr>
        <w:tc>
          <w:tcPr>
            <w:tcW w:type="dxa" w:w="9576"/>
            <w:shd w:fill="E7F0F8"/>
            <w:tcBorders>
              <w:left w:val="single" w:sz="18" w:color="2F78B7"/>
              <w:top w:val="single" w:sz="4" w:color="B7C9DA"/>
              <w:bottom w:val="single" w:sz="4" w:color="B7C9DA"/>
              <w:right w:val="single" w:sz="4" w:color="B7C9DA"/>
            </w:tcBorders>
          </w:tcPr>
          <w:p>
            <w:pPr>
              <w:spacing w:after="0"/>
            </w:pPr>
            <w:r>
              <w:rPr>
                <w:rFonts w:ascii="Inter" w:hAnsi="Inter"/>
                <w:b/>
                <w:color w:val="1A2D44"/>
                <w:sz w:val="17"/>
              </w:rPr>
              <w:t xml:space="preserve">ERP EXTENSION RULE  </w:t>
            </w:r>
            <w:r>
              <w:rPr>
                <w:rFonts w:ascii="Inter" w:hAnsi="Inter"/>
                <w:color w:val="172033"/>
                <w:sz w:val="17"/>
              </w:rPr>
              <w:t>Future analytics shall extend the same report definition, source-contract, authorization, reproducibility, output, and audit framework. Enterprise capability shall not require a disconnected reporting product core.</w:t>
            </w:r>
          </w:p>
        </w:tc>
      </w:tr>
    </w:tbl>
    <w:p>
      <w:pPr>
        <w:spacing w:after="80" w:line="259" w:lineRule="auto"/>
      </w:pPr>
    </w:p>
    <w:p>
      <w:pPr>
        <w:pStyle w:val="Heading1"/>
        <w:keepNext/>
        <w:pageBreakBefore w:val="0"/>
      </w:pPr>
      <w:r>
        <w:t>20. Success Indicators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592"/>
            <w:shd w:fill="E7F0F8"/>
            <w:vAlign w:val="center"/>
            <w:tcMar>
              <w:top w:w="55" w:type="dxa"/>
              <w:start w:w="75" w:type="dxa"/>
              <w:bottom w:w="55" w:type="dxa"/>
              <w:end w:w="75" w:type="dxa"/>
            </w:tcMar>
          </w:tcPr>
          <w:p>
            <w:pPr>
              <w:spacing w:before="0" w:after="0" w:line="240" w:lineRule="auto"/>
            </w:pPr>
            <w:r>
              <w:rPr>
                <w:rFonts w:ascii="Inter" w:hAnsi="Inter"/>
                <w:b/>
                <w:color w:val="172033"/>
                <w:sz w:val="16"/>
              </w:rPr>
              <w:t>Indicator</w:t>
            </w:r>
          </w:p>
        </w:tc>
        <w:tc>
          <w:tcPr>
            <w:tcW w:type="dxa" w:w="6984"/>
            <w:shd w:fill="E7F0F8"/>
            <w:vAlign w:val="center"/>
            <w:tcMar>
              <w:top w:w="55" w:type="dxa"/>
              <w:start w:w="75" w:type="dxa"/>
              <w:bottom w:w="55" w:type="dxa"/>
              <w:end w:w="75" w:type="dxa"/>
            </w:tcMar>
          </w:tcPr>
          <w:p>
            <w:pPr>
              <w:spacing w:before="0" w:after="0" w:line="240" w:lineRule="auto"/>
            </w:pPr>
            <w:r>
              <w:rPr>
                <w:rFonts w:ascii="Inter" w:hAnsi="Inter"/>
                <w:b/>
                <w:color w:val="172033"/>
                <w:sz w:val="16"/>
              </w:rPr>
              <w:t>Evidence</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5"/>
              </w:rPr>
              <w:t>Accuracy</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5"/>
              </w:rPr>
              <w:t>Report totals reconcile to documented source control totals and defined analytical transformations.</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Reproducibility</w:t>
            </w:r>
          </w:p>
        </w:tc>
        <w:tc>
          <w:tcPr>
            <w:tcW w:type="dxa" w:w="698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Retained output can be explained by definition version, source contracts, parameters, period, currency, as-of time, and freshness.</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5"/>
              </w:rPr>
              <w:t>Ownership integrity</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5"/>
              </w:rPr>
              <w:t>No report, Dashboard card, export, cache, or analytics service becomes a competing operational ledger.</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User value</w:t>
            </w:r>
          </w:p>
        </w:tc>
        <w:tc>
          <w:tcPr>
            <w:tcW w:type="dxa" w:w="698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Entrepreneurs can find the right report, understand its question, generate it with safe defaults, and reach the source record.</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5"/>
              </w:rPr>
              <w:t>Decision usefulness</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5"/>
              </w:rPr>
              <w:t>Reports communicate trends, exceptions, obligations, performance, cash, stock, and profitability clearly enough to support action.</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Security</w:t>
            </w:r>
          </w:p>
        </w:tc>
        <w:tc>
          <w:tcPr>
            <w:tcW w:type="dxa" w:w="698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Unauthorized catalog detail, rows, fields, exports, schedules, recipients, companies, and source drill-down are prevented.</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5"/>
              </w:rPr>
              <w:t>Performance and reliability</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5"/>
              </w:rPr>
              <w:t>Common reports are responsive; large reports are safely asynchronous; failures and retries do not produce false or duplicate outputs.</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Edition consistency</w:t>
            </w:r>
          </w:p>
        </w:tc>
        <w:tc>
          <w:tcPr>
            <w:tcW w:type="dxa" w:w="698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Capabilities unlock progressively while definitions, sources, security, and history remain compatible.</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5"/>
              </w:rPr>
              <w:t>Accessibility</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5"/>
              </w:rPr>
              <w:t>Catalog, parameters, tables, charts, errors, exports, and mobile views pass approved accessibility checks.</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Growth readiness</w:t>
            </w:r>
          </w:p>
        </w:tc>
        <w:tc>
          <w:tcPr>
            <w:tcW w:type="dxa" w:w="698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New modules, dimensions, companies, currencies, BI, data warehouse, and AI services integrate through governed contracts.</w:t>
            </w:r>
          </w:p>
        </w:tc>
      </w:tr>
      <w:tr>
        <w:trPr>
          <w:cantSplit/>
        </w:trPr>
        <w:tc>
          <w:tcPr>
            <w:tcW w:type="dxa" w:w="2592"/>
            <w:vAlign w:val="center"/>
            <w:tcMar>
              <w:top w:w="55" w:type="dxa"/>
              <w:start w:w="75" w:type="dxa"/>
              <w:bottom w:w="55" w:type="dxa"/>
              <w:end w:w="75" w:type="dxa"/>
            </w:tcMar>
          </w:tcPr>
          <w:p>
            <w:pPr>
              <w:spacing w:before="0" w:after="0" w:line="240" w:lineRule="auto"/>
            </w:pPr>
            <w:r>
              <w:rPr>
                <w:rFonts w:ascii="Inter" w:hAnsi="Inter"/>
                <w:b w:val="0"/>
                <w:color w:val="172033"/>
                <w:sz w:val="15"/>
              </w:rPr>
              <w:t>Auditability</w:t>
            </w:r>
          </w:p>
        </w:tc>
        <w:tc>
          <w:tcPr>
            <w:tcW w:type="dxa" w:w="6984"/>
            <w:vAlign w:val="center"/>
            <w:tcMar>
              <w:top w:w="55" w:type="dxa"/>
              <w:start w:w="75" w:type="dxa"/>
              <w:bottom w:w="55" w:type="dxa"/>
              <w:end w:w="75" w:type="dxa"/>
            </w:tcMar>
          </w:tcPr>
          <w:p>
            <w:pPr>
              <w:spacing w:before="0" w:after="0" w:line="240" w:lineRule="auto"/>
            </w:pPr>
            <w:r>
              <w:rPr>
                <w:rFonts w:ascii="Inter" w:hAnsi="Inter"/>
                <w:b w:val="0"/>
                <w:color w:val="172033"/>
                <w:sz w:val="15"/>
              </w:rPr>
              <w:t>Material generation, export, print, schedule, delivery, definition, and AI-assisted activity is traceable where required.</w:t>
            </w:r>
          </w:p>
        </w:tc>
      </w:tr>
      <w:tr>
        <w:trPr>
          <w:cantSplit/>
        </w:trPr>
        <w:tc>
          <w:tcPr>
            <w:tcW w:type="dxa" w:w="259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Adoption</w:t>
            </w:r>
          </w:p>
        </w:tc>
        <w:tc>
          <w:tcPr>
            <w:tcW w:type="dxa" w:w="698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Owners and managers regularly use reports and saved/scheduled outputs to review performance and follow up exceptions.</w:t>
            </w:r>
          </w:p>
        </w:tc>
      </w:tr>
    </w:tbl>
    <w:p>
      <w:pPr>
        <w:spacing w:after="80" w:line="259" w:lineRule="auto"/>
      </w:pPr>
    </w:p>
    <w:p>
      <w:pPr>
        <w:pStyle w:val="Heading1"/>
        <w:keepNext/>
        <w:pageBreakBefore w:val="0"/>
      </w:pPr>
      <w:r>
        <w:t>21. Module Design Statement</w:t>
      </w:r>
    </w:p>
    <w:tbl>
      <w:tblPr>
        <w:tblStyle w:val="TableGrid"/>
        <w:tblW w:type="auto" w:w="0"/>
        <w:jc w:val="center"/>
        <w:tblLayout w:type="fixed"/>
        <w:tblLook w:firstColumn="1" w:firstRow="1" w:lastColumn="0" w:lastRow="0" w:noHBand="0" w:noVBand="1" w:val="04A0"/>
      </w:tblPr>
      <w:tblGrid>
        <w:gridCol w:w="10262"/>
      </w:tblGrid>
      <w:tr>
        <w:tc>
          <w:tcPr>
            <w:tcW w:type="dxa" w:w="9576"/>
            <w:shd w:fill="E7F0F8"/>
            <w:tcBorders>
              <w:left w:val="single" w:sz="18" w:color="2F78B7"/>
              <w:top w:val="single" w:sz="4" w:color="B7C9DA"/>
              <w:bottom w:val="single" w:sz="4" w:color="B7C9DA"/>
              <w:right w:val="single" w:sz="4" w:color="B7C9DA"/>
            </w:tcBorders>
          </w:tcPr>
          <w:p>
            <w:pPr>
              <w:spacing w:after="0"/>
            </w:pPr>
            <w:r>
              <w:rPr>
                <w:rFonts w:ascii="Inter" w:hAnsi="Inter"/>
                <w:b/>
                <w:color w:val="1A2D44"/>
                <w:sz w:val="17"/>
              </w:rPr>
              <w:t xml:space="preserve">FORMAL STATEMENT  </w:t>
            </w:r>
            <w:r>
              <w:rPr>
                <w:rFonts w:ascii="Inter" w:hAnsi="Inter"/>
                <w:color w:val="172033"/>
                <w:sz w:val="17"/>
              </w:rPr>
              <w:t>MDS-900 establishes Reports &amp; Analytics as the governed information layer of SimpleBIZ One. It transforms authoritative module data into accurate, understandable, reproducible, permission-aware, and decision-useful reports and analytics through one consolidated catalog, shared parameters, secure generation, Display Report, drill-down, export, favorites, scheduling, delivery, and cross-module analysis. It shall not create a competing ledger, redefine source business meaning, or bypass the controls of MDS-000 and the originating modules.</w:t>
            </w:r>
          </w:p>
        </w:tc>
      </w:tr>
    </w:tbl>
    <w:p>
      <w:pPr>
        <w:spacing w:after="80" w:line="259" w:lineRule="auto"/>
      </w:pP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376"/>
            <w:shd w:fill="E7F0F8"/>
            <w:vAlign w:val="center"/>
            <w:tcMar>
              <w:top w:w="55" w:type="dxa"/>
              <w:start w:w="75" w:type="dxa"/>
              <w:bottom w:w="55" w:type="dxa"/>
              <w:end w:w="75" w:type="dxa"/>
            </w:tcMar>
          </w:tcPr>
          <w:p>
            <w:pPr>
              <w:spacing w:before="0" w:after="0" w:line="240" w:lineRule="auto"/>
            </w:pPr>
            <w:r>
              <w:rPr>
                <w:rFonts w:ascii="Inter" w:hAnsi="Inter"/>
                <w:b/>
                <w:color w:val="172033"/>
                <w:sz w:val="16"/>
              </w:rPr>
              <w:t>Attribute</w:t>
            </w:r>
          </w:p>
        </w:tc>
        <w:tc>
          <w:tcPr>
            <w:tcW w:type="dxa" w:w="720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Normative position</w:t>
            </w:r>
          </w:p>
        </w:tc>
      </w:tr>
      <w:tr>
        <w:trPr>
          <w:cantSplit/>
        </w:trPr>
        <w:tc>
          <w:tcPr>
            <w:tcW w:type="dxa" w:w="2376"/>
            <w:vAlign w:val="center"/>
            <w:tcMar>
              <w:top w:w="55" w:type="dxa"/>
              <w:start w:w="75" w:type="dxa"/>
              <w:bottom w:w="55" w:type="dxa"/>
              <w:end w:w="75" w:type="dxa"/>
            </w:tcMar>
          </w:tcPr>
          <w:p>
            <w:pPr>
              <w:spacing w:before="0" w:after="0" w:line="240" w:lineRule="auto"/>
            </w:pPr>
            <w:r>
              <w:rPr>
                <w:rFonts w:ascii="Inter" w:hAnsi="Inter"/>
                <w:b/>
                <w:color w:val="172033"/>
                <w:sz w:val="16"/>
              </w:rPr>
              <w:t>Module identity</w:t>
            </w:r>
          </w:p>
        </w:tc>
        <w:tc>
          <w:tcPr>
            <w:tcW w:type="dxa" w:w="7200"/>
            <w:vAlign w:val="center"/>
            <w:tcMar>
              <w:top w:w="55" w:type="dxa"/>
              <w:start w:w="75" w:type="dxa"/>
              <w:bottom w:w="55" w:type="dxa"/>
              <w:end w:w="75" w:type="dxa"/>
            </w:tcMar>
          </w:tcPr>
          <w:p>
            <w:pPr>
              <w:spacing w:before="0" w:after="0" w:line="240" w:lineRule="auto"/>
            </w:pPr>
            <w:r>
              <w:rPr>
                <w:rFonts w:ascii="Inter" w:hAnsi="Inter"/>
                <w:b w:val="0"/>
                <w:color w:val="172033"/>
                <w:sz w:val="16"/>
              </w:rPr>
              <w:t>MDS-900 Reports &amp; Analytics.</w:t>
            </w:r>
          </w:p>
        </w:tc>
      </w:tr>
      <w:tr>
        <w:trPr>
          <w:cantSplit/>
        </w:trPr>
        <w:tc>
          <w:tcPr>
            <w:tcW w:type="dxa" w:w="2376"/>
            <w:shd w:fill="F6F9FC"/>
            <w:vAlign w:val="center"/>
            <w:tcMar>
              <w:top w:w="55" w:type="dxa"/>
              <w:start w:w="75" w:type="dxa"/>
              <w:bottom w:w="55" w:type="dxa"/>
              <w:end w:w="75" w:type="dxa"/>
            </w:tcMar>
          </w:tcPr>
          <w:p>
            <w:pPr>
              <w:spacing w:before="0" w:after="0" w:line="240" w:lineRule="auto"/>
            </w:pPr>
            <w:r>
              <w:rPr>
                <w:rFonts w:ascii="Inter" w:hAnsi="Inter"/>
                <w:b/>
                <w:color w:val="172033"/>
                <w:sz w:val="16"/>
              </w:rPr>
              <w:t>Primary ownership</w:t>
            </w:r>
          </w:p>
        </w:tc>
        <w:tc>
          <w:tcPr>
            <w:tcW w:type="dxa" w:w="7200"/>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Catalog, shared parameters, generation, Display Report, print/export, favorites, schedules, delivery history, retained outputs, and cross-module analytics.</w:t>
            </w:r>
          </w:p>
        </w:tc>
      </w:tr>
      <w:tr>
        <w:trPr>
          <w:cantSplit/>
        </w:trPr>
        <w:tc>
          <w:tcPr>
            <w:tcW w:type="dxa" w:w="2376"/>
            <w:vAlign w:val="center"/>
            <w:tcMar>
              <w:top w:w="55" w:type="dxa"/>
              <w:start w:w="75" w:type="dxa"/>
              <w:bottom w:w="55" w:type="dxa"/>
              <w:end w:w="75" w:type="dxa"/>
            </w:tcMar>
          </w:tcPr>
          <w:p>
            <w:pPr>
              <w:spacing w:before="0" w:after="0" w:line="240" w:lineRule="auto"/>
            </w:pPr>
            <w:r>
              <w:rPr>
                <w:rFonts w:ascii="Inter" w:hAnsi="Inter"/>
                <w:b/>
                <w:color w:val="172033"/>
                <w:sz w:val="16"/>
              </w:rPr>
              <w:t>Source ownership</w:t>
            </w:r>
          </w:p>
        </w:tc>
        <w:tc>
          <w:tcPr>
            <w:tcW w:type="dxa" w:w="7200"/>
            <w:vAlign w:val="center"/>
            <w:tcMar>
              <w:top w:w="55" w:type="dxa"/>
              <w:start w:w="75" w:type="dxa"/>
              <w:bottom w:w="55" w:type="dxa"/>
              <w:end w:w="75" w:type="dxa"/>
            </w:tcMar>
          </w:tcPr>
          <w:p>
            <w:pPr>
              <w:spacing w:before="0" w:after="0" w:line="240" w:lineRule="auto"/>
            </w:pPr>
            <w:r>
              <w:rPr>
                <w:rFonts w:ascii="Inter" w:hAnsi="Inter"/>
                <w:b w:val="0"/>
                <w:color w:val="172033"/>
                <w:sz w:val="16"/>
              </w:rPr>
              <w:t>Originating modules own business meaning, authoritative records, corrections, module measures, and source report contracts.</w:t>
            </w:r>
          </w:p>
        </w:tc>
      </w:tr>
      <w:tr>
        <w:trPr>
          <w:cantSplit/>
        </w:trPr>
        <w:tc>
          <w:tcPr>
            <w:tcW w:type="dxa" w:w="2376"/>
            <w:shd w:fill="F6F9FC"/>
            <w:vAlign w:val="center"/>
            <w:tcMar>
              <w:top w:w="55" w:type="dxa"/>
              <w:start w:w="75" w:type="dxa"/>
              <w:bottom w:w="55" w:type="dxa"/>
              <w:end w:w="75" w:type="dxa"/>
            </w:tcMar>
          </w:tcPr>
          <w:p>
            <w:pPr>
              <w:spacing w:before="0" w:after="0" w:line="240" w:lineRule="auto"/>
            </w:pPr>
            <w:r>
              <w:rPr>
                <w:rFonts w:ascii="Inter" w:hAnsi="Inter"/>
                <w:b/>
                <w:color w:val="172033"/>
                <w:sz w:val="16"/>
              </w:rPr>
              <w:t>User experience</w:t>
            </w:r>
          </w:p>
        </w:tc>
        <w:tc>
          <w:tcPr>
            <w:tcW w:type="dxa" w:w="7200"/>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Plain-language discovery, safe defaults, visible context, clear freshness, accessible outputs, and direct authorized drill-down.</w:t>
            </w:r>
          </w:p>
        </w:tc>
      </w:tr>
      <w:tr>
        <w:trPr>
          <w:cantSplit/>
        </w:trPr>
        <w:tc>
          <w:tcPr>
            <w:tcW w:type="dxa" w:w="2376"/>
            <w:vAlign w:val="center"/>
            <w:tcMar>
              <w:top w:w="55" w:type="dxa"/>
              <w:start w:w="75" w:type="dxa"/>
              <w:bottom w:w="55" w:type="dxa"/>
              <w:end w:w="75" w:type="dxa"/>
            </w:tcMar>
          </w:tcPr>
          <w:p>
            <w:pPr>
              <w:spacing w:before="0" w:after="0" w:line="240" w:lineRule="auto"/>
            </w:pPr>
            <w:r>
              <w:rPr>
                <w:rFonts w:ascii="Inter" w:hAnsi="Inter"/>
                <w:b/>
                <w:color w:val="172033"/>
                <w:sz w:val="16"/>
              </w:rPr>
              <w:t>Control standard</w:t>
            </w:r>
          </w:p>
        </w:tc>
        <w:tc>
          <w:tcPr>
            <w:tcW w:type="dxa" w:w="7200"/>
            <w:vAlign w:val="center"/>
            <w:tcMar>
              <w:top w:w="55" w:type="dxa"/>
              <w:start w:w="75" w:type="dxa"/>
              <w:bottom w:w="55" w:type="dxa"/>
              <w:end w:w="75" w:type="dxa"/>
            </w:tcMar>
          </w:tcPr>
          <w:p>
            <w:pPr>
              <w:spacing w:before="0" w:after="0" w:line="240" w:lineRule="auto"/>
            </w:pPr>
            <w:r>
              <w:rPr>
                <w:rFonts w:ascii="Inter" w:hAnsi="Inter"/>
                <w:b w:val="0"/>
                <w:color w:val="172033"/>
                <w:sz w:val="16"/>
              </w:rPr>
              <w:t>Versioned definitions, one source of truth, reproducibility, permission inheritance, tenant isolation, auditability, safe failure, and no destructive history.</w:t>
            </w:r>
          </w:p>
        </w:tc>
      </w:tr>
      <w:tr>
        <w:trPr>
          <w:cantSplit/>
        </w:trPr>
        <w:tc>
          <w:tcPr>
            <w:tcW w:type="dxa" w:w="2376"/>
            <w:shd w:fill="F6F9FC"/>
            <w:vAlign w:val="center"/>
            <w:tcMar>
              <w:top w:w="55" w:type="dxa"/>
              <w:start w:w="75" w:type="dxa"/>
              <w:bottom w:w="55" w:type="dxa"/>
              <w:end w:w="75" w:type="dxa"/>
            </w:tcMar>
          </w:tcPr>
          <w:p>
            <w:pPr>
              <w:spacing w:before="0" w:after="0" w:line="240" w:lineRule="auto"/>
            </w:pPr>
            <w:r>
              <w:rPr>
                <w:rFonts w:ascii="Inter" w:hAnsi="Inter"/>
                <w:b/>
                <w:color w:val="172033"/>
                <w:sz w:val="16"/>
              </w:rPr>
              <w:t>Product path</w:t>
            </w:r>
          </w:p>
        </w:tc>
        <w:tc>
          <w:tcPr>
            <w:tcW w:type="dxa" w:w="7200"/>
            <w:shd w:fill="F6F9FC"/>
            <w:vAlign w:val="center"/>
            <w:tcMar>
              <w:top w:w="55" w:type="dxa"/>
              <w:start w:w="75" w:type="dxa"/>
              <w:bottom w:w="55" w:type="dxa"/>
              <w:end w:w="75" w:type="dxa"/>
            </w:tcMar>
          </w:tcPr>
          <w:p>
            <w:pPr>
              <w:spacing w:before="0" w:after="0" w:line="240" w:lineRule="auto"/>
            </w:pPr>
            <w:r>
              <w:rPr>
                <w:rFonts w:ascii="Inter" w:hAnsi="Inter"/>
                <w:b w:val="0"/>
                <w:color w:val="172033"/>
                <w:sz w:val="16"/>
              </w:rPr>
              <w:t>One architecture from SimpleBIZ Free through future ERP, BI, consolidation, regulatory, predictive, and AI-assisted reporting.</w:t>
            </w:r>
          </w:p>
        </w:tc>
      </w:tr>
    </w:tbl>
    <w:p>
      <w:pPr>
        <w:pStyle w:val="PartTitle"/>
        <w:pageBreakBefore/>
      </w:pPr>
      <w:r>
        <w:t>PART V</w:t>
      </w:r>
    </w:p>
    <w:p>
      <w:pPr>
        <w:pStyle w:val="PartName"/>
      </w:pPr>
      <w:r>
        <w:t>Appendices</w:t>
      </w:r>
    </w:p>
    <w:p>
      <w:pPr>
        <w:pStyle w:val="PartSubtitle"/>
      </w:pPr>
      <w:r>
        <w:t>Practical catalogs, matrices, terminology, traceability, and final review controls.</w:t>
      </w:r>
    </w:p>
    <w:p>
      <w:pPr>
        <w:pStyle w:val="Heading1"/>
        <w:keepNext/>
        <w:pageBreakBefore w:val="0"/>
      </w:pPr>
      <w:r>
        <w:t>Appendix A - Initial Report Catalog</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tblGrid>
      <w:tr>
        <w:trPr>
          <w:tblHeader w:val="true"/>
          <w:cantSplit/>
        </w:trPr>
        <w:tc>
          <w:tcPr>
            <w:tcW w:type="dxa" w:w="144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Code</w:t>
            </w:r>
          </w:p>
        </w:tc>
        <w:tc>
          <w:tcPr>
            <w:tcW w:type="dxa" w:w="1944"/>
            <w:shd w:fill="E7F0F8"/>
            <w:vAlign w:val="center"/>
            <w:tcMar>
              <w:top w:w="55" w:type="dxa"/>
              <w:start w:w="75" w:type="dxa"/>
              <w:bottom w:w="55" w:type="dxa"/>
              <w:end w:w="75" w:type="dxa"/>
            </w:tcMar>
          </w:tcPr>
          <w:p>
            <w:pPr>
              <w:spacing w:before="0" w:after="0" w:line="240" w:lineRule="auto"/>
            </w:pPr>
            <w:r>
              <w:rPr>
                <w:rFonts w:ascii="Inter" w:hAnsi="Inter"/>
                <w:b/>
                <w:color w:val="172033"/>
                <w:sz w:val="16"/>
              </w:rPr>
              <w:t>Report</w:t>
            </w:r>
          </w:p>
        </w:tc>
        <w:tc>
          <w:tcPr>
            <w:tcW w:type="dxa" w:w="1944"/>
            <w:shd w:fill="E7F0F8"/>
            <w:vAlign w:val="center"/>
            <w:tcMar>
              <w:top w:w="55" w:type="dxa"/>
              <w:start w:w="75" w:type="dxa"/>
              <w:bottom w:w="55" w:type="dxa"/>
              <w:end w:w="75" w:type="dxa"/>
            </w:tcMar>
          </w:tcPr>
          <w:p>
            <w:pPr>
              <w:spacing w:before="0" w:after="0" w:line="240" w:lineRule="auto"/>
            </w:pPr>
            <w:r>
              <w:rPr>
                <w:rFonts w:ascii="Inter" w:hAnsi="Inter"/>
                <w:b/>
                <w:color w:val="172033"/>
                <w:sz w:val="16"/>
              </w:rPr>
              <w:t>Category</w:t>
            </w:r>
          </w:p>
        </w:tc>
        <w:tc>
          <w:tcPr>
            <w:tcW w:type="dxa" w:w="1224"/>
            <w:shd w:fill="E7F0F8"/>
            <w:vAlign w:val="center"/>
            <w:tcMar>
              <w:top w:w="55" w:type="dxa"/>
              <w:start w:w="75" w:type="dxa"/>
              <w:bottom w:w="55" w:type="dxa"/>
              <w:end w:w="75" w:type="dxa"/>
            </w:tcMar>
          </w:tcPr>
          <w:p>
            <w:pPr>
              <w:spacing w:before="0" w:after="0" w:line="240" w:lineRule="auto"/>
            </w:pPr>
            <w:r>
              <w:rPr>
                <w:rFonts w:ascii="Inter" w:hAnsi="Inter"/>
                <w:b/>
                <w:color w:val="172033"/>
                <w:sz w:val="16"/>
              </w:rPr>
              <w:t>Primary period</w:t>
            </w:r>
          </w:p>
        </w:tc>
        <w:tc>
          <w:tcPr>
            <w:tcW w:type="dxa" w:w="3024"/>
            <w:shd w:fill="E7F0F8"/>
            <w:vAlign w:val="center"/>
            <w:tcMar>
              <w:top w:w="55" w:type="dxa"/>
              <w:start w:w="75" w:type="dxa"/>
              <w:bottom w:w="55" w:type="dxa"/>
              <w:end w:w="75" w:type="dxa"/>
            </w:tcMar>
          </w:tcPr>
          <w:p>
            <w:pPr>
              <w:spacing w:before="0" w:after="0" w:line="240" w:lineRule="auto"/>
            </w:pPr>
            <w:r>
              <w:rPr>
                <w:rFonts w:ascii="Inter" w:hAnsi="Inter"/>
                <w:b/>
                <w:color w:val="172033"/>
                <w:sz w:val="16"/>
              </w:rPr>
              <w:t>Core purpose</w:t>
            </w:r>
          </w:p>
        </w:tc>
      </w:tr>
      <w:tr>
        <w:trPr>
          <w:cantSplit/>
        </w:trPr>
        <w:tc>
          <w:tcPr>
            <w:tcW w:type="dxa" w:w="1440"/>
            <w:vAlign w:val="center"/>
            <w:tcMar>
              <w:top w:w="55" w:type="dxa"/>
              <w:start w:w="75" w:type="dxa"/>
              <w:bottom w:w="55" w:type="dxa"/>
              <w:end w:w="75" w:type="dxa"/>
            </w:tcMar>
          </w:tcPr>
          <w:p>
            <w:pPr>
              <w:spacing w:before="0" w:after="0" w:line="240" w:lineRule="auto"/>
            </w:pPr>
            <w:r>
              <w:rPr>
                <w:rFonts w:ascii="Inter" w:hAnsi="Inter"/>
                <w:b/>
                <w:color w:val="172033"/>
                <w:sz w:val="13"/>
              </w:rPr>
              <w:t>REP-FIN-001</w:t>
            </w:r>
          </w:p>
        </w:tc>
        <w:tc>
          <w:tcPr>
            <w:tcW w:type="dxa" w:w="1944"/>
            <w:vAlign w:val="center"/>
            <w:tcMar>
              <w:top w:w="55" w:type="dxa"/>
              <w:start w:w="75" w:type="dxa"/>
              <w:bottom w:w="55" w:type="dxa"/>
              <w:end w:w="75" w:type="dxa"/>
            </w:tcMar>
          </w:tcPr>
          <w:p>
            <w:pPr>
              <w:spacing w:before="0" w:after="0" w:line="240" w:lineRule="auto"/>
            </w:pPr>
            <w:r>
              <w:rPr>
                <w:rFonts w:ascii="Inter" w:hAnsi="Inter"/>
                <w:b w:val="0"/>
                <w:color w:val="172033"/>
                <w:sz w:val="13"/>
              </w:rPr>
              <w:t>Profit or Loss</w:t>
            </w:r>
          </w:p>
        </w:tc>
        <w:tc>
          <w:tcPr>
            <w:tcW w:type="dxa" w:w="1944"/>
            <w:vAlign w:val="center"/>
            <w:tcMar>
              <w:top w:w="55" w:type="dxa"/>
              <w:start w:w="75" w:type="dxa"/>
              <w:bottom w:w="55" w:type="dxa"/>
              <w:end w:w="75" w:type="dxa"/>
            </w:tcMar>
          </w:tcPr>
          <w:p>
            <w:pPr>
              <w:spacing w:before="0" w:after="0" w:line="240" w:lineRule="auto"/>
            </w:pPr>
            <w:r>
              <w:rPr>
                <w:rFonts w:ascii="Inter" w:hAnsi="Inter"/>
                <w:b w:val="0"/>
                <w:color w:val="172033"/>
                <w:sz w:val="13"/>
              </w:rPr>
              <w:t>Financial &amp; Performance</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Period</w:t>
            </w:r>
          </w:p>
        </w:tc>
        <w:tc>
          <w:tcPr>
            <w:tcW w:type="dxa" w:w="3024"/>
            <w:vAlign w:val="center"/>
            <w:tcMar>
              <w:top w:w="55" w:type="dxa"/>
              <w:start w:w="75" w:type="dxa"/>
              <w:bottom w:w="55" w:type="dxa"/>
              <w:end w:w="75" w:type="dxa"/>
            </w:tcMar>
          </w:tcPr>
          <w:p>
            <w:pPr>
              <w:spacing w:before="0" w:after="0" w:line="240" w:lineRule="auto"/>
            </w:pPr>
            <w:r>
              <w:rPr>
                <w:rFonts w:ascii="Inter" w:hAnsi="Inter"/>
                <w:b w:val="0"/>
                <w:color w:val="172033"/>
                <w:sz w:val="13"/>
              </w:rPr>
              <w:t>Revenue, cost, gross profit, expenses, and net profit/loss.</w:t>
            </w:r>
          </w:p>
        </w:tc>
      </w:tr>
      <w:tr>
        <w:trPr>
          <w:cantSplit/>
        </w:trPr>
        <w:tc>
          <w:tcPr>
            <w:tcW w:type="dxa" w:w="1440"/>
            <w:shd w:fill="F6F9FC"/>
            <w:vAlign w:val="center"/>
            <w:tcMar>
              <w:top w:w="55" w:type="dxa"/>
              <w:start w:w="75" w:type="dxa"/>
              <w:bottom w:w="55" w:type="dxa"/>
              <w:end w:w="75" w:type="dxa"/>
            </w:tcMar>
          </w:tcPr>
          <w:p>
            <w:pPr>
              <w:spacing w:before="0" w:after="0" w:line="240" w:lineRule="auto"/>
            </w:pPr>
            <w:r>
              <w:rPr>
                <w:rFonts w:ascii="Inter" w:hAnsi="Inter"/>
                <w:b/>
                <w:color w:val="172033"/>
                <w:sz w:val="13"/>
              </w:rPr>
              <w:t>REP-FIN-002</w:t>
            </w:r>
          </w:p>
        </w:tc>
        <w:tc>
          <w:tcPr>
            <w:tcW w:type="dxa" w:w="194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Statement of Financial Position</w:t>
            </w:r>
          </w:p>
        </w:tc>
        <w:tc>
          <w:tcPr>
            <w:tcW w:type="dxa" w:w="194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Financial &amp; Performance</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As of date</w:t>
            </w:r>
          </w:p>
        </w:tc>
        <w:tc>
          <w:tcPr>
            <w:tcW w:type="dxa" w:w="30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Assets, liabilities, and equity when accounting scope supports it.</w:t>
            </w:r>
          </w:p>
        </w:tc>
      </w:tr>
      <w:tr>
        <w:trPr>
          <w:cantSplit/>
        </w:trPr>
        <w:tc>
          <w:tcPr>
            <w:tcW w:type="dxa" w:w="1440"/>
            <w:vAlign w:val="center"/>
            <w:tcMar>
              <w:top w:w="55" w:type="dxa"/>
              <w:start w:w="75" w:type="dxa"/>
              <w:bottom w:w="55" w:type="dxa"/>
              <w:end w:w="75" w:type="dxa"/>
            </w:tcMar>
          </w:tcPr>
          <w:p>
            <w:pPr>
              <w:spacing w:before="0" w:after="0" w:line="240" w:lineRule="auto"/>
            </w:pPr>
            <w:r>
              <w:rPr>
                <w:rFonts w:ascii="Inter" w:hAnsi="Inter"/>
                <w:b/>
                <w:color w:val="172033"/>
                <w:sz w:val="13"/>
              </w:rPr>
              <w:t>REP-FIN-003</w:t>
            </w:r>
          </w:p>
        </w:tc>
        <w:tc>
          <w:tcPr>
            <w:tcW w:type="dxa" w:w="1944"/>
            <w:vAlign w:val="center"/>
            <w:tcMar>
              <w:top w:w="55" w:type="dxa"/>
              <w:start w:w="75" w:type="dxa"/>
              <w:bottom w:w="55" w:type="dxa"/>
              <w:end w:w="75" w:type="dxa"/>
            </w:tcMar>
          </w:tcPr>
          <w:p>
            <w:pPr>
              <w:spacing w:before="0" w:after="0" w:line="240" w:lineRule="auto"/>
            </w:pPr>
            <w:r>
              <w:rPr>
                <w:rFonts w:ascii="Inter" w:hAnsi="Inter"/>
                <w:b w:val="0"/>
                <w:color w:val="172033"/>
                <w:sz w:val="13"/>
              </w:rPr>
              <w:t>Cash Flow Statement</w:t>
            </w:r>
          </w:p>
        </w:tc>
        <w:tc>
          <w:tcPr>
            <w:tcW w:type="dxa" w:w="1944"/>
            <w:vAlign w:val="center"/>
            <w:tcMar>
              <w:top w:w="55" w:type="dxa"/>
              <w:start w:w="75" w:type="dxa"/>
              <w:bottom w:w="55" w:type="dxa"/>
              <w:end w:w="75" w:type="dxa"/>
            </w:tcMar>
          </w:tcPr>
          <w:p>
            <w:pPr>
              <w:spacing w:before="0" w:after="0" w:line="240" w:lineRule="auto"/>
            </w:pPr>
            <w:r>
              <w:rPr>
                <w:rFonts w:ascii="Inter" w:hAnsi="Inter"/>
                <w:b w:val="0"/>
                <w:color w:val="172033"/>
                <w:sz w:val="13"/>
              </w:rPr>
              <w:t>Financial &amp; Performance</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Period</w:t>
            </w:r>
          </w:p>
        </w:tc>
        <w:tc>
          <w:tcPr>
            <w:tcW w:type="dxa" w:w="3024"/>
            <w:vAlign w:val="center"/>
            <w:tcMar>
              <w:top w:w="55" w:type="dxa"/>
              <w:start w:w="75" w:type="dxa"/>
              <w:bottom w:w="55" w:type="dxa"/>
              <w:end w:w="75" w:type="dxa"/>
            </w:tcMar>
          </w:tcPr>
          <w:p>
            <w:pPr>
              <w:spacing w:before="0" w:after="0" w:line="240" w:lineRule="auto"/>
            </w:pPr>
            <w:r>
              <w:rPr>
                <w:rFonts w:ascii="Inter" w:hAnsi="Inter"/>
                <w:b w:val="0"/>
                <w:color w:val="172033"/>
                <w:sz w:val="13"/>
              </w:rPr>
              <w:t>Operating, investing, and financing cash flows when supported.</w:t>
            </w:r>
          </w:p>
        </w:tc>
      </w:tr>
      <w:tr>
        <w:trPr>
          <w:cantSplit/>
        </w:trPr>
        <w:tc>
          <w:tcPr>
            <w:tcW w:type="dxa" w:w="1440"/>
            <w:shd w:fill="F6F9FC"/>
            <w:vAlign w:val="center"/>
            <w:tcMar>
              <w:top w:w="55" w:type="dxa"/>
              <w:start w:w="75" w:type="dxa"/>
              <w:bottom w:w="55" w:type="dxa"/>
              <w:end w:w="75" w:type="dxa"/>
            </w:tcMar>
          </w:tcPr>
          <w:p>
            <w:pPr>
              <w:spacing w:before="0" w:after="0" w:line="240" w:lineRule="auto"/>
            </w:pPr>
            <w:r>
              <w:rPr>
                <w:rFonts w:ascii="Inter" w:hAnsi="Inter"/>
                <w:b/>
                <w:color w:val="172033"/>
                <w:sz w:val="13"/>
              </w:rPr>
              <w:t>REP-FIN-004</w:t>
            </w:r>
          </w:p>
        </w:tc>
        <w:tc>
          <w:tcPr>
            <w:tcW w:type="dxa" w:w="194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Sales &amp; Profit</w:t>
            </w:r>
          </w:p>
        </w:tc>
        <w:tc>
          <w:tcPr>
            <w:tcW w:type="dxa" w:w="194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Financial &amp; Performance</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Period</w:t>
            </w:r>
          </w:p>
        </w:tc>
        <w:tc>
          <w:tcPr>
            <w:tcW w:type="dxa" w:w="30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Net sales, cost of goods sold, gross profit, expenses, and net result.</w:t>
            </w:r>
          </w:p>
        </w:tc>
      </w:tr>
      <w:tr>
        <w:trPr>
          <w:cantSplit/>
        </w:trPr>
        <w:tc>
          <w:tcPr>
            <w:tcW w:type="dxa" w:w="1440"/>
            <w:vAlign w:val="center"/>
            <w:tcMar>
              <w:top w:w="55" w:type="dxa"/>
              <w:start w:w="75" w:type="dxa"/>
              <w:bottom w:w="55" w:type="dxa"/>
              <w:end w:w="75" w:type="dxa"/>
            </w:tcMar>
          </w:tcPr>
          <w:p>
            <w:pPr>
              <w:spacing w:before="0" w:after="0" w:line="240" w:lineRule="auto"/>
            </w:pPr>
            <w:r>
              <w:rPr>
                <w:rFonts w:ascii="Inter" w:hAnsi="Inter"/>
                <w:b/>
                <w:color w:val="172033"/>
                <w:sz w:val="13"/>
              </w:rPr>
              <w:t>REP-SAL-001</w:t>
            </w:r>
          </w:p>
        </w:tc>
        <w:tc>
          <w:tcPr>
            <w:tcW w:type="dxa" w:w="1944"/>
            <w:vAlign w:val="center"/>
            <w:tcMar>
              <w:top w:w="55" w:type="dxa"/>
              <w:start w:w="75" w:type="dxa"/>
              <w:bottom w:w="55" w:type="dxa"/>
              <w:end w:w="75" w:type="dxa"/>
            </w:tcMar>
          </w:tcPr>
          <w:p>
            <w:pPr>
              <w:spacing w:before="0" w:after="0" w:line="240" w:lineRule="auto"/>
            </w:pPr>
            <w:r>
              <w:rPr>
                <w:rFonts w:ascii="Inter" w:hAnsi="Inter"/>
                <w:b w:val="0"/>
                <w:color w:val="172033"/>
                <w:sz w:val="13"/>
              </w:rPr>
              <w:t>Sales Register</w:t>
            </w:r>
          </w:p>
        </w:tc>
        <w:tc>
          <w:tcPr>
            <w:tcW w:type="dxa" w:w="1944"/>
            <w:vAlign w:val="center"/>
            <w:tcMar>
              <w:top w:w="55" w:type="dxa"/>
              <w:start w:w="75" w:type="dxa"/>
              <w:bottom w:w="55" w:type="dxa"/>
              <w:end w:w="75" w:type="dxa"/>
            </w:tcMar>
          </w:tcPr>
          <w:p>
            <w:pPr>
              <w:spacing w:before="0" w:after="0" w:line="240" w:lineRule="auto"/>
            </w:pPr>
            <w:r>
              <w:rPr>
                <w:rFonts w:ascii="Inter" w:hAnsi="Inter"/>
                <w:b w:val="0"/>
                <w:color w:val="172033"/>
                <w:sz w:val="13"/>
              </w:rPr>
              <w:t>Sales &amp; Receivables</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Period</w:t>
            </w:r>
          </w:p>
        </w:tc>
        <w:tc>
          <w:tcPr>
            <w:tcW w:type="dxa" w:w="3024"/>
            <w:vAlign w:val="center"/>
            <w:tcMar>
              <w:top w:w="55" w:type="dxa"/>
              <w:start w:w="75" w:type="dxa"/>
              <w:bottom w:w="55" w:type="dxa"/>
              <w:end w:w="75" w:type="dxa"/>
            </w:tcMar>
          </w:tcPr>
          <w:p>
            <w:pPr>
              <w:spacing w:before="0" w:after="0" w:line="240" w:lineRule="auto"/>
            </w:pPr>
            <w:r>
              <w:rPr>
                <w:rFonts w:ascii="Inter" w:hAnsi="Inter"/>
                <w:b w:val="0"/>
                <w:color w:val="172033"/>
                <w:sz w:val="13"/>
              </w:rPr>
              <w:t>Sales documents, customers, status, amount, tax, and totals.</w:t>
            </w:r>
          </w:p>
        </w:tc>
      </w:tr>
      <w:tr>
        <w:trPr>
          <w:cantSplit/>
        </w:trPr>
        <w:tc>
          <w:tcPr>
            <w:tcW w:type="dxa" w:w="1440"/>
            <w:shd w:fill="F6F9FC"/>
            <w:vAlign w:val="center"/>
            <w:tcMar>
              <w:top w:w="55" w:type="dxa"/>
              <w:start w:w="75" w:type="dxa"/>
              <w:bottom w:w="55" w:type="dxa"/>
              <w:end w:w="75" w:type="dxa"/>
            </w:tcMar>
          </w:tcPr>
          <w:p>
            <w:pPr>
              <w:spacing w:before="0" w:after="0" w:line="240" w:lineRule="auto"/>
            </w:pPr>
            <w:r>
              <w:rPr>
                <w:rFonts w:ascii="Inter" w:hAnsi="Inter"/>
                <w:b/>
                <w:color w:val="172033"/>
                <w:sz w:val="13"/>
              </w:rPr>
              <w:t>REP-SAL-002</w:t>
            </w:r>
          </w:p>
        </w:tc>
        <w:tc>
          <w:tcPr>
            <w:tcW w:type="dxa" w:w="194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Sales by Product</w:t>
            </w:r>
          </w:p>
        </w:tc>
        <w:tc>
          <w:tcPr>
            <w:tcW w:type="dxa" w:w="194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Sales &amp; Receivables</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Period / product</w:t>
            </w:r>
          </w:p>
        </w:tc>
        <w:tc>
          <w:tcPr>
            <w:tcW w:type="dxa" w:w="30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Quantity, net sales, returns, discounts, and margin where cost exists.</w:t>
            </w:r>
          </w:p>
        </w:tc>
      </w:tr>
      <w:tr>
        <w:trPr>
          <w:cantSplit/>
        </w:trPr>
        <w:tc>
          <w:tcPr>
            <w:tcW w:type="dxa" w:w="1440"/>
            <w:vAlign w:val="center"/>
            <w:tcMar>
              <w:top w:w="55" w:type="dxa"/>
              <w:start w:w="75" w:type="dxa"/>
              <w:bottom w:w="55" w:type="dxa"/>
              <w:end w:w="75" w:type="dxa"/>
            </w:tcMar>
          </w:tcPr>
          <w:p>
            <w:pPr>
              <w:spacing w:before="0" w:after="0" w:line="240" w:lineRule="auto"/>
            </w:pPr>
            <w:r>
              <w:rPr>
                <w:rFonts w:ascii="Inter" w:hAnsi="Inter"/>
                <w:b/>
                <w:color w:val="172033"/>
                <w:sz w:val="13"/>
              </w:rPr>
              <w:t>REP-AR-001</w:t>
            </w:r>
          </w:p>
        </w:tc>
        <w:tc>
          <w:tcPr>
            <w:tcW w:type="dxa" w:w="1944"/>
            <w:vAlign w:val="center"/>
            <w:tcMar>
              <w:top w:w="55" w:type="dxa"/>
              <w:start w:w="75" w:type="dxa"/>
              <w:bottom w:w="55" w:type="dxa"/>
              <w:end w:w="75" w:type="dxa"/>
            </w:tcMar>
          </w:tcPr>
          <w:p>
            <w:pPr>
              <w:spacing w:before="0" w:after="0" w:line="240" w:lineRule="auto"/>
            </w:pPr>
            <w:r>
              <w:rPr>
                <w:rFonts w:ascii="Inter" w:hAnsi="Inter"/>
                <w:b w:val="0"/>
                <w:color w:val="172033"/>
                <w:sz w:val="13"/>
              </w:rPr>
              <w:t>Aging of Receivables</w:t>
            </w:r>
          </w:p>
        </w:tc>
        <w:tc>
          <w:tcPr>
            <w:tcW w:type="dxa" w:w="1944"/>
            <w:vAlign w:val="center"/>
            <w:tcMar>
              <w:top w:w="55" w:type="dxa"/>
              <w:start w:w="75" w:type="dxa"/>
              <w:bottom w:w="55" w:type="dxa"/>
              <w:end w:w="75" w:type="dxa"/>
            </w:tcMar>
          </w:tcPr>
          <w:p>
            <w:pPr>
              <w:spacing w:before="0" w:after="0" w:line="240" w:lineRule="auto"/>
            </w:pPr>
            <w:r>
              <w:rPr>
                <w:rFonts w:ascii="Inter" w:hAnsi="Inter"/>
                <w:b w:val="0"/>
                <w:color w:val="172033"/>
                <w:sz w:val="13"/>
              </w:rPr>
              <w:t>Sales &amp; Receivables</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As of date</w:t>
            </w:r>
          </w:p>
        </w:tc>
        <w:tc>
          <w:tcPr>
            <w:tcW w:type="dxa" w:w="3024"/>
            <w:vAlign w:val="center"/>
            <w:tcMar>
              <w:top w:w="55" w:type="dxa"/>
              <w:start w:w="75" w:type="dxa"/>
              <w:bottom w:w="55" w:type="dxa"/>
              <w:end w:w="75" w:type="dxa"/>
            </w:tcMar>
          </w:tcPr>
          <w:p>
            <w:pPr>
              <w:spacing w:before="0" w:after="0" w:line="240" w:lineRule="auto"/>
            </w:pPr>
            <w:r>
              <w:rPr>
                <w:rFonts w:ascii="Inter" w:hAnsi="Inter"/>
                <w:b w:val="0"/>
                <w:color w:val="172033"/>
                <w:sz w:val="13"/>
              </w:rPr>
              <w:t>Customer open items by aging bucket and status.</w:t>
            </w:r>
          </w:p>
        </w:tc>
      </w:tr>
      <w:tr>
        <w:trPr>
          <w:cantSplit/>
        </w:trPr>
        <w:tc>
          <w:tcPr>
            <w:tcW w:type="dxa" w:w="1440"/>
            <w:shd w:fill="F6F9FC"/>
            <w:vAlign w:val="center"/>
            <w:tcMar>
              <w:top w:w="55" w:type="dxa"/>
              <w:start w:w="75" w:type="dxa"/>
              <w:bottom w:w="55" w:type="dxa"/>
              <w:end w:w="75" w:type="dxa"/>
            </w:tcMar>
          </w:tcPr>
          <w:p>
            <w:pPr>
              <w:spacing w:before="0" w:after="0" w:line="240" w:lineRule="auto"/>
            </w:pPr>
            <w:r>
              <w:rPr>
                <w:rFonts w:ascii="Inter" w:hAnsi="Inter"/>
                <w:b/>
                <w:color w:val="172033"/>
                <w:sz w:val="13"/>
              </w:rPr>
              <w:t>REP-COL-001</w:t>
            </w:r>
          </w:p>
        </w:tc>
        <w:tc>
          <w:tcPr>
            <w:tcW w:type="dxa" w:w="194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Receipt Register</w:t>
            </w:r>
          </w:p>
        </w:tc>
        <w:tc>
          <w:tcPr>
            <w:tcW w:type="dxa" w:w="194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Collections &amp; Receipts</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Period</w:t>
            </w:r>
          </w:p>
        </w:tc>
        <w:tc>
          <w:tcPr>
            <w:tcW w:type="dxa" w:w="30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Receipts, customers, methods, application, unapplied amount, and status.</w:t>
            </w:r>
          </w:p>
        </w:tc>
      </w:tr>
      <w:tr>
        <w:trPr>
          <w:cantSplit/>
        </w:trPr>
        <w:tc>
          <w:tcPr>
            <w:tcW w:type="dxa" w:w="1440"/>
            <w:vAlign w:val="center"/>
            <w:tcMar>
              <w:top w:w="55" w:type="dxa"/>
              <w:start w:w="75" w:type="dxa"/>
              <w:bottom w:w="55" w:type="dxa"/>
              <w:end w:w="75" w:type="dxa"/>
            </w:tcMar>
          </w:tcPr>
          <w:p>
            <w:pPr>
              <w:spacing w:before="0" w:after="0" w:line="240" w:lineRule="auto"/>
            </w:pPr>
            <w:r>
              <w:rPr>
                <w:rFonts w:ascii="Inter" w:hAnsi="Inter"/>
                <w:b/>
                <w:color w:val="172033"/>
                <w:sz w:val="13"/>
              </w:rPr>
              <w:t>REP-COL-002</w:t>
            </w:r>
          </w:p>
        </w:tc>
        <w:tc>
          <w:tcPr>
            <w:tcW w:type="dxa" w:w="1944"/>
            <w:vAlign w:val="center"/>
            <w:tcMar>
              <w:top w:w="55" w:type="dxa"/>
              <w:start w:w="75" w:type="dxa"/>
              <w:bottom w:w="55" w:type="dxa"/>
              <w:end w:w="75" w:type="dxa"/>
            </w:tcMar>
          </w:tcPr>
          <w:p>
            <w:pPr>
              <w:spacing w:before="0" w:after="0" w:line="240" w:lineRule="auto"/>
            </w:pPr>
            <w:r>
              <w:rPr>
                <w:rFonts w:ascii="Inter" w:hAnsi="Inter"/>
                <w:b w:val="0"/>
                <w:color w:val="172033"/>
                <w:sz w:val="13"/>
              </w:rPr>
              <w:t>Collections Summary</w:t>
            </w:r>
          </w:p>
        </w:tc>
        <w:tc>
          <w:tcPr>
            <w:tcW w:type="dxa" w:w="1944"/>
            <w:vAlign w:val="center"/>
            <w:tcMar>
              <w:top w:w="55" w:type="dxa"/>
              <w:start w:w="75" w:type="dxa"/>
              <w:bottom w:w="55" w:type="dxa"/>
              <w:end w:w="75" w:type="dxa"/>
            </w:tcMar>
          </w:tcPr>
          <w:p>
            <w:pPr>
              <w:spacing w:before="0" w:after="0" w:line="240" w:lineRule="auto"/>
            </w:pPr>
            <w:r>
              <w:rPr>
                <w:rFonts w:ascii="Inter" w:hAnsi="Inter"/>
                <w:b w:val="0"/>
                <w:color w:val="172033"/>
                <w:sz w:val="13"/>
              </w:rPr>
              <w:t>Collections &amp; Receipts</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Period</w:t>
            </w:r>
          </w:p>
        </w:tc>
        <w:tc>
          <w:tcPr>
            <w:tcW w:type="dxa" w:w="3024"/>
            <w:vAlign w:val="center"/>
            <w:tcMar>
              <w:top w:w="55" w:type="dxa"/>
              <w:start w:w="75" w:type="dxa"/>
              <w:bottom w:w="55" w:type="dxa"/>
              <w:end w:w="75" w:type="dxa"/>
            </w:tcMar>
          </w:tcPr>
          <w:p>
            <w:pPr>
              <w:spacing w:before="0" w:after="0" w:line="240" w:lineRule="auto"/>
            </w:pPr>
            <w:r>
              <w:rPr>
                <w:rFonts w:ascii="Inter" w:hAnsi="Inter"/>
                <w:b w:val="0"/>
                <w:color w:val="172033"/>
                <w:sz w:val="13"/>
              </w:rPr>
              <w:t>Collections by customer, collector, method, Cash Account, and period.</w:t>
            </w:r>
          </w:p>
        </w:tc>
      </w:tr>
      <w:tr>
        <w:trPr>
          <w:cantSplit/>
        </w:trPr>
        <w:tc>
          <w:tcPr>
            <w:tcW w:type="dxa" w:w="1440"/>
            <w:shd w:fill="F6F9FC"/>
            <w:vAlign w:val="center"/>
            <w:tcMar>
              <w:top w:w="55" w:type="dxa"/>
              <w:start w:w="75" w:type="dxa"/>
              <w:bottom w:w="55" w:type="dxa"/>
              <w:end w:w="75" w:type="dxa"/>
            </w:tcMar>
          </w:tcPr>
          <w:p>
            <w:pPr>
              <w:spacing w:before="0" w:after="0" w:line="240" w:lineRule="auto"/>
            </w:pPr>
            <w:r>
              <w:rPr>
                <w:rFonts w:ascii="Inter" w:hAnsi="Inter"/>
                <w:b/>
                <w:color w:val="172033"/>
                <w:sz w:val="13"/>
              </w:rPr>
              <w:t>REP-PUR-001</w:t>
            </w:r>
          </w:p>
        </w:tc>
        <w:tc>
          <w:tcPr>
            <w:tcW w:type="dxa" w:w="194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Purchase Register</w:t>
            </w:r>
          </w:p>
        </w:tc>
        <w:tc>
          <w:tcPr>
            <w:tcW w:type="dxa" w:w="194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Purchases &amp; Payables</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Period</w:t>
            </w:r>
          </w:p>
        </w:tc>
        <w:tc>
          <w:tcPr>
            <w:tcW w:type="dxa" w:w="30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Purchase/supplier documents, totals, tax, status, and source.</w:t>
            </w:r>
          </w:p>
        </w:tc>
      </w:tr>
      <w:tr>
        <w:trPr>
          <w:cantSplit/>
        </w:trPr>
        <w:tc>
          <w:tcPr>
            <w:tcW w:type="dxa" w:w="1440"/>
            <w:vAlign w:val="center"/>
            <w:tcMar>
              <w:top w:w="55" w:type="dxa"/>
              <w:start w:w="75" w:type="dxa"/>
              <w:bottom w:w="55" w:type="dxa"/>
              <w:end w:w="75" w:type="dxa"/>
            </w:tcMar>
          </w:tcPr>
          <w:p>
            <w:pPr>
              <w:spacing w:before="0" w:after="0" w:line="240" w:lineRule="auto"/>
            </w:pPr>
            <w:r>
              <w:rPr>
                <w:rFonts w:ascii="Inter" w:hAnsi="Inter"/>
                <w:b/>
                <w:color w:val="172033"/>
                <w:sz w:val="13"/>
              </w:rPr>
              <w:t>REP-AP-001</w:t>
            </w:r>
          </w:p>
        </w:tc>
        <w:tc>
          <w:tcPr>
            <w:tcW w:type="dxa" w:w="1944"/>
            <w:vAlign w:val="center"/>
            <w:tcMar>
              <w:top w:w="55" w:type="dxa"/>
              <w:start w:w="75" w:type="dxa"/>
              <w:bottom w:w="55" w:type="dxa"/>
              <w:end w:w="75" w:type="dxa"/>
            </w:tcMar>
          </w:tcPr>
          <w:p>
            <w:pPr>
              <w:spacing w:before="0" w:after="0" w:line="240" w:lineRule="auto"/>
            </w:pPr>
            <w:r>
              <w:rPr>
                <w:rFonts w:ascii="Inter" w:hAnsi="Inter"/>
                <w:b w:val="0"/>
                <w:color w:val="172033"/>
                <w:sz w:val="13"/>
              </w:rPr>
              <w:t>Aging of Payables</w:t>
            </w:r>
          </w:p>
        </w:tc>
        <w:tc>
          <w:tcPr>
            <w:tcW w:type="dxa" w:w="1944"/>
            <w:vAlign w:val="center"/>
            <w:tcMar>
              <w:top w:w="55" w:type="dxa"/>
              <w:start w:w="75" w:type="dxa"/>
              <w:bottom w:w="55" w:type="dxa"/>
              <w:end w:w="75" w:type="dxa"/>
            </w:tcMar>
          </w:tcPr>
          <w:p>
            <w:pPr>
              <w:spacing w:before="0" w:after="0" w:line="240" w:lineRule="auto"/>
            </w:pPr>
            <w:r>
              <w:rPr>
                <w:rFonts w:ascii="Inter" w:hAnsi="Inter"/>
                <w:b w:val="0"/>
                <w:color w:val="172033"/>
                <w:sz w:val="13"/>
              </w:rPr>
              <w:t>Purchases &amp; Payables</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As of date</w:t>
            </w:r>
          </w:p>
        </w:tc>
        <w:tc>
          <w:tcPr>
            <w:tcW w:type="dxa" w:w="3024"/>
            <w:vAlign w:val="center"/>
            <w:tcMar>
              <w:top w:w="55" w:type="dxa"/>
              <w:start w:w="75" w:type="dxa"/>
              <w:bottom w:w="55" w:type="dxa"/>
              <w:end w:w="75" w:type="dxa"/>
            </w:tcMar>
          </w:tcPr>
          <w:p>
            <w:pPr>
              <w:spacing w:before="0" w:after="0" w:line="240" w:lineRule="auto"/>
            </w:pPr>
            <w:r>
              <w:rPr>
                <w:rFonts w:ascii="Inter" w:hAnsi="Inter"/>
                <w:b w:val="0"/>
                <w:color w:val="172033"/>
                <w:sz w:val="13"/>
              </w:rPr>
              <w:t>Supplier obligations by aging bucket, due state, and remaining amount.</w:t>
            </w:r>
          </w:p>
        </w:tc>
      </w:tr>
      <w:tr>
        <w:trPr>
          <w:cantSplit/>
        </w:trPr>
        <w:tc>
          <w:tcPr>
            <w:tcW w:type="dxa" w:w="1440"/>
            <w:shd w:fill="F6F9FC"/>
            <w:vAlign w:val="center"/>
            <w:tcMar>
              <w:top w:w="55" w:type="dxa"/>
              <w:start w:w="75" w:type="dxa"/>
              <w:bottom w:w="55" w:type="dxa"/>
              <w:end w:w="75" w:type="dxa"/>
            </w:tcMar>
          </w:tcPr>
          <w:p>
            <w:pPr>
              <w:spacing w:before="0" w:after="0" w:line="240" w:lineRule="auto"/>
            </w:pPr>
            <w:r>
              <w:rPr>
                <w:rFonts w:ascii="Inter" w:hAnsi="Inter"/>
                <w:b/>
                <w:color w:val="172033"/>
                <w:sz w:val="13"/>
              </w:rPr>
              <w:t>REP-PAY-001</w:t>
            </w:r>
          </w:p>
        </w:tc>
        <w:tc>
          <w:tcPr>
            <w:tcW w:type="dxa" w:w="194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Payment Register</w:t>
            </w:r>
          </w:p>
        </w:tc>
        <w:tc>
          <w:tcPr>
            <w:tcW w:type="dxa" w:w="194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Payments &amp; Disbursements</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Period</w:t>
            </w:r>
          </w:p>
        </w:tc>
        <w:tc>
          <w:tcPr>
            <w:tcW w:type="dxa" w:w="30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Payments, payees, methods, Cash Accounts, allocations, status, and voids.</w:t>
            </w:r>
          </w:p>
        </w:tc>
      </w:tr>
      <w:tr>
        <w:trPr>
          <w:cantSplit/>
        </w:trPr>
        <w:tc>
          <w:tcPr>
            <w:tcW w:type="dxa" w:w="1440"/>
            <w:vAlign w:val="center"/>
            <w:tcMar>
              <w:top w:w="55" w:type="dxa"/>
              <w:start w:w="75" w:type="dxa"/>
              <w:bottom w:w="55" w:type="dxa"/>
              <w:end w:w="75" w:type="dxa"/>
            </w:tcMar>
          </w:tcPr>
          <w:p>
            <w:pPr>
              <w:spacing w:before="0" w:after="0" w:line="240" w:lineRule="auto"/>
            </w:pPr>
            <w:r>
              <w:rPr>
                <w:rFonts w:ascii="Inter" w:hAnsi="Inter"/>
                <w:b/>
                <w:color w:val="172033"/>
                <w:sz w:val="13"/>
              </w:rPr>
              <w:t>REP-INV-001</w:t>
            </w:r>
          </w:p>
        </w:tc>
        <w:tc>
          <w:tcPr>
            <w:tcW w:type="dxa" w:w="1944"/>
            <w:vAlign w:val="center"/>
            <w:tcMar>
              <w:top w:w="55" w:type="dxa"/>
              <w:start w:w="75" w:type="dxa"/>
              <w:bottom w:w="55" w:type="dxa"/>
              <w:end w:w="75" w:type="dxa"/>
            </w:tcMar>
          </w:tcPr>
          <w:p>
            <w:pPr>
              <w:spacing w:before="0" w:after="0" w:line="240" w:lineRule="auto"/>
            </w:pPr>
            <w:r>
              <w:rPr>
                <w:rFonts w:ascii="Inter" w:hAnsi="Inter"/>
                <w:b w:val="0"/>
                <w:color w:val="172033"/>
                <w:sz w:val="13"/>
              </w:rPr>
              <w:t>Stock Availability</w:t>
            </w:r>
          </w:p>
        </w:tc>
        <w:tc>
          <w:tcPr>
            <w:tcW w:type="dxa" w:w="1944"/>
            <w:vAlign w:val="center"/>
            <w:tcMar>
              <w:top w:w="55" w:type="dxa"/>
              <w:start w:w="75" w:type="dxa"/>
              <w:bottom w:w="55" w:type="dxa"/>
              <w:end w:w="75" w:type="dxa"/>
            </w:tcMar>
          </w:tcPr>
          <w:p>
            <w:pPr>
              <w:spacing w:before="0" w:after="0" w:line="240" w:lineRule="auto"/>
            </w:pPr>
            <w:r>
              <w:rPr>
                <w:rFonts w:ascii="Inter" w:hAnsi="Inter"/>
                <w:b w:val="0"/>
                <w:color w:val="172033"/>
                <w:sz w:val="13"/>
              </w:rPr>
              <w:t>Inventory</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As of date</w:t>
            </w:r>
          </w:p>
        </w:tc>
        <w:tc>
          <w:tcPr>
            <w:tcW w:type="dxa" w:w="3024"/>
            <w:vAlign w:val="center"/>
            <w:tcMar>
              <w:top w:w="55" w:type="dxa"/>
              <w:start w:w="75" w:type="dxa"/>
              <w:bottom w:w="55" w:type="dxa"/>
              <w:end w:w="75" w:type="dxa"/>
            </w:tcMar>
          </w:tcPr>
          <w:p>
            <w:pPr>
              <w:spacing w:before="0" w:after="0" w:line="240" w:lineRule="auto"/>
            </w:pPr>
            <w:r>
              <w:rPr>
                <w:rFonts w:ascii="Inter" w:hAnsi="Inter"/>
                <w:b w:val="0"/>
                <w:color w:val="172033"/>
                <w:sz w:val="13"/>
              </w:rPr>
              <w:t>On hand, committed, available, reorder, and location.</w:t>
            </w:r>
          </w:p>
        </w:tc>
      </w:tr>
      <w:tr>
        <w:trPr>
          <w:cantSplit/>
        </w:trPr>
        <w:tc>
          <w:tcPr>
            <w:tcW w:type="dxa" w:w="1440"/>
            <w:shd w:fill="F6F9FC"/>
            <w:vAlign w:val="center"/>
            <w:tcMar>
              <w:top w:w="55" w:type="dxa"/>
              <w:start w:w="75" w:type="dxa"/>
              <w:bottom w:w="55" w:type="dxa"/>
              <w:end w:w="75" w:type="dxa"/>
            </w:tcMar>
          </w:tcPr>
          <w:p>
            <w:pPr>
              <w:spacing w:before="0" w:after="0" w:line="240" w:lineRule="auto"/>
            </w:pPr>
            <w:r>
              <w:rPr>
                <w:rFonts w:ascii="Inter" w:hAnsi="Inter"/>
                <w:b/>
                <w:color w:val="172033"/>
                <w:sz w:val="13"/>
              </w:rPr>
              <w:t>REP-INV-002</w:t>
            </w:r>
          </w:p>
        </w:tc>
        <w:tc>
          <w:tcPr>
            <w:tcW w:type="dxa" w:w="194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Stock Card</w:t>
            </w:r>
          </w:p>
        </w:tc>
        <w:tc>
          <w:tcPr>
            <w:tcW w:type="dxa" w:w="194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Inventory</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Period / item</w:t>
            </w:r>
          </w:p>
        </w:tc>
        <w:tc>
          <w:tcPr>
            <w:tcW w:type="dxa" w:w="30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Opening, receipts, issues, adjustments, closing, and references.</w:t>
            </w:r>
          </w:p>
        </w:tc>
      </w:tr>
      <w:tr>
        <w:trPr>
          <w:cantSplit/>
        </w:trPr>
        <w:tc>
          <w:tcPr>
            <w:tcW w:type="dxa" w:w="1440"/>
            <w:vAlign w:val="center"/>
            <w:tcMar>
              <w:top w:w="55" w:type="dxa"/>
              <w:start w:w="75" w:type="dxa"/>
              <w:bottom w:w="55" w:type="dxa"/>
              <w:end w:w="75" w:type="dxa"/>
            </w:tcMar>
          </w:tcPr>
          <w:p>
            <w:pPr>
              <w:spacing w:before="0" w:after="0" w:line="240" w:lineRule="auto"/>
            </w:pPr>
            <w:r>
              <w:rPr>
                <w:rFonts w:ascii="Inter" w:hAnsi="Inter"/>
                <w:b/>
                <w:color w:val="172033"/>
                <w:sz w:val="13"/>
              </w:rPr>
              <w:t>REP-INV-003</w:t>
            </w:r>
          </w:p>
        </w:tc>
        <w:tc>
          <w:tcPr>
            <w:tcW w:type="dxa" w:w="1944"/>
            <w:vAlign w:val="center"/>
            <w:tcMar>
              <w:top w:w="55" w:type="dxa"/>
              <w:start w:w="75" w:type="dxa"/>
              <w:bottom w:w="55" w:type="dxa"/>
              <w:end w:w="75" w:type="dxa"/>
            </w:tcMar>
          </w:tcPr>
          <w:p>
            <w:pPr>
              <w:spacing w:before="0" w:after="0" w:line="240" w:lineRule="auto"/>
            </w:pPr>
            <w:r>
              <w:rPr>
                <w:rFonts w:ascii="Inter" w:hAnsi="Inter"/>
                <w:b w:val="0"/>
                <w:color w:val="172033"/>
                <w:sz w:val="13"/>
              </w:rPr>
              <w:t>Inventory Valuation</w:t>
            </w:r>
          </w:p>
        </w:tc>
        <w:tc>
          <w:tcPr>
            <w:tcW w:type="dxa" w:w="1944"/>
            <w:vAlign w:val="center"/>
            <w:tcMar>
              <w:top w:w="55" w:type="dxa"/>
              <w:start w:w="75" w:type="dxa"/>
              <w:bottom w:w="55" w:type="dxa"/>
              <w:end w:w="75" w:type="dxa"/>
            </w:tcMar>
          </w:tcPr>
          <w:p>
            <w:pPr>
              <w:spacing w:before="0" w:after="0" w:line="240" w:lineRule="auto"/>
            </w:pPr>
            <w:r>
              <w:rPr>
                <w:rFonts w:ascii="Inter" w:hAnsi="Inter"/>
                <w:b w:val="0"/>
                <w:color w:val="172033"/>
                <w:sz w:val="13"/>
              </w:rPr>
              <w:t>Inventory</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As of date</w:t>
            </w:r>
          </w:p>
        </w:tc>
        <w:tc>
          <w:tcPr>
            <w:tcW w:type="dxa" w:w="3024"/>
            <w:vAlign w:val="center"/>
            <w:tcMar>
              <w:top w:w="55" w:type="dxa"/>
              <w:start w:w="75" w:type="dxa"/>
              <w:bottom w:w="55" w:type="dxa"/>
              <w:end w:w="75" w:type="dxa"/>
            </w:tcMar>
          </w:tcPr>
          <w:p>
            <w:pPr>
              <w:spacing w:before="0" w:after="0" w:line="240" w:lineRule="auto"/>
            </w:pPr>
            <w:r>
              <w:rPr>
                <w:rFonts w:ascii="Inter" w:hAnsi="Inter"/>
                <w:b w:val="0"/>
                <w:color w:val="172033"/>
                <w:sz w:val="13"/>
              </w:rPr>
              <w:t>Quantity, unit cost, value, method, and warehouse.</w:t>
            </w:r>
          </w:p>
        </w:tc>
      </w:tr>
      <w:tr>
        <w:trPr>
          <w:cantSplit/>
        </w:trPr>
        <w:tc>
          <w:tcPr>
            <w:tcW w:type="dxa" w:w="1440"/>
            <w:shd w:fill="F6F9FC"/>
            <w:vAlign w:val="center"/>
            <w:tcMar>
              <w:top w:w="55" w:type="dxa"/>
              <w:start w:w="75" w:type="dxa"/>
              <w:bottom w:w="55" w:type="dxa"/>
              <w:end w:w="75" w:type="dxa"/>
            </w:tcMar>
          </w:tcPr>
          <w:p>
            <w:pPr>
              <w:spacing w:before="0" w:after="0" w:line="240" w:lineRule="auto"/>
            </w:pPr>
            <w:r>
              <w:rPr>
                <w:rFonts w:ascii="Inter" w:hAnsi="Inter"/>
                <w:b/>
                <w:color w:val="172033"/>
                <w:sz w:val="13"/>
              </w:rPr>
              <w:t>REP-CAS-001</w:t>
            </w:r>
          </w:p>
        </w:tc>
        <w:tc>
          <w:tcPr>
            <w:tcW w:type="dxa" w:w="194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Cash Position</w:t>
            </w:r>
          </w:p>
        </w:tc>
        <w:tc>
          <w:tcPr>
            <w:tcW w:type="dxa" w:w="194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Cash Accounts</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As of date</w:t>
            </w:r>
          </w:p>
        </w:tc>
        <w:tc>
          <w:tcPr>
            <w:tcW w:type="dxa" w:w="30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Cash boxes, banks, wallets, pending, available, reconciled, and total position.</w:t>
            </w:r>
          </w:p>
        </w:tc>
      </w:tr>
      <w:tr>
        <w:trPr>
          <w:cantSplit/>
        </w:trPr>
        <w:tc>
          <w:tcPr>
            <w:tcW w:type="dxa" w:w="1440"/>
            <w:vAlign w:val="center"/>
            <w:tcMar>
              <w:top w:w="55" w:type="dxa"/>
              <w:start w:w="75" w:type="dxa"/>
              <w:bottom w:w="55" w:type="dxa"/>
              <w:end w:w="75" w:type="dxa"/>
            </w:tcMar>
          </w:tcPr>
          <w:p>
            <w:pPr>
              <w:spacing w:before="0" w:after="0" w:line="240" w:lineRule="auto"/>
            </w:pPr>
            <w:r>
              <w:rPr>
                <w:rFonts w:ascii="Inter" w:hAnsi="Inter"/>
                <w:b/>
                <w:color w:val="172033"/>
                <w:sz w:val="13"/>
              </w:rPr>
              <w:t>REP-CAS-002</w:t>
            </w:r>
          </w:p>
        </w:tc>
        <w:tc>
          <w:tcPr>
            <w:tcW w:type="dxa" w:w="1944"/>
            <w:vAlign w:val="center"/>
            <w:tcMar>
              <w:top w:w="55" w:type="dxa"/>
              <w:start w:w="75" w:type="dxa"/>
              <w:bottom w:w="55" w:type="dxa"/>
              <w:end w:w="75" w:type="dxa"/>
            </w:tcMar>
          </w:tcPr>
          <w:p>
            <w:pPr>
              <w:spacing w:before="0" w:after="0" w:line="240" w:lineRule="auto"/>
            </w:pPr>
            <w:r>
              <w:rPr>
                <w:rFonts w:ascii="Inter" w:hAnsi="Inter"/>
                <w:b w:val="0"/>
                <w:color w:val="172033"/>
                <w:sz w:val="13"/>
              </w:rPr>
              <w:t>Cash Account Ledger</w:t>
            </w:r>
          </w:p>
        </w:tc>
        <w:tc>
          <w:tcPr>
            <w:tcW w:type="dxa" w:w="1944"/>
            <w:vAlign w:val="center"/>
            <w:tcMar>
              <w:top w:w="55" w:type="dxa"/>
              <w:start w:w="75" w:type="dxa"/>
              <w:bottom w:w="55" w:type="dxa"/>
              <w:end w:w="75" w:type="dxa"/>
            </w:tcMar>
          </w:tcPr>
          <w:p>
            <w:pPr>
              <w:spacing w:before="0" w:after="0" w:line="240" w:lineRule="auto"/>
            </w:pPr>
            <w:r>
              <w:rPr>
                <w:rFonts w:ascii="Inter" w:hAnsi="Inter"/>
                <w:b w:val="0"/>
                <w:color w:val="172033"/>
                <w:sz w:val="13"/>
              </w:rPr>
              <w:t>Cash Accounts</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Period / account</w:t>
            </w:r>
          </w:p>
        </w:tc>
        <w:tc>
          <w:tcPr>
            <w:tcW w:type="dxa" w:w="3024"/>
            <w:vAlign w:val="center"/>
            <w:tcMar>
              <w:top w:w="55" w:type="dxa"/>
              <w:start w:w="75" w:type="dxa"/>
              <w:bottom w:w="55" w:type="dxa"/>
              <w:end w:w="75" w:type="dxa"/>
            </w:tcMar>
          </w:tcPr>
          <w:p>
            <w:pPr>
              <w:spacing w:before="0" w:after="0" w:line="240" w:lineRule="auto"/>
            </w:pPr>
            <w:r>
              <w:rPr>
                <w:rFonts w:ascii="Inter" w:hAnsi="Inter"/>
                <w:b w:val="0"/>
                <w:color w:val="172033"/>
                <w:sz w:val="13"/>
              </w:rPr>
              <w:t>Opening, inflows, outflows, transfers, closing, and reconciliation state.</w:t>
            </w:r>
          </w:p>
        </w:tc>
      </w:tr>
      <w:tr>
        <w:trPr>
          <w:cantSplit/>
        </w:trPr>
        <w:tc>
          <w:tcPr>
            <w:tcW w:type="dxa" w:w="1440"/>
            <w:shd w:fill="F6F9FC"/>
            <w:vAlign w:val="center"/>
            <w:tcMar>
              <w:top w:w="55" w:type="dxa"/>
              <w:start w:w="75" w:type="dxa"/>
              <w:bottom w:w="55" w:type="dxa"/>
              <w:end w:w="75" w:type="dxa"/>
            </w:tcMar>
          </w:tcPr>
          <w:p>
            <w:pPr>
              <w:spacing w:before="0" w:after="0" w:line="240" w:lineRule="auto"/>
            </w:pPr>
            <w:r>
              <w:rPr>
                <w:rFonts w:ascii="Inter" w:hAnsi="Inter"/>
                <w:b/>
                <w:color w:val="172033"/>
                <w:sz w:val="13"/>
              </w:rPr>
              <w:t>REP-EXP-001</w:t>
            </w:r>
          </w:p>
        </w:tc>
        <w:tc>
          <w:tcPr>
            <w:tcW w:type="dxa" w:w="194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Expense Register</w:t>
            </w:r>
          </w:p>
        </w:tc>
        <w:tc>
          <w:tcPr>
            <w:tcW w:type="dxa" w:w="194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Expenses</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Period</w:t>
            </w:r>
          </w:p>
        </w:tc>
        <w:tc>
          <w:tcPr>
            <w:tcW w:type="dxa" w:w="30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Expense records, accounts, categories, payees, evidence, payment, and status.</w:t>
            </w:r>
          </w:p>
        </w:tc>
      </w:tr>
      <w:tr>
        <w:trPr>
          <w:cantSplit/>
        </w:trPr>
        <w:tc>
          <w:tcPr>
            <w:tcW w:type="dxa" w:w="1440"/>
            <w:vAlign w:val="center"/>
            <w:tcMar>
              <w:top w:w="55" w:type="dxa"/>
              <w:start w:w="75" w:type="dxa"/>
              <w:bottom w:w="55" w:type="dxa"/>
              <w:end w:w="75" w:type="dxa"/>
            </w:tcMar>
          </w:tcPr>
          <w:p>
            <w:pPr>
              <w:spacing w:before="0" w:after="0" w:line="240" w:lineRule="auto"/>
            </w:pPr>
            <w:r>
              <w:rPr>
                <w:rFonts w:ascii="Inter" w:hAnsi="Inter"/>
                <w:b/>
                <w:color w:val="172033"/>
                <w:sz w:val="13"/>
              </w:rPr>
              <w:t>REP-EXP-002</w:t>
            </w:r>
          </w:p>
        </w:tc>
        <w:tc>
          <w:tcPr>
            <w:tcW w:type="dxa" w:w="1944"/>
            <w:vAlign w:val="center"/>
            <w:tcMar>
              <w:top w:w="55" w:type="dxa"/>
              <w:start w:w="75" w:type="dxa"/>
              <w:bottom w:w="55" w:type="dxa"/>
              <w:end w:w="75" w:type="dxa"/>
            </w:tcMar>
          </w:tcPr>
          <w:p>
            <w:pPr>
              <w:spacing w:before="0" w:after="0" w:line="240" w:lineRule="auto"/>
            </w:pPr>
            <w:r>
              <w:rPr>
                <w:rFonts w:ascii="Inter" w:hAnsi="Inter"/>
                <w:b w:val="0"/>
                <w:color w:val="172033"/>
                <w:sz w:val="13"/>
              </w:rPr>
              <w:t>Expense Analysis</w:t>
            </w:r>
          </w:p>
        </w:tc>
        <w:tc>
          <w:tcPr>
            <w:tcW w:type="dxa" w:w="1944"/>
            <w:vAlign w:val="center"/>
            <w:tcMar>
              <w:top w:w="55" w:type="dxa"/>
              <w:start w:w="75" w:type="dxa"/>
              <w:bottom w:w="55" w:type="dxa"/>
              <w:end w:w="75" w:type="dxa"/>
            </w:tcMar>
          </w:tcPr>
          <w:p>
            <w:pPr>
              <w:spacing w:before="0" w:after="0" w:line="240" w:lineRule="auto"/>
            </w:pPr>
            <w:r>
              <w:rPr>
                <w:rFonts w:ascii="Inter" w:hAnsi="Inter"/>
                <w:b w:val="0"/>
                <w:color w:val="172033"/>
                <w:sz w:val="13"/>
              </w:rPr>
              <w:t>Expenses</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Period / dimension</w:t>
            </w:r>
          </w:p>
        </w:tc>
        <w:tc>
          <w:tcPr>
            <w:tcW w:type="dxa" w:w="3024"/>
            <w:vAlign w:val="center"/>
            <w:tcMar>
              <w:top w:w="55" w:type="dxa"/>
              <w:start w:w="75" w:type="dxa"/>
              <w:bottom w:w="55" w:type="dxa"/>
              <w:end w:w="75" w:type="dxa"/>
            </w:tcMar>
          </w:tcPr>
          <w:p>
            <w:pPr>
              <w:spacing w:before="0" w:after="0" w:line="240" w:lineRule="auto"/>
            </w:pPr>
            <w:r>
              <w:rPr>
                <w:rFonts w:ascii="Inter" w:hAnsi="Inter"/>
                <w:b w:val="0"/>
                <w:color w:val="172033"/>
                <w:sz w:val="13"/>
              </w:rPr>
              <w:t>Expenses by account, category, payee, branch, project, and trend.</w:t>
            </w:r>
          </w:p>
        </w:tc>
      </w:tr>
      <w:tr>
        <w:trPr>
          <w:cantSplit/>
        </w:trPr>
        <w:tc>
          <w:tcPr>
            <w:tcW w:type="dxa" w:w="1440"/>
            <w:shd w:fill="F6F9FC"/>
            <w:vAlign w:val="center"/>
            <w:tcMar>
              <w:top w:w="55" w:type="dxa"/>
              <w:start w:w="75" w:type="dxa"/>
              <w:bottom w:w="55" w:type="dxa"/>
              <w:end w:w="75" w:type="dxa"/>
            </w:tcMar>
          </w:tcPr>
          <w:p>
            <w:pPr>
              <w:spacing w:before="0" w:after="0" w:line="240" w:lineRule="auto"/>
            </w:pPr>
            <w:r>
              <w:rPr>
                <w:rFonts w:ascii="Inter" w:hAnsi="Inter"/>
                <w:b/>
                <w:color w:val="172033"/>
                <w:sz w:val="13"/>
              </w:rPr>
              <w:t>REP-MGT-001</w:t>
            </w:r>
          </w:p>
        </w:tc>
        <w:tc>
          <w:tcPr>
            <w:tcW w:type="dxa" w:w="194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Business Performance</w:t>
            </w:r>
          </w:p>
        </w:tc>
        <w:tc>
          <w:tcPr>
            <w:tcW w:type="dxa" w:w="194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Management &amp; Analytics</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Period / comparison</w:t>
            </w:r>
          </w:p>
        </w:tc>
        <w:tc>
          <w:tcPr>
            <w:tcW w:type="dxa" w:w="30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Sales, margin, expenses, cash, receivables, payables, inventory, and key trends.</w:t>
            </w:r>
          </w:p>
        </w:tc>
      </w:tr>
      <w:tr>
        <w:trPr>
          <w:cantSplit/>
        </w:trPr>
        <w:tc>
          <w:tcPr>
            <w:tcW w:type="dxa" w:w="1440"/>
            <w:vAlign w:val="center"/>
            <w:tcMar>
              <w:top w:w="55" w:type="dxa"/>
              <w:start w:w="75" w:type="dxa"/>
              <w:bottom w:w="55" w:type="dxa"/>
              <w:end w:w="75" w:type="dxa"/>
            </w:tcMar>
          </w:tcPr>
          <w:p>
            <w:pPr>
              <w:spacing w:before="0" w:after="0" w:line="240" w:lineRule="auto"/>
            </w:pPr>
            <w:r>
              <w:rPr>
                <w:rFonts w:ascii="Inter" w:hAnsi="Inter"/>
                <w:b/>
                <w:color w:val="172033"/>
                <w:sz w:val="13"/>
              </w:rPr>
              <w:t>REP-CTL-001</w:t>
            </w:r>
          </w:p>
        </w:tc>
        <w:tc>
          <w:tcPr>
            <w:tcW w:type="dxa" w:w="1944"/>
            <w:vAlign w:val="center"/>
            <w:tcMar>
              <w:top w:w="55" w:type="dxa"/>
              <w:start w:w="75" w:type="dxa"/>
              <w:bottom w:w="55" w:type="dxa"/>
              <w:end w:w="75" w:type="dxa"/>
            </w:tcMar>
          </w:tcPr>
          <w:p>
            <w:pPr>
              <w:spacing w:before="0" w:after="0" w:line="240" w:lineRule="auto"/>
            </w:pPr>
            <w:r>
              <w:rPr>
                <w:rFonts w:ascii="Inter" w:hAnsi="Inter"/>
                <w:b w:val="0"/>
                <w:color w:val="172033"/>
                <w:sz w:val="13"/>
              </w:rPr>
              <w:t>Voided and Reversed Records</w:t>
            </w:r>
          </w:p>
        </w:tc>
        <w:tc>
          <w:tcPr>
            <w:tcW w:type="dxa" w:w="1944"/>
            <w:vAlign w:val="center"/>
            <w:tcMar>
              <w:top w:w="55" w:type="dxa"/>
              <w:start w:w="75" w:type="dxa"/>
              <w:bottom w:w="55" w:type="dxa"/>
              <w:end w:w="75" w:type="dxa"/>
            </w:tcMar>
          </w:tcPr>
          <w:p>
            <w:pPr>
              <w:spacing w:before="0" w:after="0" w:line="240" w:lineRule="auto"/>
            </w:pPr>
            <w:r>
              <w:rPr>
                <w:rFonts w:ascii="Inter" w:hAnsi="Inter"/>
                <w:b w:val="0"/>
                <w:color w:val="172033"/>
                <w:sz w:val="13"/>
              </w:rPr>
              <w:t>Audit &amp; Control</w:t>
            </w:r>
          </w:p>
        </w:tc>
        <w:tc>
          <w:tcPr>
            <w:tcW w:type="dxa" w:w="1224"/>
            <w:vAlign w:val="center"/>
            <w:tcMar>
              <w:top w:w="55" w:type="dxa"/>
              <w:start w:w="75" w:type="dxa"/>
              <w:bottom w:w="55" w:type="dxa"/>
              <w:end w:w="75" w:type="dxa"/>
            </w:tcMar>
          </w:tcPr>
          <w:p>
            <w:pPr>
              <w:spacing w:before="0" w:after="0" w:line="240" w:lineRule="auto"/>
            </w:pPr>
            <w:r>
              <w:rPr>
                <w:rFonts w:ascii="Inter" w:hAnsi="Inter"/>
                <w:b w:val="0"/>
                <w:color w:val="172033"/>
                <w:sz w:val="13"/>
              </w:rPr>
              <w:t>Period</w:t>
            </w:r>
          </w:p>
        </w:tc>
        <w:tc>
          <w:tcPr>
            <w:tcW w:type="dxa" w:w="3024"/>
            <w:vAlign w:val="center"/>
            <w:tcMar>
              <w:top w:w="55" w:type="dxa"/>
              <w:start w:w="75" w:type="dxa"/>
              <w:bottom w:w="55" w:type="dxa"/>
              <w:end w:w="75" w:type="dxa"/>
            </w:tcMar>
          </w:tcPr>
          <w:p>
            <w:pPr>
              <w:spacing w:before="0" w:after="0" w:line="240" w:lineRule="auto"/>
            </w:pPr>
            <w:r>
              <w:rPr>
                <w:rFonts w:ascii="Inter" w:hAnsi="Inter"/>
                <w:b w:val="0"/>
                <w:color w:val="172033"/>
                <w:sz w:val="13"/>
              </w:rPr>
              <w:t>Voids, reversals, reasons, actors, source records, and effects.</w:t>
            </w:r>
          </w:p>
        </w:tc>
      </w:tr>
      <w:tr>
        <w:trPr>
          <w:cantSplit/>
        </w:trPr>
        <w:tc>
          <w:tcPr>
            <w:tcW w:type="dxa" w:w="1440"/>
            <w:shd w:fill="F6F9FC"/>
            <w:vAlign w:val="center"/>
            <w:tcMar>
              <w:top w:w="55" w:type="dxa"/>
              <w:start w:w="75" w:type="dxa"/>
              <w:bottom w:w="55" w:type="dxa"/>
              <w:end w:w="75" w:type="dxa"/>
            </w:tcMar>
          </w:tcPr>
          <w:p>
            <w:pPr>
              <w:spacing w:before="0" w:after="0" w:line="240" w:lineRule="auto"/>
            </w:pPr>
            <w:r>
              <w:rPr>
                <w:rFonts w:ascii="Inter" w:hAnsi="Inter"/>
                <w:b/>
                <w:color w:val="172033"/>
                <w:sz w:val="13"/>
              </w:rPr>
              <w:t>REP-CTL-002</w:t>
            </w:r>
          </w:p>
        </w:tc>
        <w:tc>
          <w:tcPr>
            <w:tcW w:type="dxa" w:w="194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Report Export and Delivery History</w:t>
            </w:r>
          </w:p>
        </w:tc>
        <w:tc>
          <w:tcPr>
            <w:tcW w:type="dxa" w:w="194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Audit &amp; Control</w:t>
            </w:r>
          </w:p>
        </w:tc>
        <w:tc>
          <w:tcPr>
            <w:tcW w:type="dxa" w:w="12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Period</w:t>
            </w:r>
          </w:p>
        </w:tc>
        <w:tc>
          <w:tcPr>
            <w:tcW w:type="dxa" w:w="3024"/>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Sensitive exports, prints, schedules, recipients, delivery, and failures.</w:t>
            </w:r>
          </w:p>
        </w:tc>
      </w:tr>
    </w:tbl>
    <w:p>
      <w:pPr>
        <w:spacing w:after="80" w:line="259" w:lineRule="auto"/>
      </w:pPr>
    </w:p>
    <w:p>
      <w:pPr>
        <w:pStyle w:val="Heading1"/>
        <w:keepNext/>
        <w:pageBreakBefore w:val="0"/>
      </w:pPr>
      <w:r>
        <w:t>Appendix B - Output Format Matrix</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72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Output</w:t>
            </w:r>
          </w:p>
        </w:tc>
        <w:tc>
          <w:tcPr>
            <w:tcW w:type="dxa" w:w="316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Use</w:t>
            </w:r>
          </w:p>
        </w:tc>
        <w:tc>
          <w:tcPr>
            <w:tcW w:type="dxa" w:w="468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Required controls</w:t>
            </w:r>
          </w:p>
        </w:tc>
      </w:tr>
      <w:tr>
        <w:trPr>
          <w:cantSplit/>
        </w:trPr>
        <w:tc>
          <w:tcPr>
            <w:tcW w:type="dxa" w:w="1728"/>
            <w:vAlign w:val="center"/>
            <w:tcMar>
              <w:top w:w="55" w:type="dxa"/>
              <w:start w:w="75" w:type="dxa"/>
              <w:bottom w:w="55" w:type="dxa"/>
              <w:end w:w="75" w:type="dxa"/>
            </w:tcMar>
          </w:tcPr>
          <w:p>
            <w:pPr>
              <w:spacing w:before="0" w:after="0" w:line="240" w:lineRule="auto"/>
            </w:pPr>
            <w:r>
              <w:rPr>
                <w:rFonts w:ascii="Inter" w:hAnsi="Inter"/>
                <w:b w:val="0"/>
                <w:color w:val="172033"/>
                <w:sz w:val="15"/>
              </w:rPr>
              <w:t>Display Report</w:t>
            </w:r>
          </w:p>
        </w:tc>
        <w:tc>
          <w:tcPr>
            <w:tcW w:type="dxa" w:w="3168"/>
            <w:vAlign w:val="center"/>
            <w:tcMar>
              <w:top w:w="55" w:type="dxa"/>
              <w:start w:w="75" w:type="dxa"/>
              <w:bottom w:w="55" w:type="dxa"/>
              <w:end w:w="75" w:type="dxa"/>
            </w:tcMar>
          </w:tcPr>
          <w:p>
            <w:pPr>
              <w:spacing w:before="0" w:after="0" w:line="240" w:lineRule="auto"/>
            </w:pPr>
            <w:r>
              <w:rPr>
                <w:rFonts w:ascii="Inter" w:hAnsi="Inter"/>
                <w:b w:val="0"/>
                <w:color w:val="172033"/>
                <w:sz w:val="15"/>
              </w:rPr>
              <w:t>Interactive on-screen review, filter summary, totals, chart/table, and drill-down.</w:t>
            </w:r>
          </w:p>
        </w:tc>
        <w:tc>
          <w:tcPr>
            <w:tcW w:type="dxa" w:w="4680"/>
            <w:vAlign w:val="center"/>
            <w:tcMar>
              <w:top w:w="55" w:type="dxa"/>
              <w:start w:w="75" w:type="dxa"/>
              <w:bottom w:w="55" w:type="dxa"/>
              <w:end w:w="75" w:type="dxa"/>
            </w:tcMar>
          </w:tcPr>
          <w:p>
            <w:pPr>
              <w:spacing w:before="0" w:after="0" w:line="240" w:lineRule="auto"/>
            </w:pPr>
            <w:r>
              <w:rPr>
                <w:rFonts w:ascii="Inter" w:hAnsi="Inter"/>
                <w:b w:val="0"/>
                <w:color w:val="172033"/>
                <w:sz w:val="15"/>
              </w:rPr>
              <w:t>Permission, context, freshness, pagination, accessibility, and no source mutation.</w:t>
            </w:r>
          </w:p>
        </w:tc>
      </w:tr>
      <w:tr>
        <w:trPr>
          <w:cantSplit/>
        </w:trPr>
        <w:tc>
          <w:tcPr>
            <w:tcW w:type="dxa" w:w="172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PDF</w:t>
            </w:r>
          </w:p>
        </w:tc>
        <w:tc>
          <w:tcPr>
            <w:tcW w:type="dxa" w:w="316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Fixed-layout print/share/archive output.</w:t>
            </w:r>
          </w:p>
        </w:tc>
        <w:tc>
          <w:tcPr>
            <w:tcW w:type="dxa" w:w="468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Metadata, page number, repeated headings, sensitivity, watermark/expiry when required, and audit.</w:t>
            </w:r>
          </w:p>
        </w:tc>
      </w:tr>
      <w:tr>
        <w:trPr>
          <w:cantSplit/>
        </w:trPr>
        <w:tc>
          <w:tcPr>
            <w:tcW w:type="dxa" w:w="1728"/>
            <w:vAlign w:val="center"/>
            <w:tcMar>
              <w:top w:w="55" w:type="dxa"/>
              <w:start w:w="75" w:type="dxa"/>
              <w:bottom w:w="55" w:type="dxa"/>
              <w:end w:w="75" w:type="dxa"/>
            </w:tcMar>
          </w:tcPr>
          <w:p>
            <w:pPr>
              <w:spacing w:before="0" w:after="0" w:line="240" w:lineRule="auto"/>
            </w:pPr>
            <w:r>
              <w:rPr>
                <w:rFonts w:ascii="Inter" w:hAnsi="Inter"/>
                <w:b w:val="0"/>
                <w:color w:val="172033"/>
                <w:sz w:val="15"/>
              </w:rPr>
              <w:t>XLSX</w:t>
            </w:r>
          </w:p>
        </w:tc>
        <w:tc>
          <w:tcPr>
            <w:tcW w:type="dxa" w:w="3168"/>
            <w:vAlign w:val="center"/>
            <w:tcMar>
              <w:top w:w="55" w:type="dxa"/>
              <w:start w:w="75" w:type="dxa"/>
              <w:bottom w:w="55" w:type="dxa"/>
              <w:end w:w="75" w:type="dxa"/>
            </w:tcMar>
          </w:tcPr>
          <w:p>
            <w:pPr>
              <w:spacing w:before="0" w:after="0" w:line="240" w:lineRule="auto"/>
            </w:pPr>
            <w:r>
              <w:rPr>
                <w:rFonts w:ascii="Inter" w:hAnsi="Inter"/>
                <w:b w:val="0"/>
                <w:color w:val="172033"/>
                <w:sz w:val="15"/>
              </w:rPr>
              <w:t>Structured analysis and authorized offline work.</w:t>
            </w:r>
          </w:p>
        </w:tc>
        <w:tc>
          <w:tcPr>
            <w:tcW w:type="dxa" w:w="4680"/>
            <w:vAlign w:val="center"/>
            <w:tcMar>
              <w:top w:w="55" w:type="dxa"/>
              <w:start w:w="75" w:type="dxa"/>
              <w:bottom w:w="55" w:type="dxa"/>
              <w:end w:w="75" w:type="dxa"/>
            </w:tcMar>
          </w:tcPr>
          <w:p>
            <w:pPr>
              <w:spacing w:before="0" w:after="0" w:line="240" w:lineRule="auto"/>
            </w:pPr>
            <w:r>
              <w:rPr>
                <w:rFonts w:ascii="Inter" w:hAnsi="Inter"/>
                <w:b w:val="0"/>
                <w:color w:val="172033"/>
                <w:sz w:val="15"/>
              </w:rPr>
              <w:t>Types, precision, formulas policy, protected data, safe cell content, metadata sheet/header, and audit.</w:t>
            </w:r>
          </w:p>
        </w:tc>
      </w:tr>
      <w:tr>
        <w:trPr>
          <w:cantSplit/>
        </w:trPr>
        <w:tc>
          <w:tcPr>
            <w:tcW w:type="dxa" w:w="172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CSV</w:t>
            </w:r>
          </w:p>
        </w:tc>
        <w:tc>
          <w:tcPr>
            <w:tcW w:type="dxa" w:w="316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Machine-readable rows for simple authorized export.</w:t>
            </w:r>
          </w:p>
        </w:tc>
        <w:tc>
          <w:tcPr>
            <w:tcW w:type="dxa" w:w="468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Encoding, delimiter, date/number/currency identity, formula-injection protection, and no layout claim.</w:t>
            </w:r>
          </w:p>
        </w:tc>
      </w:tr>
      <w:tr>
        <w:trPr>
          <w:cantSplit/>
        </w:trPr>
        <w:tc>
          <w:tcPr>
            <w:tcW w:type="dxa" w:w="1728"/>
            <w:vAlign w:val="center"/>
            <w:tcMar>
              <w:top w:w="55" w:type="dxa"/>
              <w:start w:w="75" w:type="dxa"/>
              <w:bottom w:w="55" w:type="dxa"/>
              <w:end w:w="75" w:type="dxa"/>
            </w:tcMar>
          </w:tcPr>
          <w:p>
            <w:pPr>
              <w:spacing w:before="0" w:after="0" w:line="240" w:lineRule="auto"/>
            </w:pPr>
            <w:r>
              <w:rPr>
                <w:rFonts w:ascii="Inter" w:hAnsi="Inter"/>
                <w:b w:val="0"/>
                <w:color w:val="172033"/>
                <w:sz w:val="15"/>
              </w:rPr>
              <w:t>Printed copy</w:t>
            </w:r>
          </w:p>
        </w:tc>
        <w:tc>
          <w:tcPr>
            <w:tcW w:type="dxa" w:w="3168"/>
            <w:vAlign w:val="center"/>
            <w:tcMar>
              <w:top w:w="55" w:type="dxa"/>
              <w:start w:w="75" w:type="dxa"/>
              <w:bottom w:w="55" w:type="dxa"/>
              <w:end w:w="75" w:type="dxa"/>
            </w:tcMar>
          </w:tcPr>
          <w:p>
            <w:pPr>
              <w:spacing w:before="0" w:after="0" w:line="240" w:lineRule="auto"/>
            </w:pPr>
            <w:r>
              <w:rPr>
                <w:rFonts w:ascii="Inter" w:hAnsi="Inter"/>
                <w:b w:val="0"/>
                <w:color w:val="172033"/>
                <w:sz w:val="15"/>
              </w:rPr>
              <w:t>Physical working or formal copy.</w:t>
            </w:r>
          </w:p>
        </w:tc>
        <w:tc>
          <w:tcPr>
            <w:tcW w:type="dxa" w:w="4680"/>
            <w:vAlign w:val="center"/>
            <w:tcMar>
              <w:top w:w="55" w:type="dxa"/>
              <w:start w:w="75" w:type="dxa"/>
              <w:bottom w:w="55" w:type="dxa"/>
              <w:end w:w="75" w:type="dxa"/>
            </w:tcMar>
          </w:tcPr>
          <w:p>
            <w:pPr>
              <w:spacing w:before="0" w:after="0" w:line="240" w:lineRule="auto"/>
            </w:pPr>
            <w:r>
              <w:rPr>
                <w:rFonts w:ascii="Inter" w:hAnsi="Inter"/>
                <w:b w:val="0"/>
                <w:color w:val="172033"/>
                <w:sz w:val="15"/>
              </w:rPr>
              <w:t>Permission, print metadata, sensitivity, page identity, and audit when required.</w:t>
            </w:r>
          </w:p>
        </w:tc>
      </w:tr>
      <w:tr>
        <w:trPr>
          <w:cantSplit/>
        </w:trPr>
        <w:tc>
          <w:tcPr>
            <w:tcW w:type="dxa" w:w="172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Secure link</w:t>
            </w:r>
          </w:p>
        </w:tc>
        <w:tc>
          <w:tcPr>
            <w:tcW w:type="dxa" w:w="316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Time-limited access to a generated output.</w:t>
            </w:r>
          </w:p>
        </w:tc>
        <w:tc>
          <w:tcPr>
            <w:tcW w:type="dxa" w:w="468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Scoped recipient, authentication or token policy, expiry, revocation, download control, and audit.</w:t>
            </w:r>
          </w:p>
        </w:tc>
      </w:tr>
      <w:tr>
        <w:trPr>
          <w:cantSplit/>
        </w:trPr>
        <w:tc>
          <w:tcPr>
            <w:tcW w:type="dxa" w:w="1728"/>
            <w:vAlign w:val="center"/>
            <w:tcMar>
              <w:top w:w="55" w:type="dxa"/>
              <w:start w:w="75" w:type="dxa"/>
              <w:bottom w:w="55" w:type="dxa"/>
              <w:end w:w="75" w:type="dxa"/>
            </w:tcMar>
          </w:tcPr>
          <w:p>
            <w:pPr>
              <w:spacing w:before="0" w:after="0" w:line="240" w:lineRule="auto"/>
            </w:pPr>
            <w:r>
              <w:rPr>
                <w:rFonts w:ascii="Inter" w:hAnsi="Inter"/>
                <w:b w:val="0"/>
                <w:color w:val="172033"/>
                <w:sz w:val="15"/>
              </w:rPr>
              <w:t>API result</w:t>
            </w:r>
          </w:p>
        </w:tc>
        <w:tc>
          <w:tcPr>
            <w:tcW w:type="dxa" w:w="3168"/>
            <w:vAlign w:val="center"/>
            <w:tcMar>
              <w:top w:w="55" w:type="dxa"/>
              <w:start w:w="75" w:type="dxa"/>
              <w:bottom w:w="55" w:type="dxa"/>
              <w:end w:w="75" w:type="dxa"/>
            </w:tcMar>
          </w:tcPr>
          <w:p>
            <w:pPr>
              <w:spacing w:before="0" w:after="0" w:line="240" w:lineRule="auto"/>
            </w:pPr>
            <w:r>
              <w:rPr>
                <w:rFonts w:ascii="Inter" w:hAnsi="Inter"/>
                <w:b w:val="0"/>
                <w:color w:val="172033"/>
                <w:sz w:val="15"/>
              </w:rPr>
              <w:t>System-to-system structured output.</w:t>
            </w:r>
          </w:p>
        </w:tc>
        <w:tc>
          <w:tcPr>
            <w:tcW w:type="dxa" w:w="4680"/>
            <w:vAlign w:val="center"/>
            <w:tcMar>
              <w:top w:w="55" w:type="dxa"/>
              <w:start w:w="75" w:type="dxa"/>
              <w:bottom w:w="55" w:type="dxa"/>
              <w:end w:w="75" w:type="dxa"/>
            </w:tcMar>
          </w:tcPr>
          <w:p>
            <w:pPr>
              <w:spacing w:before="0" w:after="0" w:line="240" w:lineRule="auto"/>
            </w:pPr>
            <w:r>
              <w:rPr>
                <w:rFonts w:ascii="Inter" w:hAnsi="Inter"/>
                <w:b w:val="0"/>
                <w:color w:val="172033"/>
                <w:sz w:val="15"/>
              </w:rPr>
              <w:t>Authenticated scope, versioned schema, paging, rate limits, idempotency where needed, and no direct table access.</w:t>
            </w:r>
          </w:p>
        </w:tc>
      </w:tr>
      <w:tr>
        <w:trPr>
          <w:cantSplit/>
        </w:trPr>
        <w:tc>
          <w:tcPr>
            <w:tcW w:type="dxa" w:w="172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Scheduled delivery</w:t>
            </w:r>
          </w:p>
        </w:tc>
        <w:tc>
          <w:tcPr>
            <w:tcW w:type="dxa" w:w="3168"/>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Automated output or link.</w:t>
            </w:r>
          </w:p>
        </w:tc>
        <w:tc>
          <w:tcPr>
            <w:tcW w:type="dxa" w:w="4680"/>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Revalidated authority, recipient, channel, format, secure delivery, retries, and execution history.</w:t>
            </w:r>
          </w:p>
        </w:tc>
      </w:tr>
    </w:tbl>
    <w:p>
      <w:pPr>
        <w:spacing w:after="80" w:line="259" w:lineRule="auto"/>
      </w:pPr>
    </w:p>
    <w:p>
      <w:pPr>
        <w:pStyle w:val="Heading1"/>
        <w:keepNext/>
        <w:pageBreakBefore w:val="0"/>
      </w:pPr>
      <w:r>
        <w:t>Appendix C - Permission Matrix</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tblGrid>
      <w:tr>
        <w:trPr>
          <w:tblHeader w:val="true"/>
          <w:cantSplit/>
        </w:trPr>
        <w:tc>
          <w:tcPr>
            <w:tcW w:type="dxa" w:w="244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Action</w:t>
            </w:r>
          </w:p>
        </w:tc>
        <w:tc>
          <w:tcPr>
            <w:tcW w:type="dxa" w:w="1656"/>
            <w:shd w:fill="E7F0F8"/>
            <w:vAlign w:val="center"/>
            <w:tcMar>
              <w:top w:w="55" w:type="dxa"/>
              <w:start w:w="75" w:type="dxa"/>
              <w:bottom w:w="55" w:type="dxa"/>
              <w:end w:w="75" w:type="dxa"/>
            </w:tcMar>
          </w:tcPr>
          <w:p>
            <w:pPr>
              <w:spacing w:before="0" w:after="0" w:line="240" w:lineRule="auto"/>
            </w:pPr>
            <w:r>
              <w:rPr>
                <w:rFonts w:ascii="Inter" w:hAnsi="Inter"/>
                <w:b/>
                <w:color w:val="172033"/>
                <w:sz w:val="16"/>
              </w:rPr>
              <w:t>Owner/Manager</w:t>
            </w:r>
          </w:p>
        </w:tc>
        <w:tc>
          <w:tcPr>
            <w:tcW w:type="dxa" w:w="2016"/>
            <w:shd w:fill="E7F0F8"/>
            <w:vAlign w:val="center"/>
            <w:tcMar>
              <w:top w:w="55" w:type="dxa"/>
              <w:start w:w="75" w:type="dxa"/>
              <w:bottom w:w="55" w:type="dxa"/>
              <w:end w:w="75" w:type="dxa"/>
            </w:tcMar>
          </w:tcPr>
          <w:p>
            <w:pPr>
              <w:spacing w:before="0" w:after="0" w:line="240" w:lineRule="auto"/>
            </w:pPr>
            <w:r>
              <w:rPr>
                <w:rFonts w:ascii="Inter" w:hAnsi="Inter"/>
                <w:b/>
                <w:color w:val="172033"/>
                <w:sz w:val="16"/>
              </w:rPr>
              <w:t>Accountant/Bookkeeper</w:t>
            </w:r>
          </w:p>
        </w:tc>
        <w:tc>
          <w:tcPr>
            <w:tcW w:type="dxa" w:w="172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Operational User</w:t>
            </w:r>
          </w:p>
        </w:tc>
        <w:tc>
          <w:tcPr>
            <w:tcW w:type="dxa" w:w="1728"/>
            <w:shd w:fill="E7F0F8"/>
            <w:vAlign w:val="center"/>
            <w:tcMar>
              <w:top w:w="55" w:type="dxa"/>
              <w:start w:w="75" w:type="dxa"/>
              <w:bottom w:w="55" w:type="dxa"/>
              <w:end w:w="75" w:type="dxa"/>
            </w:tcMar>
          </w:tcPr>
          <w:p>
            <w:pPr>
              <w:spacing w:before="0" w:after="0" w:line="240" w:lineRule="auto"/>
            </w:pPr>
            <w:r>
              <w:rPr>
                <w:rFonts w:ascii="Inter" w:hAnsi="Inter"/>
                <w:b/>
                <w:color w:val="172033"/>
                <w:sz w:val="16"/>
              </w:rPr>
              <w:t>Report Admin</w:t>
            </w:r>
          </w:p>
        </w:tc>
      </w:tr>
      <w:tr>
        <w:trPr>
          <w:cantSplit/>
        </w:trPr>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3"/>
              </w:rPr>
              <w:t>View permitted catalog</w:t>
            </w:r>
          </w:p>
        </w:tc>
        <w:tc>
          <w:tcPr>
            <w:tcW w:type="dxa" w:w="1656"/>
            <w:vAlign w:val="center"/>
            <w:tcMar>
              <w:top w:w="55" w:type="dxa"/>
              <w:start w:w="75" w:type="dxa"/>
              <w:bottom w:w="55" w:type="dxa"/>
              <w:end w:w="75" w:type="dxa"/>
            </w:tcMar>
          </w:tcPr>
          <w:p>
            <w:pPr>
              <w:spacing w:before="0" w:after="0" w:line="240" w:lineRule="auto"/>
            </w:pPr>
            <w:r>
              <w:rPr>
                <w:rFonts w:ascii="Inter" w:hAnsi="Inter"/>
                <w:b w:val="0"/>
                <w:color w:val="172033"/>
                <w:sz w:val="13"/>
              </w:rPr>
              <w:t>Yes</w:t>
            </w:r>
          </w:p>
        </w:tc>
        <w:tc>
          <w:tcPr>
            <w:tcW w:type="dxa" w:w="2016"/>
            <w:vAlign w:val="center"/>
            <w:tcMar>
              <w:top w:w="55" w:type="dxa"/>
              <w:start w:w="75" w:type="dxa"/>
              <w:bottom w:w="55" w:type="dxa"/>
              <w:end w:w="75" w:type="dxa"/>
            </w:tcMar>
          </w:tcPr>
          <w:p>
            <w:pPr>
              <w:spacing w:before="0" w:after="0" w:line="240" w:lineRule="auto"/>
            </w:pPr>
            <w:r>
              <w:rPr>
                <w:rFonts w:ascii="Inter" w:hAnsi="Inter"/>
                <w:b w:val="0"/>
                <w:color w:val="172033"/>
                <w:sz w:val="13"/>
              </w:rPr>
              <w:t>Yes</w:t>
            </w:r>
          </w:p>
        </w:tc>
        <w:tc>
          <w:tcPr>
            <w:tcW w:type="dxa" w:w="1728"/>
            <w:vAlign w:val="center"/>
            <w:tcMar>
              <w:top w:w="55" w:type="dxa"/>
              <w:start w:w="75" w:type="dxa"/>
              <w:bottom w:w="55" w:type="dxa"/>
              <w:end w:w="75" w:type="dxa"/>
            </w:tcMar>
          </w:tcPr>
          <w:p>
            <w:pPr>
              <w:spacing w:before="0" w:after="0" w:line="240" w:lineRule="auto"/>
            </w:pPr>
            <w:r>
              <w:rPr>
                <w:rFonts w:ascii="Inter" w:hAnsi="Inter"/>
                <w:b w:val="0"/>
                <w:color w:val="172033"/>
                <w:sz w:val="13"/>
              </w:rPr>
              <w:t>Scoped</w:t>
            </w:r>
          </w:p>
        </w:tc>
        <w:tc>
          <w:tcPr>
            <w:tcW w:type="dxa" w:w="1728"/>
            <w:vAlign w:val="center"/>
            <w:tcMar>
              <w:top w:w="55" w:type="dxa"/>
              <w:start w:w="75" w:type="dxa"/>
              <w:bottom w:w="55" w:type="dxa"/>
              <w:end w:w="75" w:type="dxa"/>
            </w:tcMar>
          </w:tcPr>
          <w:p>
            <w:pPr>
              <w:spacing w:before="0" w:after="0" w:line="240" w:lineRule="auto"/>
            </w:pPr>
            <w:r>
              <w:rPr>
                <w:rFonts w:ascii="Inter" w:hAnsi="Inter"/>
                <w:b w:val="0"/>
                <w:color w:val="172033"/>
                <w:sz w:val="13"/>
              </w:rPr>
              <w:t>Yes</w:t>
            </w:r>
          </w:p>
        </w:tc>
      </w:tr>
      <w:tr>
        <w:trPr>
          <w:cantSplit/>
        </w:trPr>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Generate/display ordinary reports</w:t>
            </w:r>
          </w:p>
        </w:tc>
        <w:tc>
          <w:tcPr>
            <w:tcW w:type="dxa" w:w="1656"/>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Yes</w:t>
            </w:r>
          </w:p>
        </w:tc>
        <w:tc>
          <w:tcPr>
            <w:tcW w:type="dxa" w:w="2016"/>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Yes</w:t>
            </w:r>
          </w:p>
        </w:tc>
        <w:tc>
          <w:tcPr>
            <w:tcW w:type="dxa" w:w="1728"/>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Scoped</w:t>
            </w:r>
          </w:p>
        </w:tc>
        <w:tc>
          <w:tcPr>
            <w:tcW w:type="dxa" w:w="1728"/>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Yes</w:t>
            </w:r>
          </w:p>
        </w:tc>
      </w:tr>
      <w:tr>
        <w:trPr>
          <w:cantSplit/>
        </w:trPr>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3"/>
              </w:rPr>
              <w:t>View sensitive financial/cost/margin data</w:t>
            </w:r>
          </w:p>
        </w:tc>
        <w:tc>
          <w:tcPr>
            <w:tcW w:type="dxa" w:w="1656"/>
            <w:vAlign w:val="center"/>
            <w:tcMar>
              <w:top w:w="55" w:type="dxa"/>
              <w:start w:w="75" w:type="dxa"/>
              <w:bottom w:w="55" w:type="dxa"/>
              <w:end w:w="75" w:type="dxa"/>
            </w:tcMar>
          </w:tcPr>
          <w:p>
            <w:pPr>
              <w:spacing w:before="0" w:after="0" w:line="240" w:lineRule="auto"/>
            </w:pPr>
            <w:r>
              <w:rPr>
                <w:rFonts w:ascii="Inter" w:hAnsi="Inter"/>
                <w:b w:val="0"/>
                <w:color w:val="172033"/>
                <w:sz w:val="13"/>
              </w:rPr>
              <w:t>By role</w:t>
            </w:r>
          </w:p>
        </w:tc>
        <w:tc>
          <w:tcPr>
            <w:tcW w:type="dxa" w:w="2016"/>
            <w:vAlign w:val="center"/>
            <w:tcMar>
              <w:top w:w="55" w:type="dxa"/>
              <w:start w:w="75" w:type="dxa"/>
              <w:bottom w:w="55" w:type="dxa"/>
              <w:end w:w="75" w:type="dxa"/>
            </w:tcMar>
          </w:tcPr>
          <w:p>
            <w:pPr>
              <w:spacing w:before="0" w:after="0" w:line="240" w:lineRule="auto"/>
            </w:pPr>
            <w:r>
              <w:rPr>
                <w:rFonts w:ascii="Inter" w:hAnsi="Inter"/>
                <w:b w:val="0"/>
                <w:color w:val="172033"/>
                <w:sz w:val="13"/>
              </w:rPr>
              <w:t>By role</w:t>
            </w:r>
          </w:p>
        </w:tc>
        <w:tc>
          <w:tcPr>
            <w:tcW w:type="dxa" w:w="1728"/>
            <w:vAlign w:val="center"/>
            <w:tcMar>
              <w:top w:w="55" w:type="dxa"/>
              <w:start w:w="75" w:type="dxa"/>
              <w:bottom w:w="55" w:type="dxa"/>
              <w:end w:w="75" w:type="dxa"/>
            </w:tcMar>
          </w:tcPr>
          <w:p>
            <w:pPr>
              <w:spacing w:before="0" w:after="0" w:line="240" w:lineRule="auto"/>
            </w:pPr>
            <w:r>
              <w:rPr>
                <w:rFonts w:ascii="Inter" w:hAnsi="Inter"/>
                <w:b w:val="0"/>
                <w:color w:val="172033"/>
                <w:sz w:val="13"/>
              </w:rPr>
              <w:t>Usually restricted</w:t>
            </w:r>
          </w:p>
        </w:tc>
        <w:tc>
          <w:tcPr>
            <w:tcW w:type="dxa" w:w="1728"/>
            <w:vAlign w:val="center"/>
            <w:tcMar>
              <w:top w:w="55" w:type="dxa"/>
              <w:start w:w="75" w:type="dxa"/>
              <w:bottom w:w="55" w:type="dxa"/>
              <w:end w:w="75" w:type="dxa"/>
            </w:tcMar>
          </w:tcPr>
          <w:p>
            <w:pPr>
              <w:spacing w:before="0" w:after="0" w:line="240" w:lineRule="auto"/>
            </w:pPr>
            <w:r>
              <w:rPr>
                <w:rFonts w:ascii="Inter" w:hAnsi="Inter"/>
                <w:b w:val="0"/>
                <w:color w:val="172033"/>
                <w:sz w:val="13"/>
              </w:rPr>
              <w:t>By role; not automatic</w:t>
            </w:r>
          </w:p>
        </w:tc>
      </w:tr>
      <w:tr>
        <w:trPr>
          <w:cantSplit/>
        </w:trPr>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Drill down to source</w:t>
            </w:r>
          </w:p>
        </w:tc>
        <w:tc>
          <w:tcPr>
            <w:tcW w:type="dxa" w:w="1656"/>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Source permission</w:t>
            </w:r>
          </w:p>
        </w:tc>
        <w:tc>
          <w:tcPr>
            <w:tcW w:type="dxa" w:w="2016"/>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Source permission</w:t>
            </w:r>
          </w:p>
        </w:tc>
        <w:tc>
          <w:tcPr>
            <w:tcW w:type="dxa" w:w="1728"/>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Scoped source permission</w:t>
            </w:r>
          </w:p>
        </w:tc>
        <w:tc>
          <w:tcPr>
            <w:tcW w:type="dxa" w:w="1728"/>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Source permission</w:t>
            </w:r>
          </w:p>
        </w:tc>
      </w:tr>
      <w:tr>
        <w:trPr>
          <w:cantSplit/>
        </w:trPr>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3"/>
              </w:rPr>
              <w:t>Export PDF</w:t>
            </w:r>
          </w:p>
        </w:tc>
        <w:tc>
          <w:tcPr>
            <w:tcW w:type="dxa" w:w="1656"/>
            <w:vAlign w:val="center"/>
            <w:tcMar>
              <w:top w:w="55" w:type="dxa"/>
              <w:start w:w="75" w:type="dxa"/>
              <w:bottom w:w="55" w:type="dxa"/>
              <w:end w:w="75" w:type="dxa"/>
            </w:tcMar>
          </w:tcPr>
          <w:p>
            <w:pPr>
              <w:spacing w:before="0" w:after="0" w:line="240" w:lineRule="auto"/>
            </w:pPr>
            <w:r>
              <w:rPr>
                <w:rFonts w:ascii="Inter" w:hAnsi="Inter"/>
                <w:b w:val="0"/>
                <w:color w:val="172033"/>
                <w:sz w:val="13"/>
              </w:rPr>
              <w:t>By role</w:t>
            </w:r>
          </w:p>
        </w:tc>
        <w:tc>
          <w:tcPr>
            <w:tcW w:type="dxa" w:w="2016"/>
            <w:vAlign w:val="center"/>
            <w:tcMar>
              <w:top w:w="55" w:type="dxa"/>
              <w:start w:w="75" w:type="dxa"/>
              <w:bottom w:w="55" w:type="dxa"/>
              <w:end w:w="75" w:type="dxa"/>
            </w:tcMar>
          </w:tcPr>
          <w:p>
            <w:pPr>
              <w:spacing w:before="0" w:after="0" w:line="240" w:lineRule="auto"/>
            </w:pPr>
            <w:r>
              <w:rPr>
                <w:rFonts w:ascii="Inter" w:hAnsi="Inter"/>
                <w:b w:val="0"/>
                <w:color w:val="172033"/>
                <w:sz w:val="13"/>
              </w:rPr>
              <w:t>By role</w:t>
            </w:r>
          </w:p>
        </w:tc>
        <w:tc>
          <w:tcPr>
            <w:tcW w:type="dxa" w:w="1728"/>
            <w:vAlign w:val="center"/>
            <w:tcMar>
              <w:top w:w="55" w:type="dxa"/>
              <w:start w:w="75" w:type="dxa"/>
              <w:bottom w:w="55" w:type="dxa"/>
              <w:end w:w="75" w:type="dxa"/>
            </w:tcMar>
          </w:tcPr>
          <w:p>
            <w:pPr>
              <w:spacing w:before="0" w:after="0" w:line="240" w:lineRule="auto"/>
            </w:pPr>
            <w:r>
              <w:rPr>
                <w:rFonts w:ascii="Inter" w:hAnsi="Inter"/>
                <w:b w:val="0"/>
                <w:color w:val="172033"/>
                <w:sz w:val="13"/>
              </w:rPr>
              <w:t>Limited</w:t>
            </w:r>
          </w:p>
        </w:tc>
        <w:tc>
          <w:tcPr>
            <w:tcW w:type="dxa" w:w="1728"/>
            <w:vAlign w:val="center"/>
            <w:tcMar>
              <w:top w:w="55" w:type="dxa"/>
              <w:start w:w="75" w:type="dxa"/>
              <w:bottom w:w="55" w:type="dxa"/>
              <w:end w:w="75" w:type="dxa"/>
            </w:tcMar>
          </w:tcPr>
          <w:p>
            <w:pPr>
              <w:spacing w:before="0" w:after="0" w:line="240" w:lineRule="auto"/>
            </w:pPr>
            <w:r>
              <w:rPr>
                <w:rFonts w:ascii="Inter" w:hAnsi="Inter"/>
                <w:b w:val="0"/>
                <w:color w:val="172033"/>
                <w:sz w:val="13"/>
              </w:rPr>
              <w:t>By role</w:t>
            </w:r>
          </w:p>
        </w:tc>
      </w:tr>
      <w:tr>
        <w:trPr>
          <w:cantSplit/>
        </w:trPr>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Export XLSX/CSV</w:t>
            </w:r>
          </w:p>
        </w:tc>
        <w:tc>
          <w:tcPr>
            <w:tcW w:type="dxa" w:w="1656"/>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By role/edition</w:t>
            </w:r>
          </w:p>
        </w:tc>
        <w:tc>
          <w:tcPr>
            <w:tcW w:type="dxa" w:w="2016"/>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By role/edition</w:t>
            </w:r>
          </w:p>
        </w:tc>
        <w:tc>
          <w:tcPr>
            <w:tcW w:type="dxa" w:w="1728"/>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Usually limited</w:t>
            </w:r>
          </w:p>
        </w:tc>
        <w:tc>
          <w:tcPr>
            <w:tcW w:type="dxa" w:w="1728"/>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By role/edition</w:t>
            </w:r>
          </w:p>
        </w:tc>
      </w:tr>
      <w:tr>
        <w:trPr>
          <w:cantSplit/>
        </w:trPr>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3"/>
              </w:rPr>
              <w:t>Create favorites/saved views</w:t>
            </w:r>
          </w:p>
        </w:tc>
        <w:tc>
          <w:tcPr>
            <w:tcW w:type="dxa" w:w="1656"/>
            <w:vAlign w:val="center"/>
            <w:tcMar>
              <w:top w:w="55" w:type="dxa"/>
              <w:start w:w="75" w:type="dxa"/>
              <w:bottom w:w="55" w:type="dxa"/>
              <w:end w:w="75" w:type="dxa"/>
            </w:tcMar>
          </w:tcPr>
          <w:p>
            <w:pPr>
              <w:spacing w:before="0" w:after="0" w:line="240" w:lineRule="auto"/>
            </w:pPr>
            <w:r>
              <w:rPr>
                <w:rFonts w:ascii="Inter" w:hAnsi="Inter"/>
                <w:b w:val="0"/>
                <w:color w:val="172033"/>
                <w:sz w:val="13"/>
              </w:rPr>
              <w:t>By edition</w:t>
            </w:r>
          </w:p>
        </w:tc>
        <w:tc>
          <w:tcPr>
            <w:tcW w:type="dxa" w:w="2016"/>
            <w:vAlign w:val="center"/>
            <w:tcMar>
              <w:top w:w="55" w:type="dxa"/>
              <w:start w:w="75" w:type="dxa"/>
              <w:bottom w:w="55" w:type="dxa"/>
              <w:end w:w="75" w:type="dxa"/>
            </w:tcMar>
          </w:tcPr>
          <w:p>
            <w:pPr>
              <w:spacing w:before="0" w:after="0" w:line="240" w:lineRule="auto"/>
            </w:pPr>
            <w:r>
              <w:rPr>
                <w:rFonts w:ascii="Inter" w:hAnsi="Inter"/>
                <w:b w:val="0"/>
                <w:color w:val="172033"/>
                <w:sz w:val="13"/>
              </w:rPr>
              <w:t>By edition</w:t>
            </w:r>
          </w:p>
        </w:tc>
        <w:tc>
          <w:tcPr>
            <w:tcW w:type="dxa" w:w="1728"/>
            <w:vAlign w:val="center"/>
            <w:tcMar>
              <w:top w:w="55" w:type="dxa"/>
              <w:start w:w="75" w:type="dxa"/>
              <w:bottom w:w="55" w:type="dxa"/>
              <w:end w:w="75" w:type="dxa"/>
            </w:tcMar>
          </w:tcPr>
          <w:p>
            <w:pPr>
              <w:spacing w:before="0" w:after="0" w:line="240" w:lineRule="auto"/>
            </w:pPr>
            <w:r>
              <w:rPr>
                <w:rFonts w:ascii="Inter" w:hAnsi="Inter"/>
                <w:b w:val="0"/>
                <w:color w:val="172033"/>
                <w:sz w:val="13"/>
              </w:rPr>
              <w:t>By edition</w:t>
            </w:r>
          </w:p>
        </w:tc>
        <w:tc>
          <w:tcPr>
            <w:tcW w:type="dxa" w:w="1728"/>
            <w:vAlign w:val="center"/>
            <w:tcMar>
              <w:top w:w="55" w:type="dxa"/>
              <w:start w:w="75" w:type="dxa"/>
              <w:bottom w:w="55" w:type="dxa"/>
              <w:end w:w="75" w:type="dxa"/>
            </w:tcMar>
          </w:tcPr>
          <w:p>
            <w:pPr>
              <w:spacing w:before="0" w:after="0" w:line="240" w:lineRule="auto"/>
            </w:pPr>
            <w:r>
              <w:rPr>
                <w:rFonts w:ascii="Inter" w:hAnsi="Inter"/>
                <w:b w:val="0"/>
                <w:color w:val="172033"/>
                <w:sz w:val="13"/>
              </w:rPr>
              <w:t>Yes</w:t>
            </w:r>
          </w:p>
        </w:tc>
      </w:tr>
      <w:tr>
        <w:trPr>
          <w:cantSplit/>
        </w:trPr>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Create schedules</w:t>
            </w:r>
          </w:p>
        </w:tc>
        <w:tc>
          <w:tcPr>
            <w:tcW w:type="dxa" w:w="1656"/>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By role/edition</w:t>
            </w:r>
          </w:p>
        </w:tc>
        <w:tc>
          <w:tcPr>
            <w:tcW w:type="dxa" w:w="2016"/>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By role/edition</w:t>
            </w:r>
          </w:p>
        </w:tc>
        <w:tc>
          <w:tcPr>
            <w:tcW w:type="dxa" w:w="1728"/>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Usually restricted</w:t>
            </w:r>
          </w:p>
        </w:tc>
        <w:tc>
          <w:tcPr>
            <w:tcW w:type="dxa" w:w="1728"/>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Yes</w:t>
            </w:r>
          </w:p>
        </w:tc>
      </w:tr>
      <w:tr>
        <w:trPr>
          <w:cantSplit/>
        </w:trPr>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3"/>
              </w:rPr>
              <w:t>Manage recipients/delivery</w:t>
            </w:r>
          </w:p>
        </w:tc>
        <w:tc>
          <w:tcPr>
            <w:tcW w:type="dxa" w:w="1656"/>
            <w:vAlign w:val="center"/>
            <w:tcMar>
              <w:top w:w="55" w:type="dxa"/>
              <w:start w:w="75" w:type="dxa"/>
              <w:bottom w:w="55" w:type="dxa"/>
              <w:end w:w="75" w:type="dxa"/>
            </w:tcMar>
          </w:tcPr>
          <w:p>
            <w:pPr>
              <w:spacing w:before="0" w:after="0" w:line="240" w:lineRule="auto"/>
            </w:pPr>
            <w:r>
              <w:rPr>
                <w:rFonts w:ascii="Inter" w:hAnsi="Inter"/>
                <w:b w:val="0"/>
                <w:color w:val="172033"/>
                <w:sz w:val="13"/>
              </w:rPr>
              <w:t>Restricted</w:t>
            </w:r>
          </w:p>
        </w:tc>
        <w:tc>
          <w:tcPr>
            <w:tcW w:type="dxa" w:w="2016"/>
            <w:vAlign w:val="center"/>
            <w:tcMar>
              <w:top w:w="55" w:type="dxa"/>
              <w:start w:w="75" w:type="dxa"/>
              <w:bottom w:w="55" w:type="dxa"/>
              <w:end w:w="75" w:type="dxa"/>
            </w:tcMar>
          </w:tcPr>
          <w:p>
            <w:pPr>
              <w:spacing w:before="0" w:after="0" w:line="240" w:lineRule="auto"/>
            </w:pPr>
            <w:r>
              <w:rPr>
                <w:rFonts w:ascii="Inter" w:hAnsi="Inter"/>
                <w:b w:val="0"/>
                <w:color w:val="172033"/>
                <w:sz w:val="13"/>
              </w:rPr>
              <w:t>Restricted</w:t>
            </w:r>
          </w:p>
        </w:tc>
        <w:tc>
          <w:tcPr>
            <w:tcW w:type="dxa" w:w="1728"/>
            <w:vAlign w:val="center"/>
            <w:tcMar>
              <w:top w:w="55" w:type="dxa"/>
              <w:start w:w="75" w:type="dxa"/>
              <w:bottom w:w="55" w:type="dxa"/>
              <w:end w:w="75" w:type="dxa"/>
            </w:tcMar>
          </w:tcPr>
          <w:p>
            <w:pPr>
              <w:spacing w:before="0" w:after="0" w:line="240" w:lineRule="auto"/>
            </w:pPr>
            <w:r>
              <w:rPr>
                <w:rFonts w:ascii="Inter" w:hAnsi="Inter"/>
                <w:b w:val="0"/>
                <w:color w:val="172033"/>
                <w:sz w:val="13"/>
              </w:rPr>
              <w:t>No / limited</w:t>
            </w:r>
          </w:p>
        </w:tc>
        <w:tc>
          <w:tcPr>
            <w:tcW w:type="dxa" w:w="1728"/>
            <w:vAlign w:val="center"/>
            <w:tcMar>
              <w:top w:w="55" w:type="dxa"/>
              <w:start w:w="75" w:type="dxa"/>
              <w:bottom w:w="55" w:type="dxa"/>
              <w:end w:w="75" w:type="dxa"/>
            </w:tcMar>
          </w:tcPr>
          <w:p>
            <w:pPr>
              <w:spacing w:before="0" w:after="0" w:line="240" w:lineRule="auto"/>
            </w:pPr>
            <w:r>
              <w:rPr>
                <w:rFonts w:ascii="Inter" w:hAnsi="Inter"/>
                <w:b w:val="0"/>
                <w:color w:val="172033"/>
                <w:sz w:val="13"/>
              </w:rPr>
              <w:t>Yes</w:t>
            </w:r>
          </w:p>
        </w:tc>
      </w:tr>
      <w:tr>
        <w:trPr>
          <w:cantSplit/>
        </w:trPr>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Create/test definitions</w:t>
            </w:r>
          </w:p>
        </w:tc>
        <w:tc>
          <w:tcPr>
            <w:tcW w:type="dxa" w:w="1656"/>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No / reviewer</w:t>
            </w:r>
          </w:p>
        </w:tc>
        <w:tc>
          <w:tcPr>
            <w:tcW w:type="dxa" w:w="2016"/>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No / reviewer</w:t>
            </w:r>
          </w:p>
        </w:tc>
        <w:tc>
          <w:tcPr>
            <w:tcW w:type="dxa" w:w="1728"/>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No</w:t>
            </w:r>
          </w:p>
        </w:tc>
        <w:tc>
          <w:tcPr>
            <w:tcW w:type="dxa" w:w="1728"/>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Yes</w:t>
            </w:r>
          </w:p>
        </w:tc>
      </w:tr>
      <w:tr>
        <w:trPr>
          <w:cantSplit/>
        </w:trPr>
        <w:tc>
          <w:tcPr>
            <w:tcW w:type="dxa" w:w="2448"/>
            <w:vAlign w:val="center"/>
            <w:tcMar>
              <w:top w:w="55" w:type="dxa"/>
              <w:start w:w="75" w:type="dxa"/>
              <w:bottom w:w="55" w:type="dxa"/>
              <w:end w:w="75" w:type="dxa"/>
            </w:tcMar>
          </w:tcPr>
          <w:p>
            <w:pPr>
              <w:spacing w:before="0" w:after="0" w:line="240" w:lineRule="auto"/>
            </w:pPr>
            <w:r>
              <w:rPr>
                <w:rFonts w:ascii="Inter" w:hAnsi="Inter"/>
                <w:b w:val="0"/>
                <w:color w:val="172033"/>
                <w:sz w:val="13"/>
              </w:rPr>
              <w:t>Approve/publish definitions</w:t>
            </w:r>
          </w:p>
        </w:tc>
        <w:tc>
          <w:tcPr>
            <w:tcW w:type="dxa" w:w="1656"/>
            <w:vAlign w:val="center"/>
            <w:tcMar>
              <w:top w:w="55" w:type="dxa"/>
              <w:start w:w="75" w:type="dxa"/>
              <w:bottom w:w="55" w:type="dxa"/>
              <w:end w:w="75" w:type="dxa"/>
            </w:tcMar>
          </w:tcPr>
          <w:p>
            <w:pPr>
              <w:spacing w:before="0" w:after="0" w:line="240" w:lineRule="auto"/>
            </w:pPr>
            <w:r>
              <w:rPr>
                <w:rFonts w:ascii="Inter" w:hAnsi="Inter"/>
                <w:b w:val="0"/>
                <w:color w:val="172033"/>
                <w:sz w:val="13"/>
              </w:rPr>
              <w:t>Designated authority</w:t>
            </w:r>
          </w:p>
        </w:tc>
        <w:tc>
          <w:tcPr>
            <w:tcW w:type="dxa" w:w="2016"/>
            <w:vAlign w:val="center"/>
            <w:tcMar>
              <w:top w:w="55" w:type="dxa"/>
              <w:start w:w="75" w:type="dxa"/>
              <w:bottom w:w="55" w:type="dxa"/>
              <w:end w:w="75" w:type="dxa"/>
            </w:tcMar>
          </w:tcPr>
          <w:p>
            <w:pPr>
              <w:spacing w:before="0" w:after="0" w:line="240" w:lineRule="auto"/>
            </w:pPr>
            <w:r>
              <w:rPr>
                <w:rFonts w:ascii="Inter" w:hAnsi="Inter"/>
                <w:b w:val="0"/>
                <w:color w:val="172033"/>
                <w:sz w:val="13"/>
              </w:rPr>
              <w:t>Designated authority</w:t>
            </w:r>
          </w:p>
        </w:tc>
        <w:tc>
          <w:tcPr>
            <w:tcW w:type="dxa" w:w="1728"/>
            <w:vAlign w:val="center"/>
            <w:tcMar>
              <w:top w:w="55" w:type="dxa"/>
              <w:start w:w="75" w:type="dxa"/>
              <w:bottom w:w="55" w:type="dxa"/>
              <w:end w:w="75" w:type="dxa"/>
            </w:tcMar>
          </w:tcPr>
          <w:p>
            <w:pPr>
              <w:spacing w:before="0" w:after="0" w:line="240" w:lineRule="auto"/>
            </w:pPr>
            <w:r>
              <w:rPr>
                <w:rFonts w:ascii="Inter" w:hAnsi="Inter"/>
                <w:b w:val="0"/>
                <w:color w:val="172033"/>
                <w:sz w:val="13"/>
              </w:rPr>
              <w:t>No</w:t>
            </w:r>
          </w:p>
        </w:tc>
        <w:tc>
          <w:tcPr>
            <w:tcW w:type="dxa" w:w="1728"/>
            <w:vAlign w:val="center"/>
            <w:tcMar>
              <w:top w:w="55" w:type="dxa"/>
              <w:start w:w="75" w:type="dxa"/>
              <w:bottom w:w="55" w:type="dxa"/>
              <w:end w:w="75" w:type="dxa"/>
            </w:tcMar>
          </w:tcPr>
          <w:p>
            <w:pPr>
              <w:spacing w:before="0" w:after="0" w:line="240" w:lineRule="auto"/>
            </w:pPr>
            <w:r>
              <w:rPr>
                <w:rFonts w:ascii="Inter" w:hAnsi="Inter"/>
                <w:b w:val="0"/>
                <w:color w:val="172033"/>
                <w:sz w:val="13"/>
              </w:rPr>
              <w:t>Designated authority</w:t>
            </w:r>
          </w:p>
        </w:tc>
      </w:tr>
      <w:tr>
        <w:trPr>
          <w:cantSplit/>
        </w:trPr>
        <w:tc>
          <w:tcPr>
            <w:tcW w:type="dxa" w:w="2448"/>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View audit/export history</w:t>
            </w:r>
          </w:p>
        </w:tc>
        <w:tc>
          <w:tcPr>
            <w:tcW w:type="dxa" w:w="1656"/>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By authority</w:t>
            </w:r>
          </w:p>
        </w:tc>
        <w:tc>
          <w:tcPr>
            <w:tcW w:type="dxa" w:w="2016"/>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By authority</w:t>
            </w:r>
          </w:p>
        </w:tc>
        <w:tc>
          <w:tcPr>
            <w:tcW w:type="dxa" w:w="1728"/>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Own activity / limited</w:t>
            </w:r>
          </w:p>
        </w:tc>
        <w:tc>
          <w:tcPr>
            <w:tcW w:type="dxa" w:w="1728"/>
            <w:shd w:fill="F6F9FC"/>
            <w:vAlign w:val="center"/>
            <w:tcMar>
              <w:top w:w="55" w:type="dxa"/>
              <w:start w:w="75" w:type="dxa"/>
              <w:bottom w:w="55" w:type="dxa"/>
              <w:end w:w="75" w:type="dxa"/>
            </w:tcMar>
          </w:tcPr>
          <w:p>
            <w:pPr>
              <w:spacing w:before="0" w:after="0" w:line="240" w:lineRule="auto"/>
            </w:pPr>
            <w:r>
              <w:rPr>
                <w:rFonts w:ascii="Inter" w:hAnsi="Inter"/>
                <w:b w:val="0"/>
                <w:color w:val="172033"/>
                <w:sz w:val="13"/>
              </w:rPr>
              <w:t>Yes</w:t>
            </w:r>
          </w:p>
        </w:tc>
      </w:tr>
    </w:tbl>
    <w:p>
      <w:pPr>
        <w:spacing w:after="80" w:line="259" w:lineRule="auto"/>
      </w:pPr>
    </w:p>
    <w:p>
      <w:pPr>
        <w:pStyle w:val="Heading1"/>
        <w:keepNext/>
        <w:pageBreakBefore w:val="0"/>
      </w:pPr>
      <w:r>
        <w:t>Appendix D - Requirement-to-Evidence Traceability</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736"/>
            <w:shd w:fill="E7F0F8"/>
            <w:vAlign w:val="center"/>
            <w:tcMar>
              <w:top w:w="55" w:type="dxa"/>
              <w:start w:w="75" w:type="dxa"/>
              <w:bottom w:w="55" w:type="dxa"/>
              <w:end w:w="75" w:type="dxa"/>
            </w:tcMar>
          </w:tcPr>
          <w:p>
            <w:pPr>
              <w:spacing w:before="0" w:after="0" w:line="240" w:lineRule="auto"/>
            </w:pPr>
            <w:r>
              <w:rPr>
                <w:rFonts w:ascii="Inter" w:hAnsi="Inter"/>
                <w:b/>
                <w:color w:val="172033"/>
                <w:sz w:val="16"/>
              </w:rPr>
              <w:t>MDS area</w:t>
            </w:r>
          </w:p>
        </w:tc>
        <w:tc>
          <w:tcPr>
            <w:tcW w:type="dxa" w:w="6840"/>
            <w:shd w:fill="E7F0F8"/>
            <w:vAlign w:val="center"/>
            <w:tcMar>
              <w:top w:w="55" w:type="dxa"/>
              <w:start w:w="75" w:type="dxa"/>
              <w:bottom w:w="55" w:type="dxa"/>
              <w:end w:w="75" w:type="dxa"/>
            </w:tcMar>
          </w:tcPr>
          <w:p>
            <w:pPr>
              <w:spacing w:before="0" w:after="0" w:line="240" w:lineRule="auto"/>
            </w:pPr>
            <w:r>
              <w:rPr>
                <w:rFonts w:ascii="Inter" w:hAnsi="Inter"/>
                <w:b/>
                <w:color w:val="172033"/>
                <w:sz w:val="16"/>
              </w:rPr>
              <w:t>Downstream evidence</w:t>
            </w:r>
          </w:p>
        </w:tc>
      </w:tr>
      <w:tr>
        <w:trPr>
          <w:cantSplit/>
        </w:trPr>
        <w:tc>
          <w:tcPr>
            <w:tcW w:type="dxa" w:w="2736"/>
            <w:vAlign w:val="center"/>
            <w:tcMar>
              <w:top w:w="55" w:type="dxa"/>
              <w:start w:w="75" w:type="dxa"/>
              <w:bottom w:w="55" w:type="dxa"/>
              <w:end w:w="75" w:type="dxa"/>
            </w:tcMar>
          </w:tcPr>
          <w:p>
            <w:pPr>
              <w:spacing w:before="0" w:after="0" w:line="240" w:lineRule="auto"/>
            </w:pPr>
            <w:r>
              <w:rPr>
                <w:rFonts w:ascii="Inter" w:hAnsi="Inter"/>
                <w:b w:val="0"/>
                <w:color w:val="172033"/>
                <w:sz w:val="14"/>
              </w:rPr>
              <w:t>Catalog and discovery</w:t>
            </w:r>
          </w:p>
        </w:tc>
        <w:tc>
          <w:tcPr>
            <w:tcW w:type="dxa" w:w="6840"/>
            <w:vAlign w:val="center"/>
            <w:tcMar>
              <w:top w:w="55" w:type="dxa"/>
              <w:start w:w="75" w:type="dxa"/>
              <w:bottom w:w="55" w:type="dxa"/>
              <w:end w:w="75" w:type="dxa"/>
            </w:tcMar>
          </w:tcPr>
          <w:p>
            <w:pPr>
              <w:spacing w:before="0" w:after="0" w:line="240" w:lineRule="auto"/>
            </w:pPr>
            <w:r>
              <w:rPr>
                <w:rFonts w:ascii="Inter" w:hAnsi="Inter"/>
                <w:b w:val="0"/>
                <w:color w:val="172033"/>
                <w:sz w:val="14"/>
              </w:rPr>
              <w:t>WF-RPT catalog, SCR report cards/search, API catalog operation, report definition/category entities, catalog authorization tests.</w:t>
            </w:r>
          </w:p>
        </w:tc>
      </w:tr>
      <w:tr>
        <w:trPr>
          <w:cantSplit/>
        </w:trPr>
        <w:tc>
          <w:tcPr>
            <w:tcW w:type="dxa" w:w="273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Parameters and validation</w:t>
            </w:r>
          </w:p>
        </w:tc>
        <w:tc>
          <w:tcPr>
            <w:tcW w:type="dxa" w:w="684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Parameter panel UI, API request contract, parameter definitions, reference validation, permission tests, localization tests.</w:t>
            </w:r>
          </w:p>
        </w:tc>
      </w:tr>
      <w:tr>
        <w:trPr>
          <w:cantSplit/>
        </w:trPr>
        <w:tc>
          <w:tcPr>
            <w:tcW w:type="dxa" w:w="2736"/>
            <w:vAlign w:val="center"/>
            <w:tcMar>
              <w:top w:w="55" w:type="dxa"/>
              <w:start w:w="75" w:type="dxa"/>
              <w:bottom w:w="55" w:type="dxa"/>
              <w:end w:w="75" w:type="dxa"/>
            </w:tcMar>
          </w:tcPr>
          <w:p>
            <w:pPr>
              <w:spacing w:before="0" w:after="0" w:line="240" w:lineRule="auto"/>
            </w:pPr>
            <w:r>
              <w:rPr>
                <w:rFonts w:ascii="Inter" w:hAnsi="Inter"/>
                <w:b w:val="0"/>
                <w:color w:val="172033"/>
                <w:sz w:val="14"/>
              </w:rPr>
              <w:t>Generation and Display Report</w:t>
            </w:r>
          </w:p>
        </w:tc>
        <w:tc>
          <w:tcPr>
            <w:tcW w:type="dxa" w:w="6840"/>
            <w:vAlign w:val="center"/>
            <w:tcMar>
              <w:top w:w="55" w:type="dxa"/>
              <w:start w:w="75" w:type="dxa"/>
              <w:bottom w:w="55" w:type="dxa"/>
              <w:end w:w="75" w:type="dxa"/>
            </w:tcMar>
          </w:tcPr>
          <w:p>
            <w:pPr>
              <w:spacing w:before="0" w:after="0" w:line="240" w:lineRule="auto"/>
            </w:pPr>
            <w:r>
              <w:rPr>
                <w:rFonts w:ascii="Inter" w:hAnsi="Inter"/>
                <w:b w:val="0"/>
                <w:color w:val="172033"/>
                <w:sz w:val="14"/>
              </w:rPr>
              <w:t>Generation API/job, reporting query/view, output renderer, status polling, display screen, performance and failure tests.</w:t>
            </w:r>
          </w:p>
        </w:tc>
      </w:tr>
      <w:tr>
        <w:trPr>
          <w:cantSplit/>
        </w:trPr>
        <w:tc>
          <w:tcPr>
            <w:tcW w:type="dxa" w:w="273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Drill-down</w:t>
            </w:r>
          </w:p>
        </w:tc>
        <w:tc>
          <w:tcPr>
            <w:tcW w:type="dxa" w:w="684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Source destination map, filter-context token, source permission, direct-URL tests, audit evidence.</w:t>
            </w:r>
          </w:p>
        </w:tc>
      </w:tr>
      <w:tr>
        <w:trPr>
          <w:cantSplit/>
        </w:trPr>
        <w:tc>
          <w:tcPr>
            <w:tcW w:type="dxa" w:w="2736"/>
            <w:vAlign w:val="center"/>
            <w:tcMar>
              <w:top w:w="55" w:type="dxa"/>
              <w:start w:w="75" w:type="dxa"/>
              <w:bottom w:w="55" w:type="dxa"/>
              <w:end w:w="75" w:type="dxa"/>
            </w:tcMar>
          </w:tcPr>
          <w:p>
            <w:pPr>
              <w:spacing w:before="0" w:after="0" w:line="240" w:lineRule="auto"/>
            </w:pPr>
            <w:r>
              <w:rPr>
                <w:rFonts w:ascii="Inter" w:hAnsi="Inter"/>
                <w:b w:val="0"/>
                <w:color w:val="172033"/>
                <w:sz w:val="14"/>
              </w:rPr>
              <w:t>Export and print</w:t>
            </w:r>
          </w:p>
        </w:tc>
        <w:tc>
          <w:tcPr>
            <w:tcW w:type="dxa" w:w="6840"/>
            <w:vAlign w:val="center"/>
            <w:tcMar>
              <w:top w:w="55" w:type="dxa"/>
              <w:start w:w="75" w:type="dxa"/>
              <w:bottom w:w="55" w:type="dxa"/>
              <w:end w:w="75" w:type="dxa"/>
            </w:tcMar>
          </w:tcPr>
          <w:p>
            <w:pPr>
              <w:spacing w:before="0" w:after="0" w:line="240" w:lineRule="auto"/>
            </w:pPr>
            <w:r>
              <w:rPr>
                <w:rFonts w:ascii="Inter" w:hAnsi="Inter"/>
                <w:b w:val="0"/>
                <w:color w:val="172033"/>
                <w:sz w:val="14"/>
              </w:rPr>
              <w:t>PDF/XLSX/CSV/print services, output metadata, injection tests, masking, watermark, expiry, and audit tests.</w:t>
            </w:r>
          </w:p>
        </w:tc>
      </w:tr>
      <w:tr>
        <w:trPr>
          <w:cantSplit/>
        </w:trPr>
        <w:tc>
          <w:tcPr>
            <w:tcW w:type="dxa" w:w="273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Favorites and saved views</w:t>
            </w:r>
          </w:p>
        </w:tc>
        <w:tc>
          <w:tcPr>
            <w:tcW w:type="dxa" w:w="684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User preference entities, UI, entitlement, formula-integrity test, privacy and deletion behavior.</w:t>
            </w:r>
          </w:p>
        </w:tc>
      </w:tr>
      <w:tr>
        <w:trPr>
          <w:cantSplit/>
        </w:trPr>
        <w:tc>
          <w:tcPr>
            <w:tcW w:type="dxa" w:w="2736"/>
            <w:vAlign w:val="center"/>
            <w:tcMar>
              <w:top w:w="55" w:type="dxa"/>
              <w:start w:w="75" w:type="dxa"/>
              <w:bottom w:w="55" w:type="dxa"/>
              <w:end w:w="75" w:type="dxa"/>
            </w:tcMar>
          </w:tcPr>
          <w:p>
            <w:pPr>
              <w:spacing w:before="0" w:after="0" w:line="240" w:lineRule="auto"/>
            </w:pPr>
            <w:r>
              <w:rPr>
                <w:rFonts w:ascii="Inter" w:hAnsi="Inter"/>
                <w:b w:val="0"/>
                <w:color w:val="172033"/>
                <w:sz w:val="14"/>
              </w:rPr>
              <w:t>Scheduling and delivery</w:t>
            </w:r>
          </w:p>
        </w:tc>
        <w:tc>
          <w:tcPr>
            <w:tcW w:type="dxa" w:w="6840"/>
            <w:vAlign w:val="center"/>
            <w:tcMar>
              <w:top w:w="55" w:type="dxa"/>
              <w:start w:w="75" w:type="dxa"/>
              <w:bottom w:w="55" w:type="dxa"/>
              <w:end w:w="75" w:type="dxa"/>
            </w:tcMar>
          </w:tcPr>
          <w:p>
            <w:pPr>
              <w:spacing w:before="0" w:after="0" w:line="240" w:lineRule="auto"/>
            </w:pPr>
            <w:r>
              <w:rPr>
                <w:rFonts w:ascii="Inter" w:hAnsi="Inter"/>
                <w:b w:val="0"/>
                <w:color w:val="172033"/>
                <w:sz w:val="14"/>
              </w:rPr>
              <w:t>Schedule screens/API/entities/jobs, recipient validation, secure link, retry, partial delivery, permission-revocation tests.</w:t>
            </w:r>
          </w:p>
        </w:tc>
      </w:tr>
      <w:tr>
        <w:trPr>
          <w:cantSplit/>
        </w:trPr>
        <w:tc>
          <w:tcPr>
            <w:tcW w:type="dxa" w:w="273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Cross-module analytics</w:t>
            </w:r>
          </w:p>
        </w:tc>
        <w:tc>
          <w:tcPr>
            <w:tcW w:type="dxa" w:w="684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Metric/analytics definitions, source contracts, reconciliation, comparison, performance, and change-version tests.</w:t>
            </w:r>
          </w:p>
        </w:tc>
      </w:tr>
      <w:tr>
        <w:trPr>
          <w:cantSplit/>
        </w:trPr>
        <w:tc>
          <w:tcPr>
            <w:tcW w:type="dxa" w:w="2736"/>
            <w:vAlign w:val="center"/>
            <w:tcMar>
              <w:top w:w="55" w:type="dxa"/>
              <w:start w:w="75" w:type="dxa"/>
              <w:bottom w:w="55" w:type="dxa"/>
              <w:end w:w="75" w:type="dxa"/>
            </w:tcMar>
          </w:tcPr>
          <w:p>
            <w:pPr>
              <w:spacing w:before="0" w:after="0" w:line="240" w:lineRule="auto"/>
            </w:pPr>
            <w:r>
              <w:rPr>
                <w:rFonts w:ascii="Inter" w:hAnsi="Inter"/>
                <w:b w:val="0"/>
                <w:color w:val="172033"/>
                <w:sz w:val="14"/>
              </w:rPr>
              <w:t>Security</w:t>
            </w:r>
          </w:p>
        </w:tc>
        <w:tc>
          <w:tcPr>
            <w:tcW w:type="dxa" w:w="6840"/>
            <w:vAlign w:val="center"/>
            <w:tcMar>
              <w:top w:w="55" w:type="dxa"/>
              <w:start w:w="75" w:type="dxa"/>
              <w:bottom w:w="55" w:type="dxa"/>
              <w:end w:w="75" w:type="dxa"/>
            </w:tcMar>
          </w:tcPr>
          <w:p>
            <w:pPr>
              <w:spacing w:before="0" w:after="0" w:line="240" w:lineRule="auto"/>
            </w:pPr>
            <w:r>
              <w:rPr>
                <w:rFonts w:ascii="Inter" w:hAnsi="Inter"/>
                <w:b w:val="0"/>
                <w:color w:val="172033"/>
                <w:sz w:val="14"/>
              </w:rPr>
              <w:t>Role matrix, field masking, tenant scope, cross-company, export, schedule, delivery, AI, and support-access tests.</w:t>
            </w:r>
          </w:p>
        </w:tc>
      </w:tr>
      <w:tr>
        <w:trPr>
          <w:cantSplit/>
        </w:trPr>
        <w:tc>
          <w:tcPr>
            <w:tcW w:type="dxa" w:w="2736"/>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AI readiness</w:t>
            </w:r>
          </w:p>
        </w:tc>
        <w:tc>
          <w:tcPr>
            <w:tcW w:type="dxa" w:w="6840"/>
            <w:shd w:fill="F6F9FC"/>
            <w:vAlign w:val="center"/>
            <w:tcMar>
              <w:top w:w="55" w:type="dxa"/>
              <w:start w:w="75" w:type="dxa"/>
              <w:bottom w:w="55" w:type="dxa"/>
              <w:end w:w="75" w:type="dxa"/>
            </w:tcMar>
          </w:tcPr>
          <w:p>
            <w:pPr>
              <w:spacing w:before="0" w:after="0" w:line="240" w:lineRule="auto"/>
            </w:pPr>
            <w:r>
              <w:rPr>
                <w:rFonts w:ascii="Inter" w:hAnsi="Inter"/>
                <w:b w:val="0"/>
                <w:color w:val="172033"/>
                <w:sz w:val="14"/>
              </w:rPr>
              <w:t>Source-linked insight contract, permission inheritance, prompt minimization, confidence/limitation display, unavailable-service and no-mutation tests.</w:t>
            </w:r>
          </w:p>
        </w:tc>
      </w:tr>
    </w:tbl>
    <w:p>
      <w:pPr>
        <w:spacing w:after="80" w:line="259" w:lineRule="auto"/>
      </w:pPr>
    </w:p>
    <w:p>
      <w:pPr>
        <w:pStyle w:val="Heading1"/>
        <w:keepNext/>
        <w:pageBreakBefore w:val="0"/>
      </w:pPr>
      <w:r>
        <w:t>Appendix E - Terminology</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232"/>
            <w:shd w:fill="E7F0F8"/>
            <w:vAlign w:val="center"/>
            <w:tcMar>
              <w:top w:w="55" w:type="dxa"/>
              <w:start w:w="75" w:type="dxa"/>
              <w:bottom w:w="55" w:type="dxa"/>
              <w:end w:w="75" w:type="dxa"/>
            </w:tcMar>
          </w:tcPr>
          <w:p>
            <w:pPr>
              <w:spacing w:before="0" w:after="0" w:line="240" w:lineRule="auto"/>
            </w:pPr>
            <w:r>
              <w:rPr>
                <w:rFonts w:ascii="Inter" w:hAnsi="Inter"/>
                <w:b/>
                <w:color w:val="172033"/>
                <w:sz w:val="16"/>
              </w:rPr>
              <w:t>Term</w:t>
            </w:r>
          </w:p>
        </w:tc>
        <w:tc>
          <w:tcPr>
            <w:tcW w:type="dxa" w:w="7344"/>
            <w:shd w:fill="E7F0F8"/>
            <w:vAlign w:val="center"/>
            <w:tcMar>
              <w:top w:w="55" w:type="dxa"/>
              <w:start w:w="75" w:type="dxa"/>
              <w:bottom w:w="55" w:type="dxa"/>
              <w:end w:w="75" w:type="dxa"/>
            </w:tcMar>
          </w:tcPr>
          <w:p>
            <w:pPr>
              <w:spacing w:before="0" w:after="0" w:line="240" w:lineRule="auto"/>
            </w:pPr>
            <w:r>
              <w:rPr>
                <w:rFonts w:ascii="Inter" w:hAnsi="Inter"/>
                <w:b/>
                <w:color w:val="172033"/>
                <w:sz w:val="16"/>
              </w:rPr>
              <w:t>Definition</w:t>
            </w:r>
          </w:p>
        </w:tc>
      </w:tr>
      <w:tr>
        <w:trPr>
          <w:cantSplit/>
        </w:trPr>
        <w:tc>
          <w:tcPr>
            <w:tcW w:type="dxa" w:w="2232"/>
            <w:vAlign w:val="center"/>
            <w:tcMar>
              <w:top w:w="55" w:type="dxa"/>
              <w:start w:w="75" w:type="dxa"/>
              <w:bottom w:w="55" w:type="dxa"/>
              <w:end w:w="75" w:type="dxa"/>
            </w:tcMar>
          </w:tcPr>
          <w:p>
            <w:pPr>
              <w:spacing w:before="0" w:after="0" w:line="240" w:lineRule="auto"/>
            </w:pPr>
            <w:r>
              <w:rPr>
                <w:rFonts w:ascii="Inter" w:hAnsi="Inter"/>
                <w:b w:val="0"/>
                <w:color w:val="172033"/>
                <w:sz w:val="15"/>
              </w:rPr>
              <w:t>Display Report</w:t>
            </w:r>
          </w:p>
        </w:tc>
        <w:tc>
          <w:tcPr>
            <w:tcW w:type="dxa" w:w="7344"/>
            <w:vAlign w:val="center"/>
            <w:tcMar>
              <w:top w:w="55" w:type="dxa"/>
              <w:start w:w="75" w:type="dxa"/>
              <w:bottom w:w="55" w:type="dxa"/>
              <w:end w:w="75" w:type="dxa"/>
            </w:tcMar>
          </w:tcPr>
          <w:p>
            <w:pPr>
              <w:spacing w:before="0" w:after="0" w:line="240" w:lineRule="auto"/>
            </w:pPr>
            <w:r>
              <w:rPr>
                <w:rFonts w:ascii="Inter" w:hAnsi="Inter"/>
                <w:b w:val="0"/>
                <w:color w:val="172033"/>
                <w:sz w:val="15"/>
              </w:rPr>
              <w:t>The user-facing action and screen for presenting a generated report on screen; it implements the report preview capability referenced by Core.</w:t>
            </w:r>
          </w:p>
        </w:tc>
      </w:tr>
      <w:tr>
        <w:trPr>
          <w:cantSplit/>
        </w:trPr>
        <w:tc>
          <w:tcPr>
            <w:tcW w:type="dxa" w:w="223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Report Definition</w:t>
            </w:r>
          </w:p>
        </w:tc>
        <w:tc>
          <w:tcPr>
            <w:tcW w:type="dxa" w:w="734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Versioned, governed specification of a report’s meaning, sources, calculations, parameters, presentation, security, and outputs.</w:t>
            </w:r>
          </w:p>
        </w:tc>
      </w:tr>
      <w:tr>
        <w:trPr>
          <w:cantSplit/>
        </w:trPr>
        <w:tc>
          <w:tcPr>
            <w:tcW w:type="dxa" w:w="2232"/>
            <w:vAlign w:val="center"/>
            <w:tcMar>
              <w:top w:w="55" w:type="dxa"/>
              <w:start w:w="75" w:type="dxa"/>
              <w:bottom w:w="55" w:type="dxa"/>
              <w:end w:w="75" w:type="dxa"/>
            </w:tcMar>
          </w:tcPr>
          <w:p>
            <w:pPr>
              <w:spacing w:before="0" w:after="0" w:line="240" w:lineRule="auto"/>
            </w:pPr>
            <w:r>
              <w:rPr>
                <w:rFonts w:ascii="Inter" w:hAnsi="Inter"/>
                <w:b w:val="0"/>
                <w:color w:val="172033"/>
                <w:sz w:val="15"/>
              </w:rPr>
              <w:t>Report Output</w:t>
            </w:r>
          </w:p>
        </w:tc>
        <w:tc>
          <w:tcPr>
            <w:tcW w:type="dxa" w:w="7344"/>
            <w:vAlign w:val="center"/>
            <w:tcMar>
              <w:top w:w="55" w:type="dxa"/>
              <w:start w:w="75" w:type="dxa"/>
              <w:bottom w:w="55" w:type="dxa"/>
              <w:end w:w="75" w:type="dxa"/>
            </w:tcMar>
          </w:tcPr>
          <w:p>
            <w:pPr>
              <w:spacing w:before="0" w:after="0" w:line="240" w:lineRule="auto"/>
            </w:pPr>
            <w:r>
              <w:rPr>
                <w:rFonts w:ascii="Inter" w:hAnsi="Inter"/>
                <w:b w:val="0"/>
                <w:color w:val="172033"/>
                <w:sz w:val="15"/>
              </w:rPr>
              <w:t>A completed generated result in on-screen, PDF, spreadsheet, CSV, print, API, or other approved form.</w:t>
            </w:r>
          </w:p>
        </w:tc>
      </w:tr>
      <w:tr>
        <w:trPr>
          <w:cantSplit/>
        </w:trPr>
        <w:tc>
          <w:tcPr>
            <w:tcW w:type="dxa" w:w="223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Report Snapshot</w:t>
            </w:r>
          </w:p>
        </w:tc>
        <w:tc>
          <w:tcPr>
            <w:tcW w:type="dxa" w:w="734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Immutable retained output with definition version, parameters, context, as-of time, and freshness.</w:t>
            </w:r>
          </w:p>
        </w:tc>
      </w:tr>
      <w:tr>
        <w:trPr>
          <w:cantSplit/>
        </w:trPr>
        <w:tc>
          <w:tcPr>
            <w:tcW w:type="dxa" w:w="2232"/>
            <w:vAlign w:val="center"/>
            <w:tcMar>
              <w:top w:w="55" w:type="dxa"/>
              <w:start w:w="75" w:type="dxa"/>
              <w:bottom w:w="55" w:type="dxa"/>
              <w:end w:w="75" w:type="dxa"/>
            </w:tcMar>
          </w:tcPr>
          <w:p>
            <w:pPr>
              <w:spacing w:before="0" w:after="0" w:line="240" w:lineRule="auto"/>
            </w:pPr>
            <w:r>
              <w:rPr>
                <w:rFonts w:ascii="Inter" w:hAnsi="Inter"/>
                <w:b w:val="0"/>
                <w:color w:val="172033"/>
                <w:sz w:val="15"/>
              </w:rPr>
              <w:t>Source Contract</w:t>
            </w:r>
          </w:p>
        </w:tc>
        <w:tc>
          <w:tcPr>
            <w:tcW w:type="dxa" w:w="7344"/>
            <w:vAlign w:val="center"/>
            <w:tcMar>
              <w:top w:w="55" w:type="dxa"/>
              <w:start w:w="75" w:type="dxa"/>
              <w:bottom w:w="55" w:type="dxa"/>
              <w:end w:w="75" w:type="dxa"/>
            </w:tcMar>
          </w:tcPr>
          <w:p>
            <w:pPr>
              <w:spacing w:before="0" w:after="0" w:line="240" w:lineRule="auto"/>
            </w:pPr>
            <w:r>
              <w:rPr>
                <w:rFonts w:ascii="Inter" w:hAnsi="Inter"/>
                <w:b w:val="0"/>
                <w:color w:val="172033"/>
                <w:sz w:val="15"/>
              </w:rPr>
              <w:t>Approved module query or measure contract that explains data meaning, scope, schema, security, freshness, and reconciliation.</w:t>
            </w:r>
          </w:p>
        </w:tc>
      </w:tr>
      <w:tr>
        <w:trPr>
          <w:cantSplit/>
        </w:trPr>
        <w:tc>
          <w:tcPr>
            <w:tcW w:type="dxa" w:w="223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Analytics Definition</w:t>
            </w:r>
          </w:p>
        </w:tc>
        <w:tc>
          <w:tcPr>
            <w:tcW w:type="dxa" w:w="734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Governed metric, comparison, trend, exception, forecast, or narrative rule that may combine one or more source contracts.</w:t>
            </w:r>
          </w:p>
        </w:tc>
      </w:tr>
      <w:tr>
        <w:trPr>
          <w:cantSplit/>
        </w:trPr>
        <w:tc>
          <w:tcPr>
            <w:tcW w:type="dxa" w:w="2232"/>
            <w:vAlign w:val="center"/>
            <w:tcMar>
              <w:top w:w="55" w:type="dxa"/>
              <w:start w:w="75" w:type="dxa"/>
              <w:bottom w:w="55" w:type="dxa"/>
              <w:end w:w="75" w:type="dxa"/>
            </w:tcMar>
          </w:tcPr>
          <w:p>
            <w:pPr>
              <w:spacing w:before="0" w:after="0" w:line="240" w:lineRule="auto"/>
            </w:pPr>
            <w:r>
              <w:rPr>
                <w:rFonts w:ascii="Inter" w:hAnsi="Inter"/>
                <w:b w:val="0"/>
                <w:color w:val="172033"/>
                <w:sz w:val="15"/>
              </w:rPr>
              <w:t>Freshness</w:t>
            </w:r>
          </w:p>
        </w:tc>
        <w:tc>
          <w:tcPr>
            <w:tcW w:type="dxa" w:w="7344"/>
            <w:vAlign w:val="center"/>
            <w:tcMar>
              <w:top w:w="55" w:type="dxa"/>
              <w:start w:w="75" w:type="dxa"/>
              <w:bottom w:w="55" w:type="dxa"/>
              <w:end w:w="75" w:type="dxa"/>
            </w:tcMar>
          </w:tcPr>
          <w:p>
            <w:pPr>
              <w:spacing w:before="0" w:after="0" w:line="240" w:lineRule="auto"/>
            </w:pPr>
            <w:r>
              <w:rPr>
                <w:rFonts w:ascii="Inter" w:hAnsi="Inter"/>
                <w:b w:val="0"/>
                <w:color w:val="172033"/>
                <w:sz w:val="15"/>
              </w:rPr>
              <w:t>The relationship between output generation time and the latest authoritative source data reflected in the output.</w:t>
            </w:r>
          </w:p>
        </w:tc>
      </w:tr>
      <w:tr>
        <w:trPr>
          <w:cantSplit/>
        </w:trPr>
        <w:tc>
          <w:tcPr>
            <w:tcW w:type="dxa" w:w="223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Drill-Down</w:t>
            </w:r>
          </w:p>
        </w:tc>
        <w:tc>
          <w:tcPr>
            <w:tcW w:type="dxa" w:w="734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Authorized navigation from a report summary or line to the underlying governed record or detail while preserving context.</w:t>
            </w:r>
          </w:p>
        </w:tc>
      </w:tr>
      <w:tr>
        <w:trPr>
          <w:cantSplit/>
        </w:trPr>
        <w:tc>
          <w:tcPr>
            <w:tcW w:type="dxa" w:w="2232"/>
            <w:vAlign w:val="center"/>
            <w:tcMar>
              <w:top w:w="55" w:type="dxa"/>
              <w:start w:w="75" w:type="dxa"/>
              <w:bottom w:w="55" w:type="dxa"/>
              <w:end w:w="75" w:type="dxa"/>
            </w:tcMar>
          </w:tcPr>
          <w:p>
            <w:pPr>
              <w:spacing w:before="0" w:after="0" w:line="240" w:lineRule="auto"/>
            </w:pPr>
            <w:r>
              <w:rPr>
                <w:rFonts w:ascii="Inter" w:hAnsi="Inter"/>
                <w:b w:val="0"/>
                <w:color w:val="172033"/>
                <w:sz w:val="15"/>
              </w:rPr>
              <w:t>Saved View</w:t>
            </w:r>
          </w:p>
        </w:tc>
        <w:tc>
          <w:tcPr>
            <w:tcW w:type="dxa" w:w="7344"/>
            <w:vAlign w:val="center"/>
            <w:tcMar>
              <w:top w:w="55" w:type="dxa"/>
              <w:start w:w="75" w:type="dxa"/>
              <w:bottom w:w="55" w:type="dxa"/>
              <w:end w:w="75" w:type="dxa"/>
            </w:tcMar>
          </w:tcPr>
          <w:p>
            <w:pPr>
              <w:spacing w:before="0" w:after="0" w:line="240" w:lineRule="auto"/>
            </w:pPr>
            <w:r>
              <w:rPr>
                <w:rFonts w:ascii="Inter" w:hAnsi="Inter"/>
                <w:b w:val="0"/>
                <w:color w:val="172033"/>
                <w:sz w:val="15"/>
              </w:rPr>
              <w:t>User-owned parameter and presentation preset that does not alter the governed report formula.</w:t>
            </w:r>
          </w:p>
        </w:tc>
      </w:tr>
      <w:tr>
        <w:trPr>
          <w:cantSplit/>
        </w:trPr>
        <w:tc>
          <w:tcPr>
            <w:tcW w:type="dxa" w:w="223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Report Pack</w:t>
            </w:r>
          </w:p>
        </w:tc>
        <w:tc>
          <w:tcPr>
            <w:tcW w:type="dxa" w:w="734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Controlled collection of report outputs for a period, management review, publication, or archive.</w:t>
            </w:r>
          </w:p>
        </w:tc>
      </w:tr>
      <w:tr>
        <w:trPr>
          <w:cantSplit/>
        </w:trPr>
        <w:tc>
          <w:tcPr>
            <w:tcW w:type="dxa" w:w="2232"/>
            <w:vAlign w:val="center"/>
            <w:tcMar>
              <w:top w:w="55" w:type="dxa"/>
              <w:start w:w="75" w:type="dxa"/>
              <w:bottom w:w="55" w:type="dxa"/>
              <w:end w:w="75" w:type="dxa"/>
            </w:tcMar>
          </w:tcPr>
          <w:p>
            <w:pPr>
              <w:spacing w:before="0" w:after="0" w:line="240" w:lineRule="auto"/>
            </w:pPr>
            <w:r>
              <w:rPr>
                <w:rFonts w:ascii="Inter" w:hAnsi="Inter"/>
                <w:b w:val="0"/>
                <w:color w:val="172033"/>
                <w:sz w:val="15"/>
              </w:rPr>
              <w:t>Reporting Projection</w:t>
            </w:r>
          </w:p>
        </w:tc>
        <w:tc>
          <w:tcPr>
            <w:tcW w:type="dxa" w:w="7344"/>
            <w:vAlign w:val="center"/>
            <w:tcMar>
              <w:top w:w="55" w:type="dxa"/>
              <w:start w:w="75" w:type="dxa"/>
              <w:bottom w:w="55" w:type="dxa"/>
              <w:end w:w="75" w:type="dxa"/>
            </w:tcMar>
          </w:tcPr>
          <w:p>
            <w:pPr>
              <w:spacing w:before="0" w:after="0" w:line="240" w:lineRule="auto"/>
            </w:pPr>
            <w:r>
              <w:rPr>
                <w:rFonts w:ascii="Inter" w:hAnsi="Inter"/>
                <w:b w:val="0"/>
                <w:color w:val="172033"/>
                <w:sz w:val="15"/>
              </w:rPr>
              <w:t>Derived, rebuildable structure or cache used to improve reporting performance without replacing source records.</w:t>
            </w:r>
          </w:p>
        </w:tc>
      </w:tr>
      <w:tr>
        <w:trPr>
          <w:cantSplit/>
        </w:trPr>
        <w:tc>
          <w:tcPr>
            <w:tcW w:type="dxa" w:w="2232"/>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Cross-Module Analytics</w:t>
            </w:r>
          </w:p>
        </w:tc>
        <w:tc>
          <w:tcPr>
            <w:tcW w:type="dxa" w:w="734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Versioned analysis that combines governed data from multiple owning modules through documented source contracts.</w:t>
            </w:r>
          </w:p>
        </w:tc>
      </w:tr>
    </w:tbl>
    <w:p>
      <w:pPr>
        <w:spacing w:after="80" w:line="259" w:lineRule="auto"/>
      </w:pPr>
    </w:p>
    <w:p>
      <w:pPr>
        <w:pStyle w:val="Heading1"/>
        <w:keepNext/>
        <w:pageBreakBefore w:val="0"/>
      </w:pPr>
      <w:r>
        <w:t>Appendix F - Final Review Checklist</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792"/>
            <w:shd w:fill="E7F0F8"/>
            <w:vAlign w:val="center"/>
            <w:tcMar>
              <w:top w:w="55" w:type="dxa"/>
              <w:start w:w="75" w:type="dxa"/>
              <w:bottom w:w="55" w:type="dxa"/>
              <w:end w:w="75" w:type="dxa"/>
            </w:tcMar>
          </w:tcPr>
          <w:p>
            <w:pPr>
              <w:spacing w:before="0" w:after="0" w:line="240" w:lineRule="auto"/>
            </w:pPr>
            <w:r>
              <w:rPr>
                <w:rFonts w:ascii="Inter" w:hAnsi="Inter"/>
                <w:b/>
                <w:color w:val="172033"/>
                <w:sz w:val="16"/>
              </w:rPr>
              <w:t>#</w:t>
            </w:r>
          </w:p>
        </w:tc>
        <w:tc>
          <w:tcPr>
            <w:tcW w:type="dxa" w:w="8784"/>
            <w:shd w:fill="E7F0F8"/>
            <w:vAlign w:val="center"/>
            <w:tcMar>
              <w:top w:w="55" w:type="dxa"/>
              <w:start w:w="75" w:type="dxa"/>
              <w:bottom w:w="55" w:type="dxa"/>
              <w:end w:w="75" w:type="dxa"/>
            </w:tcMar>
          </w:tcPr>
          <w:p>
            <w:pPr>
              <w:spacing w:before="0" w:after="0" w:line="240" w:lineRule="auto"/>
            </w:pPr>
            <w:r>
              <w:rPr>
                <w:rFonts w:ascii="Inter" w:hAnsi="Inter"/>
                <w:b/>
                <w:color w:val="172033"/>
                <w:sz w:val="16"/>
              </w:rPr>
              <w:t>Review item</w:t>
            </w:r>
          </w:p>
        </w:tc>
      </w:tr>
      <w:tr>
        <w:trPr>
          <w:cantSplit/>
        </w:trPr>
        <w:tc>
          <w:tcPr>
            <w:tcW w:type="dxa" w:w="792"/>
            <w:vAlign w:val="center"/>
            <w:tcMar>
              <w:top w:w="55" w:type="dxa"/>
              <w:start w:w="75" w:type="dxa"/>
              <w:bottom w:w="55" w:type="dxa"/>
              <w:end w:w="75" w:type="dxa"/>
            </w:tcMar>
          </w:tcPr>
          <w:p>
            <w:pPr>
              <w:spacing w:before="0" w:after="0" w:line="240" w:lineRule="auto"/>
            </w:pPr>
            <w:r>
              <w:rPr>
                <w:rFonts w:ascii="Inter" w:hAnsi="Inter"/>
                <w:b/>
                <w:color w:val="172033"/>
                <w:sz w:val="15"/>
              </w:rPr>
              <w:t>1</w:t>
            </w:r>
          </w:p>
        </w:tc>
        <w:tc>
          <w:tcPr>
            <w:tcW w:type="dxa" w:w="8784"/>
            <w:vAlign w:val="center"/>
            <w:tcMar>
              <w:top w:w="55" w:type="dxa"/>
              <w:start w:w="75" w:type="dxa"/>
              <w:bottom w:w="55" w:type="dxa"/>
              <w:end w:w="75" w:type="dxa"/>
            </w:tcMar>
          </w:tcPr>
          <w:p>
            <w:pPr>
              <w:spacing w:before="0" w:after="0" w:line="240" w:lineRule="auto"/>
            </w:pPr>
            <w:r>
              <w:rPr>
                <w:rFonts w:ascii="Inter" w:hAnsi="Inter"/>
                <w:b w:val="0"/>
                <w:color w:val="172033"/>
                <w:sz w:val="15"/>
              </w:rPr>
              <w:t>The ID, title, version, date, status, repository location, and superseded MDS-700 reference are correct.</w:t>
            </w:r>
          </w:p>
        </w:tc>
      </w:tr>
      <w:tr>
        <w:trPr>
          <w:cantSplit/>
        </w:trPr>
        <w:tc>
          <w:tcPr>
            <w:tcW w:type="dxa" w:w="792"/>
            <w:shd w:fill="F6F9FC"/>
            <w:vAlign w:val="center"/>
            <w:tcMar>
              <w:top w:w="55" w:type="dxa"/>
              <w:start w:w="75" w:type="dxa"/>
              <w:bottom w:w="55" w:type="dxa"/>
              <w:end w:w="75" w:type="dxa"/>
            </w:tcMar>
          </w:tcPr>
          <w:p>
            <w:pPr>
              <w:spacing w:before="0" w:after="0" w:line="240" w:lineRule="auto"/>
            </w:pPr>
            <w:r>
              <w:rPr>
                <w:rFonts w:ascii="Inter" w:hAnsi="Inter"/>
                <w:b/>
                <w:color w:val="172033"/>
                <w:sz w:val="15"/>
              </w:rPr>
              <w:t>2</w:t>
            </w:r>
          </w:p>
        </w:tc>
        <w:tc>
          <w:tcPr>
            <w:tcW w:type="dxa" w:w="878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The document follows the 21-section structure required by MDS-000 v1.2.</w:t>
            </w:r>
          </w:p>
        </w:tc>
      </w:tr>
      <w:tr>
        <w:trPr>
          <w:cantSplit/>
        </w:trPr>
        <w:tc>
          <w:tcPr>
            <w:tcW w:type="dxa" w:w="792"/>
            <w:vAlign w:val="center"/>
            <w:tcMar>
              <w:top w:w="55" w:type="dxa"/>
              <w:start w:w="75" w:type="dxa"/>
              <w:bottom w:w="55" w:type="dxa"/>
              <w:end w:w="75" w:type="dxa"/>
            </w:tcMar>
          </w:tcPr>
          <w:p>
            <w:pPr>
              <w:spacing w:before="0" w:after="0" w:line="240" w:lineRule="auto"/>
            </w:pPr>
            <w:r>
              <w:rPr>
                <w:rFonts w:ascii="Inter" w:hAnsi="Inter"/>
                <w:b/>
                <w:color w:val="172033"/>
                <w:sz w:val="15"/>
              </w:rPr>
              <w:t>3</w:t>
            </w:r>
          </w:p>
        </w:tc>
        <w:tc>
          <w:tcPr>
            <w:tcW w:type="dxa" w:w="8784"/>
            <w:vAlign w:val="center"/>
            <w:tcMar>
              <w:top w:w="55" w:type="dxa"/>
              <w:start w:w="75" w:type="dxa"/>
              <w:bottom w:w="55" w:type="dxa"/>
              <w:end w:w="75" w:type="dxa"/>
            </w:tcMar>
          </w:tcPr>
          <w:p>
            <w:pPr>
              <w:spacing w:before="0" w:after="0" w:line="240" w:lineRule="auto"/>
            </w:pPr>
            <w:r>
              <w:rPr>
                <w:rFonts w:ascii="Inter" w:hAnsi="Inter"/>
                <w:b w:val="0"/>
                <w:color w:val="172033"/>
                <w:sz w:val="15"/>
              </w:rPr>
              <w:t>MDS-900 owns catalog, parameters, generation, Display Report, export, favorites, scheduling, delivery, and cross-module analytics.</w:t>
            </w:r>
          </w:p>
        </w:tc>
      </w:tr>
      <w:tr>
        <w:trPr>
          <w:cantSplit/>
        </w:trPr>
        <w:tc>
          <w:tcPr>
            <w:tcW w:type="dxa" w:w="792"/>
            <w:shd w:fill="F6F9FC"/>
            <w:vAlign w:val="center"/>
            <w:tcMar>
              <w:top w:w="55" w:type="dxa"/>
              <w:start w:w="75" w:type="dxa"/>
              <w:bottom w:w="55" w:type="dxa"/>
              <w:end w:w="75" w:type="dxa"/>
            </w:tcMar>
          </w:tcPr>
          <w:p>
            <w:pPr>
              <w:spacing w:before="0" w:after="0" w:line="240" w:lineRule="auto"/>
            </w:pPr>
            <w:r>
              <w:rPr>
                <w:rFonts w:ascii="Inter" w:hAnsi="Inter"/>
                <w:b/>
                <w:color w:val="172033"/>
                <w:sz w:val="15"/>
              </w:rPr>
              <w:t>4</w:t>
            </w:r>
          </w:p>
        </w:tc>
        <w:tc>
          <w:tcPr>
            <w:tcW w:type="dxa" w:w="878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Originating modules retain authoritative business meaning, source data, transaction processing, and correction ownership.</w:t>
            </w:r>
          </w:p>
        </w:tc>
      </w:tr>
      <w:tr>
        <w:trPr>
          <w:cantSplit/>
        </w:trPr>
        <w:tc>
          <w:tcPr>
            <w:tcW w:type="dxa" w:w="792"/>
            <w:vAlign w:val="center"/>
            <w:tcMar>
              <w:top w:w="55" w:type="dxa"/>
              <w:start w:w="75" w:type="dxa"/>
              <w:bottom w:w="55" w:type="dxa"/>
              <w:end w:w="75" w:type="dxa"/>
            </w:tcMar>
          </w:tcPr>
          <w:p>
            <w:pPr>
              <w:spacing w:before="0" w:after="0" w:line="240" w:lineRule="auto"/>
            </w:pPr>
            <w:r>
              <w:rPr>
                <w:rFonts w:ascii="Inter" w:hAnsi="Inter"/>
                <w:b/>
                <w:color w:val="172033"/>
                <w:sz w:val="15"/>
              </w:rPr>
              <w:t>5</w:t>
            </w:r>
          </w:p>
        </w:tc>
        <w:tc>
          <w:tcPr>
            <w:tcW w:type="dxa" w:w="8784"/>
            <w:vAlign w:val="center"/>
            <w:tcMar>
              <w:top w:w="55" w:type="dxa"/>
              <w:start w:w="75" w:type="dxa"/>
              <w:bottom w:w="55" w:type="dxa"/>
              <w:end w:w="75" w:type="dxa"/>
            </w:tcMar>
          </w:tcPr>
          <w:p>
            <w:pPr>
              <w:spacing w:before="0" w:after="0" w:line="240" w:lineRule="auto"/>
            </w:pPr>
            <w:r>
              <w:rPr>
                <w:rFonts w:ascii="Inter" w:hAnsi="Inter"/>
                <w:b w:val="0"/>
                <w:color w:val="172033"/>
                <w:sz w:val="15"/>
              </w:rPr>
              <w:t>Dashboard, workspaces, shortcuts, and exports do not create competing report formulas or balances.</w:t>
            </w:r>
          </w:p>
        </w:tc>
      </w:tr>
      <w:tr>
        <w:trPr>
          <w:cantSplit/>
        </w:trPr>
        <w:tc>
          <w:tcPr>
            <w:tcW w:type="dxa" w:w="792"/>
            <w:shd w:fill="F6F9FC"/>
            <w:vAlign w:val="center"/>
            <w:tcMar>
              <w:top w:w="55" w:type="dxa"/>
              <w:start w:w="75" w:type="dxa"/>
              <w:bottom w:w="55" w:type="dxa"/>
              <w:end w:w="75" w:type="dxa"/>
            </w:tcMar>
          </w:tcPr>
          <w:p>
            <w:pPr>
              <w:spacing w:before="0" w:after="0" w:line="240" w:lineRule="auto"/>
            </w:pPr>
            <w:r>
              <w:rPr>
                <w:rFonts w:ascii="Inter" w:hAnsi="Inter"/>
                <w:b/>
                <w:color w:val="172033"/>
                <w:sz w:val="15"/>
              </w:rPr>
              <w:t>6</w:t>
            </w:r>
          </w:p>
        </w:tc>
        <w:tc>
          <w:tcPr>
            <w:tcW w:type="dxa" w:w="878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Every report definition states owner, source, formula, status basis, period, parameters, signs, currency, security, drill-down, and reconciliation.</w:t>
            </w:r>
          </w:p>
        </w:tc>
      </w:tr>
      <w:tr>
        <w:trPr>
          <w:cantSplit/>
        </w:trPr>
        <w:tc>
          <w:tcPr>
            <w:tcW w:type="dxa" w:w="792"/>
            <w:vAlign w:val="center"/>
            <w:tcMar>
              <w:top w:w="55" w:type="dxa"/>
              <w:start w:w="75" w:type="dxa"/>
              <w:bottom w:w="55" w:type="dxa"/>
              <w:end w:w="75" w:type="dxa"/>
            </w:tcMar>
          </w:tcPr>
          <w:p>
            <w:pPr>
              <w:spacing w:before="0" w:after="0" w:line="240" w:lineRule="auto"/>
            </w:pPr>
            <w:r>
              <w:rPr>
                <w:rFonts w:ascii="Inter" w:hAnsi="Inter"/>
                <w:b/>
                <w:color w:val="172033"/>
                <w:sz w:val="15"/>
              </w:rPr>
              <w:t>7</w:t>
            </w:r>
          </w:p>
        </w:tc>
        <w:tc>
          <w:tcPr>
            <w:tcW w:type="dxa" w:w="8784"/>
            <w:vAlign w:val="center"/>
            <w:tcMar>
              <w:top w:w="55" w:type="dxa"/>
              <w:start w:w="75" w:type="dxa"/>
              <w:bottom w:w="55" w:type="dxa"/>
              <w:end w:w="75" w:type="dxa"/>
            </w:tcMar>
          </w:tcPr>
          <w:p>
            <w:pPr>
              <w:spacing w:before="0" w:after="0" w:line="240" w:lineRule="auto"/>
            </w:pPr>
            <w:r>
              <w:rPr>
                <w:rFonts w:ascii="Inter" w:hAnsi="Inter"/>
                <w:b w:val="0"/>
                <w:color w:val="172033"/>
                <w:sz w:val="15"/>
              </w:rPr>
              <w:t>Every retained output identifies definition version, context, parameters, as-of time, freshness, generated time, and actor.</w:t>
            </w:r>
          </w:p>
        </w:tc>
      </w:tr>
      <w:tr>
        <w:trPr>
          <w:cantSplit/>
        </w:trPr>
        <w:tc>
          <w:tcPr>
            <w:tcW w:type="dxa" w:w="792"/>
            <w:shd w:fill="F6F9FC"/>
            <w:vAlign w:val="center"/>
            <w:tcMar>
              <w:top w:w="55" w:type="dxa"/>
              <w:start w:w="75" w:type="dxa"/>
              <w:bottom w:w="55" w:type="dxa"/>
              <w:end w:w="75" w:type="dxa"/>
            </w:tcMar>
          </w:tcPr>
          <w:p>
            <w:pPr>
              <w:spacing w:before="0" w:after="0" w:line="240" w:lineRule="auto"/>
            </w:pPr>
            <w:r>
              <w:rPr>
                <w:rFonts w:ascii="Inter" w:hAnsi="Inter"/>
                <w:b/>
                <w:color w:val="172033"/>
                <w:sz w:val="15"/>
              </w:rPr>
              <w:t>8</w:t>
            </w:r>
          </w:p>
        </w:tc>
        <w:tc>
          <w:tcPr>
            <w:tcW w:type="dxa" w:w="878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Permissions apply consistently to catalog, display, drill-down, print, export, schedule, API, delivery, and AI.</w:t>
            </w:r>
          </w:p>
        </w:tc>
      </w:tr>
      <w:tr>
        <w:trPr>
          <w:cantSplit/>
        </w:trPr>
        <w:tc>
          <w:tcPr>
            <w:tcW w:type="dxa" w:w="792"/>
            <w:vAlign w:val="center"/>
            <w:tcMar>
              <w:top w:w="55" w:type="dxa"/>
              <w:start w:w="75" w:type="dxa"/>
              <w:bottom w:w="55" w:type="dxa"/>
              <w:end w:w="75" w:type="dxa"/>
            </w:tcMar>
          </w:tcPr>
          <w:p>
            <w:pPr>
              <w:spacing w:before="0" w:after="0" w:line="240" w:lineRule="auto"/>
            </w:pPr>
            <w:r>
              <w:rPr>
                <w:rFonts w:ascii="Inter" w:hAnsi="Inter"/>
                <w:b/>
                <w:color w:val="172033"/>
                <w:sz w:val="15"/>
              </w:rPr>
              <w:t>9</w:t>
            </w:r>
          </w:p>
        </w:tc>
        <w:tc>
          <w:tcPr>
            <w:tcW w:type="dxa" w:w="8784"/>
            <w:vAlign w:val="center"/>
            <w:tcMar>
              <w:top w:w="55" w:type="dxa"/>
              <w:start w:w="75" w:type="dxa"/>
              <w:bottom w:w="55" w:type="dxa"/>
              <w:end w:w="75" w:type="dxa"/>
            </w:tcMar>
          </w:tcPr>
          <w:p>
            <w:pPr>
              <w:spacing w:before="0" w:after="0" w:line="240" w:lineRule="auto"/>
            </w:pPr>
            <w:r>
              <w:rPr>
                <w:rFonts w:ascii="Inter" w:hAnsi="Inter"/>
                <w:b w:val="0"/>
                <w:color w:val="172033"/>
                <w:sz w:val="15"/>
              </w:rPr>
              <w:t>Stale, delayed, unavailable, failed, expired, and uncertain states cannot appear as successful current information.</w:t>
            </w:r>
          </w:p>
        </w:tc>
      </w:tr>
      <w:tr>
        <w:trPr>
          <w:cantSplit/>
        </w:trPr>
        <w:tc>
          <w:tcPr>
            <w:tcW w:type="dxa" w:w="792"/>
            <w:shd w:fill="F6F9FC"/>
            <w:vAlign w:val="center"/>
            <w:tcMar>
              <w:top w:w="55" w:type="dxa"/>
              <w:start w:w="75" w:type="dxa"/>
              <w:bottom w:w="55" w:type="dxa"/>
              <w:end w:w="75" w:type="dxa"/>
            </w:tcMar>
          </w:tcPr>
          <w:p>
            <w:pPr>
              <w:spacing w:before="0" w:after="0" w:line="240" w:lineRule="auto"/>
            </w:pPr>
            <w:r>
              <w:rPr>
                <w:rFonts w:ascii="Inter" w:hAnsi="Inter"/>
                <w:b/>
                <w:color w:val="172033"/>
                <w:sz w:val="15"/>
              </w:rPr>
              <w:t>10</w:t>
            </w:r>
          </w:p>
        </w:tc>
        <w:tc>
          <w:tcPr>
            <w:tcW w:type="dxa" w:w="878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PDF, XLSX, CSV, print, secure-link, and scheduled-delivery controls are implementation-ready and testable.</w:t>
            </w:r>
          </w:p>
        </w:tc>
      </w:tr>
      <w:tr>
        <w:trPr>
          <w:cantSplit/>
        </w:trPr>
        <w:tc>
          <w:tcPr>
            <w:tcW w:type="dxa" w:w="792"/>
            <w:vAlign w:val="center"/>
            <w:tcMar>
              <w:top w:w="55" w:type="dxa"/>
              <w:start w:w="75" w:type="dxa"/>
              <w:bottom w:w="55" w:type="dxa"/>
              <w:end w:w="75" w:type="dxa"/>
            </w:tcMar>
          </w:tcPr>
          <w:p>
            <w:pPr>
              <w:spacing w:before="0" w:after="0" w:line="240" w:lineRule="auto"/>
            </w:pPr>
            <w:r>
              <w:rPr>
                <w:rFonts w:ascii="Inter" w:hAnsi="Inter"/>
                <w:b/>
                <w:color w:val="172033"/>
                <w:sz w:val="15"/>
              </w:rPr>
              <w:t>11</w:t>
            </w:r>
          </w:p>
        </w:tc>
        <w:tc>
          <w:tcPr>
            <w:tcW w:type="dxa" w:w="8784"/>
            <w:vAlign w:val="center"/>
            <w:tcMar>
              <w:top w:w="55" w:type="dxa"/>
              <w:start w:w="75" w:type="dxa"/>
              <w:bottom w:w="55" w:type="dxa"/>
              <w:end w:w="75" w:type="dxa"/>
            </w:tcMar>
          </w:tcPr>
          <w:p>
            <w:pPr>
              <w:spacing w:before="0" w:after="0" w:line="240" w:lineRule="auto"/>
            </w:pPr>
            <w:r>
              <w:rPr>
                <w:rFonts w:ascii="Inter" w:hAnsi="Inter"/>
                <w:b w:val="0"/>
                <w:color w:val="172033"/>
                <w:sz w:val="15"/>
              </w:rPr>
              <w:t>Edition differences unlock capabilities without changing core definitions or creating duplicate histories.</w:t>
            </w:r>
          </w:p>
        </w:tc>
      </w:tr>
      <w:tr>
        <w:trPr>
          <w:cantSplit/>
        </w:trPr>
        <w:tc>
          <w:tcPr>
            <w:tcW w:type="dxa" w:w="792"/>
            <w:shd w:fill="F6F9FC"/>
            <w:vAlign w:val="center"/>
            <w:tcMar>
              <w:top w:w="55" w:type="dxa"/>
              <w:start w:w="75" w:type="dxa"/>
              <w:bottom w:w="55" w:type="dxa"/>
              <w:end w:w="75" w:type="dxa"/>
            </w:tcMar>
          </w:tcPr>
          <w:p>
            <w:pPr>
              <w:spacing w:before="0" w:after="0" w:line="240" w:lineRule="auto"/>
            </w:pPr>
            <w:r>
              <w:rPr>
                <w:rFonts w:ascii="Inter" w:hAnsi="Inter"/>
                <w:b/>
                <w:color w:val="172033"/>
                <w:sz w:val="15"/>
              </w:rPr>
              <w:t>12</w:t>
            </w:r>
          </w:p>
        </w:tc>
        <w:tc>
          <w:tcPr>
            <w:tcW w:type="dxa" w:w="878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Responsive, keyboard, focus, chart-alternative, screen-reader, localization, and output accessibility are represented.</w:t>
            </w:r>
          </w:p>
        </w:tc>
      </w:tr>
      <w:tr>
        <w:trPr>
          <w:cantSplit/>
        </w:trPr>
        <w:tc>
          <w:tcPr>
            <w:tcW w:type="dxa" w:w="792"/>
            <w:vAlign w:val="center"/>
            <w:tcMar>
              <w:top w:w="55" w:type="dxa"/>
              <w:start w:w="75" w:type="dxa"/>
              <w:bottom w:w="55" w:type="dxa"/>
              <w:end w:w="75" w:type="dxa"/>
            </w:tcMar>
          </w:tcPr>
          <w:p>
            <w:pPr>
              <w:spacing w:before="0" w:after="0" w:line="240" w:lineRule="auto"/>
            </w:pPr>
            <w:r>
              <w:rPr>
                <w:rFonts w:ascii="Inter" w:hAnsi="Inter"/>
                <w:b/>
                <w:color w:val="172033"/>
                <w:sz w:val="15"/>
              </w:rPr>
              <w:t>13</w:t>
            </w:r>
          </w:p>
        </w:tc>
        <w:tc>
          <w:tcPr>
            <w:tcW w:type="dxa" w:w="8784"/>
            <w:vAlign w:val="center"/>
            <w:tcMar>
              <w:top w:w="55" w:type="dxa"/>
              <w:start w:w="75" w:type="dxa"/>
              <w:bottom w:w="55" w:type="dxa"/>
              <w:end w:w="75" w:type="dxa"/>
            </w:tcMar>
          </w:tcPr>
          <w:p>
            <w:pPr>
              <w:spacing w:before="0" w:after="0" w:line="240" w:lineRule="auto"/>
            </w:pPr>
            <w:r>
              <w:rPr>
                <w:rFonts w:ascii="Inter" w:hAnsi="Inter"/>
                <w:b w:val="0"/>
                <w:color w:val="172033"/>
                <w:sz w:val="15"/>
              </w:rPr>
              <w:t>Performance, large-result, asynchronous, concurrency, retry, partial delivery, restore, and observability scenarios are defined.</w:t>
            </w:r>
          </w:p>
        </w:tc>
      </w:tr>
      <w:tr>
        <w:trPr>
          <w:cantSplit/>
        </w:trPr>
        <w:tc>
          <w:tcPr>
            <w:tcW w:type="dxa" w:w="792"/>
            <w:shd w:fill="F6F9FC"/>
            <w:vAlign w:val="center"/>
            <w:tcMar>
              <w:top w:w="55" w:type="dxa"/>
              <w:start w:w="75" w:type="dxa"/>
              <w:bottom w:w="55" w:type="dxa"/>
              <w:end w:w="75" w:type="dxa"/>
            </w:tcMar>
          </w:tcPr>
          <w:p>
            <w:pPr>
              <w:spacing w:before="0" w:after="0" w:line="240" w:lineRule="auto"/>
            </w:pPr>
            <w:r>
              <w:rPr>
                <w:rFonts w:ascii="Inter" w:hAnsi="Inter"/>
                <w:b/>
                <w:color w:val="172033"/>
                <w:sz w:val="15"/>
              </w:rPr>
              <w:t>14</w:t>
            </w:r>
          </w:p>
        </w:tc>
        <w:tc>
          <w:tcPr>
            <w:tcW w:type="dxa" w:w="8784"/>
            <w:shd w:fill="F6F9FC"/>
            <w:vAlign w:val="center"/>
            <w:tcMar>
              <w:top w:w="55" w:type="dxa"/>
              <w:start w:w="75" w:type="dxa"/>
              <w:bottom w:w="55" w:type="dxa"/>
              <w:end w:w="75" w:type="dxa"/>
            </w:tcMar>
          </w:tcPr>
          <w:p>
            <w:pPr>
              <w:spacing w:before="0" w:after="0" w:line="240" w:lineRule="auto"/>
            </w:pPr>
            <w:r>
              <w:rPr>
                <w:rFonts w:ascii="Inter" w:hAnsi="Inter"/>
                <w:b w:val="0"/>
                <w:color w:val="172033"/>
                <w:sz w:val="15"/>
              </w:rPr>
              <w:t>AI-assisted insight inherits permission, cites sources, discloses assumptions and uncertainty, and never changes source records.</w:t>
            </w:r>
          </w:p>
        </w:tc>
      </w:tr>
      <w:tr>
        <w:trPr>
          <w:cantSplit/>
        </w:trPr>
        <w:tc>
          <w:tcPr>
            <w:tcW w:type="dxa" w:w="792"/>
            <w:vAlign w:val="center"/>
            <w:tcMar>
              <w:top w:w="55" w:type="dxa"/>
              <w:start w:w="75" w:type="dxa"/>
              <w:bottom w:w="55" w:type="dxa"/>
              <w:end w:w="75" w:type="dxa"/>
            </w:tcMar>
          </w:tcPr>
          <w:p>
            <w:pPr>
              <w:spacing w:before="0" w:after="0" w:line="240" w:lineRule="auto"/>
            </w:pPr>
            <w:r>
              <w:rPr>
                <w:rFonts w:ascii="Inter" w:hAnsi="Inter"/>
                <w:b/>
                <w:color w:val="172033"/>
                <w:sz w:val="15"/>
              </w:rPr>
              <w:t>15</w:t>
            </w:r>
          </w:p>
        </w:tc>
        <w:tc>
          <w:tcPr>
            <w:tcW w:type="dxa" w:w="8784"/>
            <w:vAlign w:val="center"/>
            <w:tcMar>
              <w:top w:w="55" w:type="dxa"/>
              <w:start w:w="75" w:type="dxa"/>
              <w:bottom w:w="55" w:type="dxa"/>
              <w:end w:w="75" w:type="dxa"/>
            </w:tcMar>
          </w:tcPr>
          <w:p>
            <w:pPr>
              <w:spacing w:before="0" w:after="0" w:line="240" w:lineRule="auto"/>
            </w:pPr>
            <w:r>
              <w:rPr>
                <w:rFonts w:ascii="Inter" w:hAnsi="Inter"/>
                <w:b w:val="0"/>
                <w:color w:val="172033"/>
                <w:sz w:val="15"/>
              </w:rPr>
              <w:t>Legacy report categories and output concepts are preserved only where valid and are modernized under the current architecture.</w:t>
            </w:r>
          </w:p>
        </w:tc>
      </w:tr>
    </w:tbl>
    <w:p>
      <w:pPr>
        <w:spacing w:after="80" w:line="259" w:lineRule="auto"/>
      </w:pPr>
    </w:p>
    <w:p>
      <w:pPr>
        <w:spacing w:before="360" w:after="80" w:line="259" w:lineRule="auto"/>
        <w:jc w:val="center"/>
      </w:pPr>
      <w:r>
        <w:rPr>
          <w:rFonts w:ascii="Inter" w:hAnsi="Inter"/>
          <w:b/>
          <w:color w:val="1A2D44"/>
          <w:sz w:val="20"/>
        </w:rPr>
        <w:t>END OF MDS-900</w:t>
      </w:r>
    </w:p>
    <w:p>
      <w:pPr>
        <w:spacing w:after="80" w:line="259" w:lineRule="auto"/>
        <w:jc w:val="center"/>
      </w:pPr>
      <w:r>
        <w:rPr>
          <w:rFonts w:ascii="Inter" w:hAnsi="Inter"/>
          <w:color w:val="667485"/>
          <w:sz w:val="17"/>
        </w:rPr>
        <w:t>Next planned specifications: MDS-1000 Master Registries and MDS-1100 Settings &amp; Administration.</w:t>
      </w:r>
    </w:p>
    <w:sectPr w:rsidR="00FC693F" w:rsidRPr="0006063C" w:rsidSect="00034616">
      <w:headerReference w:type="default" r:id="rId9"/>
      <w:footerReference w:type="default" r:id="rId10"/>
      <w:pgSz w:w="11906" w:h="16838"/>
      <w:pgMar w:top="822" w:right="822" w:bottom="822" w:left="822"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3420"/>
      <w:gridCol w:w="3420"/>
      <w:gridCol w:w="3420"/>
    </w:tblGrid>
    <w:tr>
      <w:tc>
        <w:tcPr>
          <w:tcW w:type="dxa" w:w="3240"/>
          <w:tcMar>
            <w:top w:w="0" w:type="dxa"/>
            <w:start w:w="0" w:type="dxa"/>
            <w:bottom w:w="0" w:type="dxa"/>
            <w:end w:w="0" w:type="dxa"/>
          </w:tcMar>
          <w:tcBorders>
            <w:top w:val="single" w:sz="4" w:color="B9C8D5"/>
          </w:tcBorders>
        </w:tcPr>
        <w:p>
          <w:pPr>
            <w:jc w:val="left"/>
          </w:pPr>
          <w:r>
            <w:rPr>
              <w:rFonts w:ascii="Inter" w:hAnsi="Inter" w:eastAsia="Inter"/>
              <w:color w:val="667485"/>
              <w:sz w:val="16"/>
            </w:rPr>
            <w:t>SimpleBIZ Systems</w:t>
          </w:r>
        </w:p>
      </w:tc>
      <w:tc>
        <w:tcPr>
          <w:tcW w:type="dxa" w:w="3096"/>
          <w:tcMar>
            <w:top w:w="0" w:type="dxa"/>
            <w:start w:w="0" w:type="dxa"/>
            <w:bottom w:w="0" w:type="dxa"/>
            <w:end w:w="0" w:type="dxa"/>
          </w:tcMar>
          <w:tcBorders>
            <w:top w:val="single" w:sz="4" w:color="B9C8D5"/>
          </w:tcBorders>
        </w:tcPr>
        <w:p>
          <w:pPr>
            <w:jc w:val="center"/>
          </w:pPr>
          <w:r>
            <w:rPr>
              <w:rFonts w:ascii="Inter" w:hAnsi="Inter"/>
              <w:color w:val="667485"/>
              <w:sz w:val="17"/>
            </w:rPr>
            <w:t xml:space="preserve">Page </w:t>
          </w:r>
          <w:r>
            <w:fldChar w:fldCharType="begin"/>
            <w:instrText xml:space="preserve"> PAGE </w:instrText>
            <w:fldChar w:fldCharType="separate"/>
            <w:t>1</w:t>
            <w:fldChar w:fldCharType="end"/>
          </w:r>
        </w:p>
      </w:tc>
      <w:tc>
        <w:tcPr>
          <w:tcW w:type="dxa" w:w="3240"/>
          <w:tcMar>
            <w:top w:w="0" w:type="dxa"/>
            <w:start w:w="0" w:type="dxa"/>
            <w:bottom w:w="0" w:type="dxa"/>
            <w:end w:w="0" w:type="dxa"/>
          </w:tcMar>
          <w:tcBorders>
            <w:top w:val="single" w:sz="4" w:color="B9C8D5"/>
          </w:tcBorders>
        </w:tcPr>
        <w:p>
          <w:pPr>
            <w:jc w:val="right"/>
          </w:pPr>
          <w:r>
            <w:rPr>
              <w:rFonts w:ascii="Inter" w:hAnsi="Inter" w:eastAsia="Inter"/>
              <w:color w:val="667485"/>
              <w:sz w:val="16"/>
            </w:rPr>
            <w:t>MDS-900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5131"/>
      <w:gridCol w:w="5131"/>
    </w:tblGrid>
    <w:tr>
      <w:tc>
        <w:tcPr>
          <w:tcW w:type="dxa" w:w="6048"/>
          <w:tcMar>
            <w:top w:w="0" w:type="dxa"/>
            <w:start w:w="0" w:type="dxa"/>
            <w:bottom w:w="0" w:type="dxa"/>
            <w:end w:w="0" w:type="dxa"/>
          </w:tcMar>
          <w:tcBorders>
            <w:bottom w:val="single" w:sz="4" w:color="B9C8D5"/>
          </w:tcBorders>
          <w:vAlign w:val="center"/>
        </w:tcPr>
        <w:p>
          <w:pPr>
            <w:spacing w:after="40"/>
            <w:jc w:val="left"/>
          </w:pPr>
          <w:r>
            <w:rPr>
              <w:rFonts w:ascii="Inter" w:hAnsi="Inter" w:eastAsia="Inter"/>
              <w:b/>
              <w:color w:val="1A2D44"/>
              <w:sz w:val="17"/>
            </w:rPr>
            <w:t>SimpleBIZ</w:t>
          </w:r>
          <w:r>
            <w:rPr>
              <w:rFonts w:ascii="Inter" w:hAnsi="Inter" w:eastAsia="Inter"/>
              <w:b/>
              <w:color w:val="1A2D44"/>
              <w:sz w:val="17"/>
            </w:rPr>
            <w:t xml:space="preserve">  |  Module Design Specification</w:t>
          </w:r>
        </w:p>
      </w:tc>
      <w:tc>
        <w:tcPr>
          <w:tcW w:type="dxa" w:w="3528"/>
          <w:tcMar>
            <w:top w:w="0" w:type="dxa"/>
            <w:start w:w="0" w:type="dxa"/>
            <w:bottom w:w="0" w:type="dxa"/>
            <w:end w:w="0" w:type="dxa"/>
          </w:tcMar>
          <w:tcBorders>
            <w:bottom w:val="single" w:sz="4" w:color="B9C8D5"/>
          </w:tcBorders>
          <w:vAlign w:val="center"/>
        </w:tcPr>
        <w:p>
          <w:pPr>
            <w:jc w:val="right"/>
          </w:pPr>
          <w:r>
            <w:rPr>
              <w:rFonts w:ascii="Inter" w:hAnsi="Inter" w:eastAsia="Inter"/>
              <w:color w:val="667485"/>
              <w:sz w:val="17"/>
            </w:rPr>
            <w:t>MDS-900  |  v1.0  |  For Review</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Inter" w:hAnsi="Inter" w:eastAsia="Inter"/>
      <w:color w:val="1720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Inter Display" w:hAnsi="Inter Display" w:eastAsia="Inter Display"/>
      <w:b/>
      <w:bCs/>
      <w:color w:val="2F78B7"/>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Inter" w:hAnsi="Inter" w:eastAsia="Inter"/>
      <w:b/>
      <w:bCs/>
      <w:color w:val="1A2D44"/>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Inter" w:hAnsi="Inter" w:eastAsia="Inter"/>
      <w:b/>
      <w:bCs/>
      <w:color w:val="1A2D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12" w:hanging="142"/>
      <w:contextualSpacing/>
    </w:pPr>
    <w:rPr>
      <w:rFonts w:ascii="Inter" w:hAnsi="Inte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312" w:hanging="142"/>
      <w:contextualSpacing/>
    </w:pPr>
    <w:rPr>
      <w:rFonts w:ascii="Inter" w:hAnsi="Inte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B">
    <w:name w:val="Title SB"/>
    <w:pPr>
      <w:keepNext/>
      <w:spacing w:before="0" w:after="100"/>
    </w:pPr>
    <w:rPr>
      <w:rFonts w:ascii="Inter Display" w:hAnsi="Inter Display" w:eastAsia="Inter Display"/>
      <w:b/>
      <w:color w:val="1A2D44"/>
      <w:sz w:val="60"/>
    </w:rPr>
  </w:style>
  <w:style w:type="paragraph" w:customStyle="1" w:styleId="SubtitleSB">
    <w:name w:val="Subtitle SB"/>
    <w:pPr>
      <w:keepNext/>
      <w:spacing w:before="0" w:after="100"/>
    </w:pPr>
    <w:rPr>
      <w:rFonts w:ascii="Inter" w:hAnsi="Inter" w:eastAsia="Inter"/>
      <w:b w:val="0"/>
      <w:color w:val="667485"/>
      <w:sz w:val="26"/>
    </w:rPr>
  </w:style>
  <w:style w:type="paragraph" w:customStyle="1" w:styleId="PartTitle">
    <w:name w:val="Part Title"/>
    <w:pPr>
      <w:spacing w:before="0" w:after="100"/>
    </w:pPr>
    <w:rPr>
      <w:rFonts w:ascii="Inter" w:hAnsi="Inter" w:eastAsia="Inter"/>
      <w:b/>
      <w:color w:val="667485"/>
      <w:sz w:val="20"/>
    </w:rPr>
  </w:style>
  <w:style w:type="paragraph" w:customStyle="1" w:styleId="PartName">
    <w:name w:val="Part Name"/>
    <w:pPr>
      <w:spacing w:before="0" w:after="100"/>
    </w:pPr>
    <w:rPr>
      <w:rFonts w:ascii="Inter Display" w:hAnsi="Inter Display" w:eastAsia="Inter Display"/>
      <w:b/>
      <w:color w:val="2F78B7"/>
      <w:sz w:val="50"/>
    </w:rPr>
  </w:style>
  <w:style w:type="paragraph" w:customStyle="1" w:styleId="PartSubtitle">
    <w:name w:val="Part Subtitle"/>
    <w:pPr>
      <w:spacing w:before="0" w:after="100"/>
    </w:pPr>
    <w:rPr>
      <w:rFonts w:ascii="Inter" w:hAnsi="Inter" w:eastAsia="Inter"/>
      <w:b w:val="0"/>
      <w:color w:val="667485"/>
      <w:sz w:val="22"/>
    </w:rPr>
  </w:style>
  <w:style w:type="paragraph" w:customStyle="1" w:styleId="SmallLabel">
    <w:name w:val="Small Label"/>
    <w:pPr>
      <w:keepNext/>
      <w:spacing w:before="0" w:after="100"/>
    </w:pPr>
    <w:rPr>
      <w:rFonts w:ascii="Inter" w:hAnsi="Inter" w:eastAsia="Inter"/>
      <w:b/>
      <w:color w:val="667485"/>
      <w:sz w:val="16"/>
    </w:rPr>
  </w:style>
  <w:style w:type="paragraph" w:customStyle="1" w:styleId="Callout">
    <w:name w:val="Callout"/>
    <w:pPr>
      <w:keepNext/>
      <w:spacing w:before="0" w:after="100"/>
    </w:pPr>
    <w:rPr>
      <w:rFonts w:ascii="Inter" w:hAnsi="Inter" w:eastAsia="Inter"/>
      <w:b w:val="0"/>
      <w:color w:val="1A2D4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MDS-900 Reports &amp; Analytics Module Design Specification v1.0</dc:title>
  <dc:subject>SimpleBIZ One Reports &amp; Analytics module design</dc:subject>
  <dc:creator>SimpleBIZ Systems</dc:creator>
  <cp:keywords>SimpleBIZ, MDS-900, Reports, Analytics, Reporting, Business Intelligence</cp:keywords>
  <dc:description>For Review - 31 July 2026</dc:description>
  <cp:lastModifiedBy/>
  <cp:revision>1</cp:revision>
  <dcterms:created xsi:type="dcterms:W3CDTF">2013-12-23T23:15:00Z</dcterms:created>
  <dcterms:modified xsi:type="dcterms:W3CDTF">2013-12-23T23:15:00Z</dcterms:modified>
  <cp:category/>
</cp:coreProperties>
</file>