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Xfc94c761c63f66aa7f3ef2d1aaffa30fcea8ade"/>
      <w:r>
        <w:rPr/>
        <w:t>Ideas from 28 March 2026 Claude Code Session</w:t>
      </w:r>
    </w:p>
    <w:p>
      <w:pPr>
        <w:pStyle w:val="FirstParagraph"/>
        <w:rPr/>
      </w:pPr>
      <w:r>
        <w:rPr>
          <w:i/>
          <w:iCs/>
        </w:rPr>
        <w:t>Summary for pondering — not a formal document</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coastality-as-edop-extension"/>
      <w:r>
        <w:rPr/>
        <w:t>1. Coastality as EDOP Extension</w:t>
      </w:r>
    </w:p>
    <w:p>
      <w:pPr>
        <w:pStyle w:val="FirstParagraph"/>
        <w:rPr/>
      </w:pPr>
      <w:r>
        <w:rPr/>
        <w:t>The conversation started from a Bluesky thread about ocean biomass being concentrated near coasts, which raised the question of whether EDOP signatures could characterize a location’s “coastality.” A GPT-generated document (“Coastality Dimension Set”) proposed a set of variables organized into groups: coastal adjacency, hydrologic connectivity, oceanographic context, and human-relevant coastality.</w:t>
      </w:r>
    </w:p>
    <w:p>
      <w:pPr>
        <w:pStyle w:val="TextBody"/>
        <w:rPr/>
      </w:pPr>
      <w:r>
        <w:rPr>
          <w:b/>
          <w:bCs/>
        </w:rPr>
        <w:t>The key assessment:</w:t>
      </w:r>
      <w:r>
        <w:rPr/>
        <w:t xml:space="preserve"> the document conflates two different things:</w:t>
      </w:r>
    </w:p>
    <w:p>
      <w:pPr>
        <w:pStyle w:val="TextBody"/>
        <w:rPr/>
      </w:pPr>
      <w:r>
        <w:rPr>
          <w:b/>
          <w:bCs/>
        </w:rPr>
        <w:t>What’s already there (or nearly so):</w:t>
      </w:r>
      <w:r>
        <w:rPr/>
        <w:t xml:space="preserve"> The hydrologic connectivity variables — basin outlet type (endorheic vs. exorheic), flow distance to marine outlet (</w:t>
      </w:r>
      <w:r>
        <w:rPr>
          <w:rStyle w:val="VerbatimChar"/>
        </w:rPr>
        <w:t>dist_sink</w:t>
      </w:r>
      <w:r>
        <w:rPr/>
        <w:t xml:space="preserve">), downstream discharge — are largely the </w:t>
      </w:r>
      <w:r>
        <w:rPr>
          <w:i/>
          <w:iCs/>
        </w:rPr>
        <w:t>downstream mirror</w:t>
      </w:r>
      <w:r>
        <w:rPr/>
        <w:t xml:space="preserve"> of the upstream topology work already underway. The </w:t>
      </w:r>
      <w:r>
        <w:rPr>
          <w:rStyle w:val="VerbatimChar"/>
        </w:rPr>
        <w:t>endo</w:t>
      </w:r>
      <w:r>
        <w:rPr/>
        <w:t xml:space="preserve"> flag and </w:t>
      </w:r>
      <w:r>
        <w:rPr>
          <w:rStyle w:val="VerbatimChar"/>
        </w:rPr>
        <w:t>dist_sink</w:t>
      </w:r>
      <w:r>
        <w:rPr/>
        <w:t xml:space="preserve"> already exist in </w:t>
      </w:r>
      <w:r>
        <w:rPr>
          <w:rStyle w:val="VerbatimChar"/>
        </w:rPr>
        <w:t>basin08</w:t>
      </w:r>
      <w:r>
        <w:rPr/>
        <w:t xml:space="preserve"> but aren’t surfaced in the signature payload. Adding them is a small lift and frames coastality as completing a directional structure: </w:t>
      </w:r>
      <w:r>
        <w:rPr>
          <w:i/>
          <w:iCs/>
        </w:rPr>
        <w:t>upstream exposure → local conditions → downstream drainage distance to the terminal marine attractor</w:t>
      </w:r>
      <w:r>
        <w:rPr/>
        <w:t>. This belongs in the existing s/u duality discussion, not as a separate module.</w:t>
      </w:r>
    </w:p>
    <w:p>
      <w:pPr>
        <w:pStyle w:val="TextBody"/>
        <w:rPr/>
      </w:pPr>
      <w:r>
        <w:rPr>
          <w:b/>
          <w:bCs/>
        </w:rPr>
        <w:t>What’s genuinely new scope:</w:t>
      </w:r>
      <w:r>
        <w:rPr/>
        <w:t xml:space="preserve"> Oceanographic variables (SST, chlorophyll-a, upwelling regimes) require external datasets (NOAA, NASA Ocean Color, GEBCO) and are a legitimate research extension — but closer to marine GIS than EDOP’s basin-graph approach. Phase 3 territory.</w:t>
      </w:r>
    </w:p>
    <w:p>
      <w:pPr>
        <w:pStyle w:val="TextBody"/>
        <w:rPr/>
      </w:pPr>
      <w:r>
        <w:rPr>
          <w:b/>
          <w:bCs/>
        </w:rPr>
        <w:t>One easy addition:</w:t>
      </w:r>
      <w:r>
        <w:rPr/>
        <w:t xml:space="preserve"> Euclidean distance to nearest coastline (</w:t>
      </w:r>
      <w:r>
        <w:rPr>
          <w:rStyle w:val="VerbatimChar"/>
        </w:rPr>
        <w:t>dist_coast</w:t>
      </w:r>
      <w:r>
        <w:rPr/>
        <w:t xml:space="preserve">) via GSHHG or Natural Earth — a single </w:t>
      </w:r>
      <w:r>
        <w:rPr>
          <w:rStyle w:val="VerbatimChar"/>
        </w:rPr>
        <w:t>ST_Distance</w:t>
      </w:r>
      <w:r>
        <w:rPr/>
        <w:t xml:space="preserve"> computation, absent and easy to add.</w:t>
      </w:r>
    </w:p>
    <w:p>
      <w:pPr>
        <w:pStyle w:val="TextBody"/>
        <w:rPr/>
      </w:pPr>
      <w:r>
        <w:rPr>
          <w:b/>
          <w:bCs/>
        </w:rPr>
        <w:t>Patagonia as worked example:</w:t>
      </w:r>
      <w:r>
        <w:rPr/>
        <w:t xml:space="preserve"> The interior is sparse (high aridity </w:t>
      </w:r>
      <w:r>
        <w:rPr>
          <w:rStyle w:val="VerbatimChar"/>
        </w:rPr>
        <w:t>s</w:t>
      </w:r>
      <w:r>
        <w:rPr/>
        <w:t xml:space="preserve"> and </w:t>
      </w:r>
      <w:r>
        <w:rPr>
          <w:rStyle w:val="VerbatimChar"/>
        </w:rPr>
        <w:t>u</w:t>
      </w:r>
      <w:r>
        <w:rPr/>
        <w:t>, low discharge — all in EDOP). The coast off it is extraordinarily rich. EDOP’s terrestrial signature can already characterize that contrast. The marine productivity side (Malvinas/Humboldt upwelling) is the gap — and that gap is what makes the Fuegian settlement a predictive anomaly worth explaining.</w:t>
      </w:r>
    </w:p>
    <w:p>
      <w:pPr>
        <w:pStyle w:val="Normal"/>
        <w:rPr/>
      </w:pPr>
      <w:bookmarkStart w:id="2" w:name="coastality-as-edop-extension"/>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Xcca587559f671d91bab51fd8013729b1bf519a2"/>
      <w:r>
        <w:rPr/>
        <w:t>2. Settlement Prediction as the Primary EDOP Use Case</w:t>
      </w:r>
    </w:p>
    <w:p>
      <w:pPr>
        <w:pStyle w:val="FirstParagraph"/>
        <w:rPr/>
      </w:pPr>
      <w:r>
        <w:rPr/>
        <w:t>This emerged as arguably the central scientific application the EDOP architecture has been building toward — the operational form of the “bounded possibility spaces” framing in the outline.</w:t>
      </w:r>
    </w:p>
    <w:p>
      <w:pPr>
        <w:pStyle w:val="TextBody"/>
        <w:rPr/>
      </w:pPr>
      <w:r>
        <w:rPr>
          <w:b/>
          <w:bCs/>
        </w:rPr>
        <w:t>The methodological family:</w:t>
      </w:r>
      <w:r>
        <w:rPr/>
        <w:t xml:space="preserve"> Species distribution modeling (MaxEnt, logistic regression on environmental covariates → P(presence)), applied to human settlement. Conventional predictive archaeological site modeling uses 3–5 variables (distance to water, slope, soil type). EDOP would do this with a much richer signature and one structural advantage existing models lack: the </w:t>
      </w:r>
      <w:r>
        <w:rPr>
          <w:b/>
          <w:bCs/>
        </w:rPr>
        <w:t>s/u duality</w:t>
      </w:r>
      <w:r>
        <w:rPr/>
        <w:t>.</w:t>
      </w:r>
    </w:p>
    <w:p>
      <w:pPr>
        <w:pStyle w:val="TextBody"/>
        <w:rPr/>
      </w:pPr>
      <w:r>
        <w:rPr>
          <w:b/>
          <w:bCs/>
        </w:rPr>
        <w:t>Why the s/u duality matters enormously here:</w:t>
      </w:r>
      <w:r>
        <w:rPr/>
        <w:t xml:space="preserve"> A predictive model using only local conditions would wildly underestimate settlement potential for Mesopotamia, Egypt, the Indus, the Yellow River — environments where local aridity is high but upstream catchments deliver water, sediment, and nutrients from distant highlands. High s/u divergence in aridity or discharge is itself a predictor: it marks places where environmental richness is </w:t>
      </w:r>
      <w:r>
        <w:rPr>
          <w:i/>
          <w:iCs/>
        </w:rPr>
        <w:t>delivered</w:t>
      </w:r>
      <w:r>
        <w:rPr/>
        <w:t xml:space="preserve"> rather than local — the signature of alluvial civilizations. The model would find these as “overperformers” relative to local conditions alone, and that’s not a failure — it’s the model telling you something true.</w:t>
      </w:r>
    </w:p>
    <w:p>
      <w:pPr>
        <w:pStyle w:val="TextBody"/>
        <w:rPr/>
      </w:pPr>
      <w:r>
        <w:rPr>
          <w:b/>
          <w:bCs/>
        </w:rPr>
        <w:t>The anomaly frame — two directions:</w:t>
      </w:r>
    </w:p>
    <w:p>
      <w:pPr>
        <w:pStyle w:val="Normal"/>
        <w:numPr>
          <w:ilvl w:val="0"/>
          <w:numId w:val="1"/>
        </w:numPr>
        <w:rPr/>
      </w:pPr>
      <w:r>
        <w:rPr>
          <w:b/>
          <w:bCs/>
        </w:rPr>
        <w:t>Underperformers:</w:t>
      </w:r>
      <w:r>
        <w:rPr/>
        <w:t xml:space="preserve"> favorable signature, no settlement → possible undiscovered sites (the CRM archaeological prediction use case), or genuine cultural absence (why? barrier? competitive exclusion? missing diffusion network?), or missing variable in the signature (Patagonia: marine resources compensating for harsh terrestrial conditions)</w:t>
      </w:r>
    </w:p>
    <w:p>
      <w:pPr>
        <w:pStyle w:val="Normal"/>
        <w:numPr>
          <w:ilvl w:val="0"/>
          <w:numId w:val="1"/>
        </w:numPr>
        <w:rPr/>
      </w:pPr>
      <w:r>
        <w:rPr>
          <w:b/>
          <w:bCs/>
        </w:rPr>
        <w:t>Overperformers:</w:t>
      </w:r>
      <w:r>
        <w:rPr/>
        <w:t xml:space="preserve"> unfavorable signature, dense settlement → strategic rationale overrides environmental optimization (defensive position, trade node), cultural/ideological factors (sacred sites), microclimate or localized resource not captured, historical contingency</w:t>
      </w:r>
    </w:p>
    <w:p>
      <w:pPr>
        <w:pStyle w:val="FirstParagraph"/>
        <w:rPr/>
      </w:pPr>
      <w:r>
        <w:rPr/>
        <w:t xml:space="preserve">Both have historiographical value but they’re different kinds of value. The </w:t>
      </w:r>
      <w:r>
        <w:rPr>
          <w:b/>
          <w:bCs/>
        </w:rPr>
        <w:t>residual</w:t>
      </w:r>
      <w:r>
        <w:rPr/>
        <w:t xml:space="preserve"> (actual settlement − predicted settlement) is the unit of analysis — that’s where the intellectual action is.</w:t>
      </w:r>
    </w:p>
    <w:p>
      <w:pPr>
        <w:pStyle w:val="TextBody"/>
        <w:rPr/>
      </w:pPr>
      <w:r>
        <w:rPr>
          <w:b/>
          <w:bCs/>
        </w:rPr>
        <w:t>Important distinction:</w:t>
      </w:r>
      <w:r>
        <w:rPr/>
        <w:t xml:space="preserve"> </w:t>
      </w:r>
      <w:r>
        <w:rPr>
          <w:i/>
          <w:iCs/>
        </w:rPr>
        <w:t>Settlement</w:t>
      </w:r>
      <w:r>
        <w:rPr/>
        <w:t xml:space="preserve"> and </w:t>
      </w:r>
      <w:r>
        <w:rPr>
          <w:i/>
          <w:iCs/>
        </w:rPr>
        <w:t>occupation</w:t>
      </w:r>
      <w:r>
        <w:rPr/>
        <w:t xml:space="preserve"> are different things. EDOP’s model would predict that fixed permanent settlements were unlikely on the Eurasian steppe — and they were. The steppe was occupied, intensively, by mobile pastoralists. The model characterizes </w:t>
      </w:r>
      <w:r>
        <w:rPr>
          <w:i/>
          <w:iCs/>
        </w:rPr>
        <w:t>sedentary agricultural affordance</w:t>
      </w:r>
      <w:r>
        <w:rPr/>
        <w:t xml:space="preserve"> more than human presence generally. Mobile pastoralist and hunter-gatherer land use is systematically underrepresented in sedentary archaeological records, which means the training signal for settlement prediction is already biased toward one subsistence mode. The anomalies would cluster around environments where non-sedentary strategies were most viable — which is exactly the interpretively interesting population.</w:t>
      </w:r>
    </w:p>
    <w:p>
      <w:pPr>
        <w:pStyle w:val="TextBody"/>
        <w:rPr/>
      </w:pPr>
      <w:r>
        <w:rPr>
          <w:b/>
          <w:bCs/>
        </w:rPr>
        <w:t>Scale sensitivity matters more here than anywhere else:</w:t>
      </w:r>
      <w:r>
        <w:rPr/>
        <w:t xml:space="preserve"> Hunter-gatherer territories → Level 10 basins. Agrarian city-states → Level 06/07. The settlement data could serve as the scale calibration criterion: which basin level maximizes predictive accuracy for which types of societies? Clean methodological contribution independent of the historical findings.</w:t>
      </w:r>
    </w:p>
    <w:p>
      <w:pPr>
        <w:pStyle w:val="Normal"/>
        <w:rPr/>
      </w:pPr>
      <w:bookmarkStart w:id="4" w:name="Xcca587559f671d91bab51fd8013729b1bf519a2"/>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edopcdop-division-of-labor-clarified"/>
      <w:r>
        <w:rPr/>
        <w:t>3. EDOP/CDOP Division of Labor (Clarified)</w:t>
      </w:r>
    </w:p>
    <w:p>
      <w:pPr>
        <w:pStyle w:val="FirstParagraph"/>
        <w:rPr/>
      </w:pPr>
      <w:r>
        <w:rPr/>
        <w:t xml:space="preserve">The settlement prediction use case is </w:t>
      </w:r>
      <w:r>
        <w:rPr>
          <w:b/>
          <w:bCs/>
        </w:rPr>
        <w:t>entirely EDOP territory</w:t>
      </w:r>
      <w:r>
        <w:rPr/>
        <w:t xml:space="preserve"> — it’s a binary threshold question about whether the environment crosses the minimum bar for sustained human occupation. No cultural data required.</w:t>
      </w:r>
    </w:p>
    <w:p>
      <w:pPr>
        <w:pStyle w:val="TextBody"/>
        <w:rPr/>
      </w:pPr>
      <w:r>
        <w:rPr/>
        <w:t xml:space="preserve">The logical sequence: 1. EDOP establishes that signatures predict settlement presence/absence (globally applicable, not period-specific, avoids environmental determinism claims) 2. This proves that signatures capture something real about environmental affordance 3. CDOP then studies cultural variation </w:t>
      </w:r>
      <w:r>
        <w:rPr>
          <w:i/>
          <w:iCs/>
        </w:rPr>
        <w:t>within</w:t>
      </w:r>
      <w:r>
        <w:rPr/>
        <w:t xml:space="preserve"> the space of realized settlements — conditioned on the occupancy threshold</w:t>
      </w:r>
    </w:p>
    <w:p>
      <w:pPr>
        <w:pStyle w:val="TextBody"/>
        <w:rPr/>
      </w:pPr>
      <w:r>
        <w:rPr/>
        <w:t>This two-stage structure is a cleaner argument against environmental determinism than simply disclaiming it. CDOP studies variation among places that cleared the threshold — making explicit that environment constrains but doesn’t determine cultural form.</w:t>
      </w:r>
    </w:p>
    <w:p>
      <w:pPr>
        <w:pStyle w:val="Normal"/>
        <w:rPr/>
      </w:pPr>
      <w:bookmarkStart w:id="6" w:name="edopcdop-division-of-labor-clarified"/>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2"/>
        <w:rPr/>
      </w:pPr>
      <w:bookmarkStart w:id="7" w:name="the-steppegrassland-parallel"/>
      <w:r>
        <w:rPr/>
        <w:t>4. The Steppe/Grassland Parallel</w:t>
      </w:r>
    </w:p>
    <w:p>
      <w:pPr>
        <w:pStyle w:val="FirstParagraph"/>
        <w:rPr/>
      </w:pPr>
      <w:r>
        <w:rPr/>
        <w:t>The Eurasian steppe and the North American Plains have similar environmental signatures (seasonal temperature extremes, low and irregular precipitation, vast open terrain, low agricultural potential) and show convergent cultural transformations once horse technology became available — rapidly in North America (post-1700, observable over 2–3 generations), after millennia of development in Eurasia.</w:t>
      </w:r>
    </w:p>
    <w:p>
      <w:pPr>
        <w:pStyle w:val="TextBody"/>
        <w:rPr/>
      </w:pPr>
      <w:r>
        <w:rPr/>
        <w:t>This comparison illustrates what EDOP can do structurally: establish that two regions share an environmental signature, then ask whether cultures in those regions show convergent responses. The Plains case lets you see what the same environmental affordance looks like at generation 2–3 vs. after centuries of institutional accumulation (Mongol empire). The temporal cross-section separates fast-responding cultural dimensions (subsistence, military, material) from slow-responding ones (cosmology, political complexity).</w:t>
      </w:r>
    </w:p>
    <w:p>
      <w:pPr>
        <w:pStyle w:val="TextBody"/>
        <w:rPr/>
      </w:pPr>
      <w:r>
        <w:rPr>
          <w:b/>
          <w:bCs/>
        </w:rPr>
        <w:t>Recommended reading for the comparison:</w:t>
      </w:r>
      <w:r>
        <w:rPr/>
        <w:t xml:space="preserve"> - Hämäläinen, </w:t>
      </w:r>
      <w:r>
        <w:rPr>
          <w:i/>
          <w:iCs/>
        </w:rPr>
        <w:t>The Comanche Empire</w:t>
      </w:r>
      <w:r>
        <w:rPr/>
        <w:t xml:space="preserve"> (2008) and </w:t>
      </w:r>
      <w:r>
        <w:rPr>
          <w:i/>
          <w:iCs/>
        </w:rPr>
        <w:t>Lakota America</w:t>
      </w:r>
      <w:r>
        <w:rPr/>
        <w:t xml:space="preserve"> (2019) - Elliott West, </w:t>
      </w:r>
      <w:r>
        <w:rPr>
          <w:i/>
          <w:iCs/>
        </w:rPr>
        <w:t>The Contested Plains</w:t>
      </w:r>
      <w:r>
        <w:rPr/>
        <w:t xml:space="preserve"> (1998) — takes landscape seriously as an actor - David Anthony, </w:t>
      </w:r>
      <w:r>
        <w:rPr>
          <w:i/>
          <w:iCs/>
        </w:rPr>
        <w:t>The Horse, the Wheel, and Language</w:t>
      </w:r>
      <w:r>
        <w:rPr/>
        <w:t xml:space="preserve"> (2007) — horse domestication on the Pontic steppe</w:t>
      </w:r>
    </w:p>
    <w:p>
      <w:pPr>
        <w:pStyle w:val="Normal"/>
        <w:rPr/>
      </w:pPr>
      <w:bookmarkStart w:id="8" w:name="the-steppegrassland-parallel"/>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rPr/>
      </w:pPr>
      <w:bookmarkStart w:id="9" w:name="the-infrastructure-builders-position"/>
      <w:r>
        <w:rPr/>
        <w:t>5. The Infrastructure Builder’s Position</w:t>
      </w:r>
    </w:p>
    <w:p>
      <w:pPr>
        <w:pStyle w:val="FirstParagraph"/>
        <w:rPr/>
      </w:pPr>
      <w:r>
        <w:rPr/>
        <w:t>A recurring tension: KG’s comparative and global vantage point vs. the deep contextual expertise historians bring to specific places and periods. The resolution articulated:</w:t>
      </w:r>
    </w:p>
    <w:p>
      <w:pPr>
        <w:pStyle w:val="Compact"/>
        <w:numPr>
          <w:ilvl w:val="0"/>
          <w:numId w:val="4"/>
        </w:numPr>
        <w:rPr/>
      </w:pPr>
      <w:r>
        <w:rPr>
          <w:b/>
          <w:bCs/>
        </w:rPr>
        <w:t>What EDOP can do:</w:t>
      </w:r>
      <w:r>
        <w:rPr/>
        <w:t xml:space="preserve"> establish the environmental baseline globally and systematically; show which signatures cluster together with precision; produce the spatial comparison that cultural comparison needs as a foundation</w:t>
      </w:r>
    </w:p>
    <w:p>
      <w:pPr>
        <w:pStyle w:val="Compact"/>
        <w:numPr>
          <w:ilvl w:val="0"/>
          <w:numId w:val="5"/>
        </w:numPr>
        <w:rPr/>
      </w:pPr>
      <w:r>
        <w:rPr>
          <w:b/>
          <w:bCs/>
        </w:rPr>
        <w:t>What it can’t do alone:</w:t>
      </w:r>
      <w:r>
        <w:rPr/>
        <w:t xml:space="preserve"> interpret the cultural evidence; adjudicate claims against ethnographic and mythological records</w:t>
      </w:r>
    </w:p>
    <w:p>
      <w:pPr>
        <w:pStyle w:val="Compact"/>
        <w:numPr>
          <w:ilvl w:val="0"/>
          <w:numId w:val="6"/>
        </w:numPr>
        <w:rPr/>
      </w:pPr>
      <w:r>
        <w:rPr>
          <w:b/>
          <w:bCs/>
        </w:rPr>
        <w:t>The appropriate framing:</w:t>
      </w:r>
      <w:r>
        <w:rPr/>
        <w:t xml:space="preserve"> “Here is an infrastructure that enables a new class of questions” — the tool-builder becomes co-author on application papers rather than trying to master every domain the tool touches</w:t>
      </w:r>
    </w:p>
    <w:p>
      <w:pPr>
        <w:pStyle w:val="FirstParagraph"/>
        <w:rPr/>
      </w:pPr>
      <w:r>
        <w:rPr/>
        <w:t>The more honest description of the project: a geographer with deep technical capacity and broad humanistic curiosity building a global environmental characterization system, finding patterns in it, and asking questions the patterns suggest — some naive, some pointing at something real, some unanswerable without collaborators who haven’t appeared yet. This is how generative work often starts.</w:t>
      </w:r>
    </w:p>
    <w:p>
      <w:pPr>
        <w:pStyle w:val="TextBody"/>
        <w:rPr/>
      </w:pPr>
      <w:r>
        <w:rPr>
          <w:b/>
          <w:bCs/>
        </w:rPr>
        <w:t>Key priority:</w:t>
      </w:r>
      <w:r>
        <w:rPr/>
        <w:t xml:space="preserve"> </w:t>
      </w:r>
      <w:r>
        <w:rPr>
          <w:i/>
          <w:iCs/>
        </w:rPr>
        <w:t>Get the signature solid.</w:t>
      </w:r>
      <w:r>
        <w:rPr/>
        <w:t xml:space="preserve"> The CDOP explorations in the meantime are reconnaissance, not commitment.</w:t>
      </w:r>
    </w:p>
    <w:p>
      <w:pPr>
        <w:pStyle w:val="Normal"/>
        <w:rPr/>
      </w:pPr>
      <w:bookmarkStart w:id="10" w:name="the-infrastructure-builders-posi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p>
    <w:p>
      <w:pPr>
        <w:pStyle w:val="Heading2"/>
        <w:rPr/>
      </w:pPr>
      <w:bookmarkStart w:id="11" w:name="the-collective-unconscious-question"/>
      <w:r>
        <w:rPr/>
        <w:t>6. The Collective Unconscious Question</w:t>
      </w:r>
    </w:p>
    <w:p>
      <w:pPr>
        <w:pStyle w:val="FirstParagraph"/>
        <w:rPr/>
      </w:pPr>
      <w:r>
        <w:rPr/>
        <w:t>KG’s long-stated motivation: prove (or disprove) the existence of a collective unconscious — a compression of the question of whether conceptual frames and symbolic structures are shared across cultures independent of proximity and diffusion.</w:t>
      </w:r>
    </w:p>
    <w:p>
      <w:pPr>
        <w:pStyle w:val="TextBody"/>
        <w:rPr/>
      </w:pPr>
      <w:r>
        <w:rPr>
          <w:b/>
          <w:bCs/>
        </w:rPr>
        <w:t>The snake example:</w:t>
      </w:r>
      <w:r>
        <w:rPr/>
        <w:t xml:space="preserve"> Ophidiophobia documented across cultures with no snake contact, in infants before learning opportunity, with a specificity (snakes and spider-like things, not other animals) pointing to an evolved threat-detection module rather than cultural transmission. Humans acquire snake fear faster than fear of guns (Öhman and Mineka’s prepared learning work).</w:t>
      </w:r>
    </w:p>
    <w:p>
      <w:pPr>
        <w:pStyle w:val="TextBody"/>
        <w:rPr/>
      </w:pPr>
      <w:r>
        <w:rPr>
          <w:b/>
          <w:bCs/>
        </w:rPr>
        <w:t>The mechanism question:</w:t>
      </w:r>
      <w:r>
        <w:rPr/>
        <w:t xml:space="preserve"> Jung’s version is usually dismissed as mysticism because he had no mechanism. Two tractable mechanisms now: 1. Shared neurology: symbolic systems built on similar cognitive architecture processing similar existential problems (threat, death, food, social order) will converge structurally 2. Shared environmental problems: independent symbolic solutions to the same universal problem set will show structural convergence</w:t>
      </w:r>
    </w:p>
    <w:p>
      <w:pPr>
        <w:pStyle w:val="TextBody"/>
        <w:rPr/>
      </w:pPr>
      <w:r>
        <w:rPr>
          <w:b/>
          <w:bCs/>
        </w:rPr>
        <w:t>Where EDOP connects:</w:t>
      </w:r>
      <w:r>
        <w:rPr/>
        <w:t xml:space="preserve"> Environmental signatures provide a way to partially control for the third explanation (shared environment). If cultures with matched environmental signatures show convergent symbolic structures more often than cultures with divergent signatures, that’s evidence for the environmental channel. The grassland cosmology hypothesis: sky-orientation, wind animism, ancestor spirits untethered from fixed place — arising independently on Eurasian steppe and North American Plains because the environment itself generates similar cognitive and symbolic orientations in populations living in it long enough.</w:t>
      </w:r>
    </w:p>
    <w:p>
      <w:pPr>
        <w:pStyle w:val="Normal"/>
        <w:rPr/>
      </w:pPr>
      <w:bookmarkStart w:id="12" w:name="the-collective-unconscious-question"/>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
    </w:p>
    <w:p>
      <w:pPr>
        <w:pStyle w:val="Heading2"/>
        <w:rPr/>
      </w:pPr>
      <w:bookmarkStart w:id="13" w:name="prospect-peril-and-the-love-of-vistas"/>
      <w:r>
        <w:rPr/>
        <w:t>7. Prospect-Peril and the Love of Vistas</w:t>
      </w:r>
    </w:p>
    <w:p>
      <w:pPr>
        <w:pStyle w:val="FirstParagraph"/>
        <w:rPr/>
      </w:pPr>
      <w:r>
        <w:rPr/>
        <w:t>The universal human (and cross-species) preference for elevation and open sightlines: you can see what may be useful and reachable (prospect), and you can see enemies/predators (peril). The vista resolves both simultaneously.</w:t>
      </w:r>
    </w:p>
    <w:p>
      <w:pPr>
        <w:pStyle w:val="TextBody"/>
        <w:rPr/>
      </w:pPr>
      <w:r>
        <w:rPr/>
        <w:t>Cross-species because both sides are universal survival problems — any mobile organism with food-finding and predator-avoidance requirements benefits from elevation and open sightlines. The behavior is older than cultural transmission: hawk on a fence post, meerkat on a termite mound, cat on a shed roof (observed in Oxford, 18 months prior to this conversation).</w:t>
      </w:r>
    </w:p>
    <w:p>
      <w:pPr>
        <w:pStyle w:val="TextBody"/>
        <w:rPr/>
      </w:pPr>
      <w:r>
        <w:rPr/>
        <w:t>The upward translation into human symbolic systems: functional preference → aesthetic response to vistas → sacralization of mountaintops as places of vision and revelation → cosmological elaboration as cosmic mountain / axis mundi. Each step is cultural elaboration of the same underlying logic. Because the underlying logic is universal (every human nervous system runs the same prospect-peril calculation), symbolic elaborations converge across independent cultures not through diffusion but by translating the same evolved preference into cultural register.</w:t>
      </w:r>
    </w:p>
    <w:p>
      <w:pPr>
        <w:pStyle w:val="TextBody"/>
        <w:rPr/>
      </w:pPr>
      <w:r>
        <w:rPr/>
        <w:t>The sublime as a related but distinct phenomenon: the aesthetic response to landscapes that offer no tactical advantage (Tierra del Fuego peaks) — the peril visible but held at a tolerable distance. Possibly distinctly human: the capacity to find beauty in what is genuinely threatening, requiring cognitive distance from immediate survival.</w:t>
      </w:r>
    </w:p>
    <w:p>
      <w:pPr>
        <w:pStyle w:val="Normal"/>
        <w:rPr/>
      </w:pPr>
      <w:bookmarkStart w:id="14" w:name="prospect-peril-and-the-love-of-vista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2"/>
        <w:rPr/>
      </w:pPr>
      <w:bookmarkStart w:id="15" w:name="the-projects-honest-shape"/>
      <w:r>
        <w:rPr/>
        <w:t>8. The Project’s Honest Shape</w:t>
      </w:r>
    </w:p>
    <w:p>
      <w:pPr>
        <w:pStyle w:val="FirstParagraph"/>
        <w:rPr/>
      </w:pPr>
      <w:r>
        <w:rPr>
          <w:i/>
          <w:iCs/>
        </w:rPr>
        <w:t>“</w:t>
      </w:r>
      <w:r>
        <w:rPr>
          <w:i/>
          <w:iCs/>
        </w:rPr>
        <w:t>It may be that my capstone project of Computing Place reveals more about what can’t be computed than what can. The bounds are interesting — what lies on either side. Exposing patterns, that’s my game computationally. Interpretation? I’m not deeply enough trained in the fields that interest me to make scholarly arguments that hold water.”</w:t>
      </w:r>
    </w:p>
    <w:p>
      <w:pPr>
        <w:pStyle w:val="TextBody"/>
        <w:rPr/>
      </w:pPr>
      <w:r>
        <w:rPr/>
        <w:t>This is a clear and defensible position: - EDOP/CDOP as pattern exposure infrastructure, not as a claim to disciplinary authority - The limits of computation as an interesting finding in themselves - Patterns available for others to discover and make of what they will - Poetry as a valid outcome — people recognize patterns told in poetic terms without requiring regression analysis</w:t>
      </w:r>
    </w:p>
    <w:p>
      <w:pPr>
        <w:pStyle w:val="TextBody"/>
        <w:rPr/>
      </w:pPr>
      <w:r>
        <w:rPr/>
        <w:t>Twenty-five years of circling the same questions from different directions isn’t inefficiency. It’s how you learn the shape of a problem that doesn’t have clean edges.</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16" w:name="Xfc94c761c63f66aa7f3ef2d1aaffa30fcea8ade"/>
      <w:bookmarkStart w:id="17" w:name="the-projects-honest-shape"/>
      <w:r>
        <w:rPr>
          <w:i/>
          <w:iCs/>
        </w:rPr>
        <w:t>Generated from JSONL transcript: misc/8e5487e7-071b-4a19-b4c6-19beba20cbc6.jsonl</w:t>
      </w:r>
      <w:bookmarkEnd w:id="16"/>
      <w:bookmarkEnd w:id="1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num>
  <w:num w:numId="5">
    <w:abstractNumId w:val="1"/>
  </w:num>
  <w:num w:numId="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TextBody"/>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TextBody"/>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TextBody"/>
    <w:link w:val="Heading3Char"/>
    <w:uiPriority w:val="9"/>
    <w:semiHidden/>
    <w:unhideWhenUsed/>
    <w:qFormat/>
    <w:rsid w:val="00a10fd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TextBody"/>
    <w:link w:val="Heading4Char"/>
    <w:uiPriority w:val="9"/>
    <w:semiHidden/>
    <w:unhideWhenUsed/>
    <w:qFormat/>
    <w:rsid w:val="00a10fd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TextBody"/>
    <w:link w:val="Heading5Char"/>
    <w:uiPriority w:val="9"/>
    <w:semiHidden/>
    <w:unhideWhenUsed/>
    <w:qFormat/>
    <w:rsid w:val="00a10fd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TextBody"/>
    <w:link w:val="Heading6Char"/>
    <w:uiPriority w:val="9"/>
    <w:semiHidden/>
    <w:unhideWhenUsed/>
    <w:qFormat/>
    <w:rsid w:val="00a10fd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TextBody"/>
    <w:link w:val="Heading7Char"/>
    <w:uiPriority w:val="9"/>
    <w:semiHidden/>
    <w:unhideWhenUsed/>
    <w:qFormat/>
    <w:rsid w:val="00a10fd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TextBody"/>
    <w:link w:val="Heading8Char"/>
    <w:uiPriority w:val="9"/>
    <w:semiHidden/>
    <w:unhideWhenUsed/>
    <w:qFormat/>
    <w:rsid w:val="00a10fd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TextBody"/>
    <w:link w:val="Heading9Char"/>
    <w:uiPriority w:val="9"/>
    <w:semiHidden/>
    <w:unhideWhenUsed/>
    <w:qFormat/>
    <w:rsid w:val="00a10fd9"/>
    <w:pPr>
      <w:keepNext w:val="true"/>
      <w:keepLines/>
      <w:spacing w:before="0" w:after="0"/>
      <w:outlineLvl w:val="8"/>
    </w:pPr>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val="595959" w:themeColor="text1" w:themeTint="a6"/>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val="272727" w:themeColor="text1" w:themeTint="d8"/>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Reference"/>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Arial Unicode M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TextBody"/>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TextBody"/>
    <w:qFormat/>
    <w:pPr>
      <w:keepNext w:val="true"/>
      <w:keepLines/>
    </w:pPr>
    <w:rPr>
      <w:sz w:val="24"/>
      <w:szCs w:val="24"/>
    </w:rPr>
  </w:style>
  <w:style w:type="paragraph" w:styleId="Date">
    <w:name w:val="Date"/>
    <w:basedOn w:val="Title"/>
    <w:next w:val="TextBody"/>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FootnoteBlockText">
    <w:name w:val="Footnote Block Text"/>
    <w:basedOn w:val="Footnote"/>
    <w:next w:val="Footnote"/>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LibreOffice/7.5.1.2$MacOSX_X86_64 LibreOffice_project/fcbaee479e84c6cd81291587d2ee68cba099e129</Application>
  <AppVersion>15.0000</AppVersion>
  <Pages>5</Pages>
  <Words>1768</Words>
  <Characters>11126</Characters>
  <CharactersWithSpaces>12866</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2026-03-28T14:55:58Z</dcterms:created>
  <dc:creator/>
  <dc:description/>
  <dc:language>en-US</dc:language>
  <cp:lastModifiedBy/>
  <dcterms:modified xsi:type="dcterms:W3CDTF">2026-03-28T14:55:58Z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