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3CB0" w:rsidRDefault="0019139E">
      <w:pPr>
        <w:pStyle w:val="Heading1"/>
      </w:pPr>
      <w:bookmarkStart w:id="0" w:name="X040e4185e2ee1359fef5a8c9ab60a47fa2fca7f"/>
      <w:r>
        <w:t>Computing Place: Toward Systematic Environmental Characterization for Cultural Research</w:t>
      </w:r>
    </w:p>
    <w:p w:rsidR="00B83CB0" w:rsidRDefault="0019139E">
      <w:pPr>
        <w:pStyle w:val="FirstParagraph"/>
      </w:pPr>
      <w:r>
        <w:rPr>
          <w:i/>
          <w:iCs/>
        </w:rPr>
        <w:t>Karl Grossner, KGEO Research — draft v3, 30 March 2026</w:t>
      </w:r>
    </w:p>
    <w:p w:rsidR="00B83CB0" w:rsidRDefault="0019139E">
      <w:pPr>
        <w:pStyle w:val="Heading2"/>
      </w:pPr>
      <w:r>
        <w:t>1. Introduction</w:t>
      </w:r>
      <w:bookmarkStart w:id="1" w:name="X8856f325a98b4e37990d4be4b40714fa60bf3f3"/>
    </w:p>
    <w:p w:rsidR="00B83CB0" w:rsidRDefault="0019139E">
      <w:pPr>
        <w:pStyle w:val="BodyTextIndent"/>
      </w:pPr>
      <w:r>
        <w:rPr>
          <w:noProof/>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989580" cy="1285875"/>
            <wp:effectExtent l="0" t="0" r="0" b="0"/>
            <wp:wrapTopAndBottom/>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7"/>
                    <a:stretch>
                      <a:fillRect/>
                    </a:stretch>
                  </pic:blipFill>
                  <pic:spPr bwMode="auto">
                    <a:xfrm>
                      <a:off x="0" y="0"/>
                      <a:ext cx="2989580" cy="1285875"/>
                    </a:xfrm>
                    <a:prstGeom prst="rect">
                      <a:avLst/>
                    </a:prstGeom>
                  </pic:spPr>
                </pic:pic>
              </a:graphicData>
            </a:graphic>
          </wp:anchor>
        </w:drawing>
      </w:r>
      <w:r>
        <w:rPr>
          <w:i/>
          <w:iCs/>
        </w:rPr>
        <w:t xml:space="preserve">"One has not fully understood the nature of an area until one has learned to see it as an </w:t>
      </w:r>
      <w:r>
        <w:rPr>
          <w:i/>
          <w:iCs/>
        </w:rPr>
        <w:t>organic unit, to comprehend land and life in terms of each other."</w:t>
      </w:r>
    </w:p>
    <w:p w:rsidR="00B83CB0" w:rsidRDefault="0019139E">
      <w:pPr>
        <w:pStyle w:val="BodyTextIndent"/>
      </w:pPr>
      <w:bookmarkStart w:id="2" w:name="_GoBack"/>
      <w:bookmarkEnd w:id="2"/>
      <w:r>
        <w:t xml:space="preserve">-- Carl Sauer (1925). </w:t>
      </w:r>
      <w:r>
        <w:rPr>
          <w:i/>
          <w:iCs/>
        </w:rPr>
        <w:t>Morphology of Landscape</w:t>
      </w:r>
      <w:r>
        <w:t>.</w:t>
      </w:r>
    </w:p>
    <w:p w:rsidR="00B83CB0" w:rsidRDefault="0019139E">
      <w:pPr>
        <w:pStyle w:val="BodyText"/>
      </w:pPr>
      <w:r>
        <w:t>The Computing Place initiative introduced here was origi</w:t>
      </w:r>
      <w:r>
        <w:t xml:space="preserve">nally motivated by geographer Carl Sauer’s canonical paper </w:t>
      </w:r>
      <w:r>
        <w:rPr>
          <w:i/>
          <w:iCs/>
        </w:rPr>
        <w:t>Morphology of Landscape</w:t>
      </w:r>
      <w:r>
        <w:t>. In it, he asserted that "...area or landscape is the field of Geography, because it is a naively given important section of reality, not a sophisticated thesis." He introdu</w:t>
      </w:r>
      <w:r>
        <w:t>ced to American geographers the term “cultural landscape” as a translation of “</w:t>
      </w:r>
      <w:proofErr w:type="spellStart"/>
      <w:r>
        <w:t>Kulturlandschaft</w:t>
      </w:r>
      <w:proofErr w:type="spellEnd"/>
      <w:r>
        <w:t xml:space="preserve">,” a conceptual framing well-known to German geographers at the time. Its content, he wrote, is found “...in the physical qualities of area that are significant </w:t>
      </w:r>
      <w:r>
        <w:t>to man and in the forms of his use of the area, in facts of physical background and facts of human culture.” But Sauer sought to constrain Geography to one direction of analysis: “...we are not concerned in geography with the energy, customs, or beliefs of</w:t>
      </w:r>
      <w:r>
        <w:t xml:space="preserve"> man but with man’s record upon the landscape.” </w:t>
      </w:r>
    </w:p>
    <w:p w:rsidR="00B83CB0" w:rsidRDefault="0019139E">
      <w:pPr>
        <w:pStyle w:val="BodyText"/>
      </w:pPr>
      <w:r>
        <w:t>I wondered what Sauer might have done if some of the now common technological tools and methods had been available to him, and I thought that given sufficient “facts of physical background and facts of human</w:t>
      </w:r>
      <w:r>
        <w:t xml:space="preserve"> culture,” both directions of analysis are possible and warranted. Sauer did allow that the relations between environment and culture are bi-directional, but left the cultural elements to anthropology. Generously, but I think </w:t>
      </w:r>
      <w:proofErr w:type="spellStart"/>
      <w:r>
        <w:t>short-sightedly</w:t>
      </w:r>
      <w:proofErr w:type="spellEnd"/>
      <w:r>
        <w:t>.</w:t>
      </w:r>
    </w:p>
    <w:p w:rsidR="00B83CB0" w:rsidRDefault="0019139E">
      <w:pPr>
        <w:pStyle w:val="BodyText"/>
      </w:pPr>
      <w:r>
        <w:t>H</w:t>
      </w:r>
      <w:r>
        <w:t>istorians, a</w:t>
      </w:r>
      <w:r>
        <w:t xml:space="preserve">rchaeologists, and anthropologists invoke environmental context constantly, but almost always qualitatively. What would it mean to make those invocations in some degree computable and reproducible? Computing Place envisions digital infrastructure—data and </w:t>
      </w:r>
      <w:r>
        <w:t xml:space="preserve">software tools—that supports both directions of inquiry. </w:t>
      </w:r>
    </w:p>
    <w:p w:rsidR="00B83CB0" w:rsidRDefault="0019139E">
      <w:pPr>
        <w:pStyle w:val="BodyText"/>
      </w:pPr>
      <w:r>
        <w:t xml:space="preserve">Cultural analysis with a geographic lens in this context requires a solid environmental data foundation. Computing Place development is organized around two components, </w:t>
      </w:r>
      <w:r>
        <w:rPr>
          <w:i/>
          <w:iCs/>
        </w:rPr>
        <w:t>Environmental Dimensions of P</w:t>
      </w:r>
      <w:r>
        <w:rPr>
          <w:i/>
          <w:iCs/>
        </w:rPr>
        <w:t xml:space="preserve">lace </w:t>
      </w:r>
      <w:r>
        <w:t xml:space="preserve">(EDOP) and </w:t>
      </w:r>
      <w:r>
        <w:rPr>
          <w:i/>
          <w:iCs/>
        </w:rPr>
        <w:t xml:space="preserve">Cultural Dimensions of Place </w:t>
      </w:r>
      <w:r>
        <w:t xml:space="preserve">(CDOP). EDOP is naturally the first priority because the environmental foundation must precede the </w:t>
      </w:r>
      <w:r>
        <w:lastRenderedPageBreak/>
        <w:t>cultural analysis. Most of what follows describes work in progress towards an EDOP “signature,” computable for a</w:t>
      </w:r>
      <w:r>
        <w:t>ny given terrestrial location. The overall project is designed to surface patterns and expose what can and cannot be characterized computationally, without presupposing results.</w:t>
      </w:r>
    </w:p>
    <w:bookmarkEnd w:id="1"/>
    <w:p w:rsidR="00B83CB0" w:rsidRDefault="0019139E">
      <w:pPr>
        <w:pStyle w:val="Heading2"/>
      </w:pPr>
      <w:r>
        <w:t xml:space="preserve">2. </w:t>
      </w:r>
      <w:bookmarkStart w:id="3" w:name="X06bfd9ca538fdbd2257d6e45b155f10b77ed444"/>
      <w:r>
        <w:t>What “computing place” means, and what it doesn’t</w:t>
      </w:r>
    </w:p>
    <w:p w:rsidR="00B83CB0" w:rsidRDefault="0019139E">
      <w:pPr>
        <w:pStyle w:val="BodyText"/>
      </w:pPr>
      <w:r>
        <w:t>The subject matter of Com</w:t>
      </w:r>
      <w:r>
        <w:t>puting Place is indeed well-trodden intellectual terrain. Scholars in history, anthropology, archaeology, environmental history, historical ecology, and geography have long studied the relations between environment and culture. Computing Place aims at nove</w:t>
      </w:r>
      <w:r>
        <w:t xml:space="preserve">l methodology—to make many of those relations formally computable and develop tools and features for an accessible and open web platform. EDOP signatures are reproducible environmental characterizations that can be compared systematically across thousands </w:t>
      </w:r>
      <w:r>
        <w:t>of locations and time periods, linked to cultural datasets from the CDOP component, and tested against independent evidence.</w:t>
      </w:r>
    </w:p>
    <w:p w:rsidR="00B83CB0" w:rsidRDefault="0019139E">
      <w:pPr>
        <w:pStyle w:val="BodyText"/>
      </w:pPr>
      <w:r>
        <w:t>While there are clear relations between cultural phenomena of all kinds and their environmental settings, the Computing Place proje</w:t>
      </w:r>
      <w:r>
        <w:t>ct deliberately steers clear of environmental determinism. An underlying premise is that while environment generally defines what activities a geographic area affords and constrains, culture determines which possibilities are realized.</w:t>
      </w:r>
      <w:bookmarkEnd w:id="3"/>
    </w:p>
    <w:p w:rsidR="00B83CB0" w:rsidRDefault="0019139E">
      <w:pPr>
        <w:pStyle w:val="Heading2"/>
      </w:pPr>
      <w:r>
        <w:t xml:space="preserve">3. </w:t>
      </w:r>
      <w:bookmarkStart w:id="4" w:name="the-environmental-signature-concept"/>
      <w:r>
        <w:t>The environmental</w:t>
      </w:r>
      <w:r>
        <w:t xml:space="preserve"> signature concept</w:t>
      </w:r>
    </w:p>
    <w:p w:rsidR="00B83CB0" w:rsidRDefault="0019139E">
      <w:pPr>
        <w:pStyle w:val="Heading3"/>
      </w:pPr>
      <w:r>
        <w:t>3.1 Signature components</w:t>
      </w:r>
    </w:p>
    <w:p w:rsidR="00B83CB0" w:rsidRDefault="0019139E">
      <w:pPr>
        <w:pStyle w:val="BodyText"/>
      </w:pPr>
      <w:r>
        <w:t xml:space="preserve">For any terrestrial location, the EDOP service delivers a set of values for selected environmental attributes drawn from one or more global datasets. At present the principal source is the Global </w:t>
      </w:r>
      <w:proofErr w:type="spellStart"/>
      <w:r>
        <w:t>BasinATLAS</w:t>
      </w:r>
      <w:proofErr w:type="spellEnd"/>
      <w:r>
        <w:rPr>
          <w:rStyle w:val="FootnoteReference"/>
        </w:rPr>
        <w:footnoteReference w:id="1"/>
      </w:r>
      <w:r>
        <w:t xml:space="preserve"> data</w:t>
      </w:r>
      <w:r>
        <w:t xml:space="preserve">set, which compiles a wide range of hydro-environmental attributes from existing global datasets in a consistent, globally applicable format. </w:t>
      </w:r>
      <w:proofErr w:type="spellStart"/>
      <w:r>
        <w:t>BasinATLAS</w:t>
      </w:r>
      <w:proofErr w:type="spellEnd"/>
      <w:r>
        <w:t xml:space="preserve"> is organized hierarchically in 12 “levels” of increasing granularity (decreasing area). Initially, 47 o</w:t>
      </w:r>
      <w:r>
        <w:t xml:space="preserve">f the 281 </w:t>
      </w:r>
      <w:proofErr w:type="spellStart"/>
      <w:r>
        <w:t>BasinATLAS</w:t>
      </w:r>
      <w:proofErr w:type="spellEnd"/>
      <w:r>
        <w:t xml:space="preserve"> attributes, were drawn from all six of its categories (hydrology, physiography, climate, landcover, soils &amp; geology, anthropogenic) at Level 08 (~190k basins). The attributes are grouped for EDOP purposes into four “persistence bands,”</w:t>
      </w:r>
      <w:r>
        <w:t xml:space="preserve"> intended to reflect potential temporal validity. Signature requests can include the values of any combination of bands: </w:t>
      </w:r>
    </w:p>
    <w:p w:rsidR="00B83CB0" w:rsidRDefault="0019139E">
      <w:pPr>
        <w:pStyle w:val="BodyText"/>
        <w:numPr>
          <w:ilvl w:val="0"/>
          <w:numId w:val="1"/>
        </w:numPr>
      </w:pPr>
      <w:r>
        <w:rPr>
          <w:i/>
          <w:iCs/>
        </w:rPr>
        <w:t>A - Physiographic bedrock (millennia) [elevation, slope, stream gradient, lithology, karst extent]</w:t>
      </w:r>
      <w:r>
        <w:t>. Indicative of the energy cost of m</w:t>
      </w:r>
      <w:r>
        <w:t>ovement, defensive advantages of terrain, and raw materials available for construction and agriculture, stable over millennia.</w:t>
      </w:r>
    </w:p>
    <w:p w:rsidR="00B83CB0" w:rsidRDefault="0019139E">
      <w:pPr>
        <w:pStyle w:val="BodyText"/>
        <w:numPr>
          <w:ilvl w:val="0"/>
          <w:numId w:val="1"/>
        </w:numPr>
        <w:rPr>
          <w:i/>
          <w:iCs/>
        </w:rPr>
      </w:pPr>
      <w:r>
        <w:rPr>
          <w:i/>
          <w:iCs/>
        </w:rPr>
        <w:t>B - Hydro-climatic baselines (centuries) [discharge, basin area, groundwater depth, natural vegetation potential, soil texture]</w:t>
      </w:r>
      <w:r>
        <w:t xml:space="preserve">. </w:t>
      </w:r>
      <w:r>
        <w:t xml:space="preserve">The potential of a landscape; while specific </w:t>
      </w:r>
      <w:r>
        <w:lastRenderedPageBreak/>
        <w:t>values fluctuate over time, the relative hierarchy (e.g., "Basin A is always wetter than Basin B") is usually stable across historical eras.</w:t>
      </w:r>
    </w:p>
    <w:p w:rsidR="00B83CB0" w:rsidRDefault="0019139E">
      <w:pPr>
        <w:pStyle w:val="BodyText"/>
        <w:numPr>
          <w:ilvl w:val="0"/>
          <w:numId w:val="1"/>
        </w:numPr>
        <w:rPr>
          <w:i/>
          <w:iCs/>
        </w:rPr>
      </w:pPr>
      <w:r>
        <w:rPr>
          <w:i/>
          <w:iCs/>
        </w:rPr>
        <w:t>C - Bioclimatic proxies (decadal/cyclical) [precipitation, temperature</w:t>
      </w:r>
      <w:r>
        <w:rPr>
          <w:i/>
          <w:iCs/>
        </w:rPr>
        <w:t xml:space="preserve">, aridity, wetland extent, permafrost, ecoregion membership]. </w:t>
      </w:r>
      <w:r>
        <w:t>Potentially useful as a baseline “modern average” of values. Interpretation typically requires accounting for known historical anomalies.</w:t>
      </w:r>
    </w:p>
    <w:p w:rsidR="00B83CB0" w:rsidRDefault="0019139E">
      <w:pPr>
        <w:pStyle w:val="BodyText"/>
        <w:numPr>
          <w:ilvl w:val="0"/>
          <w:numId w:val="1"/>
        </w:numPr>
        <w:rPr>
          <w:i/>
          <w:iCs/>
        </w:rPr>
      </w:pPr>
      <w:r>
        <w:rPr>
          <w:i/>
          <w:iCs/>
        </w:rPr>
        <w:t xml:space="preserve">D - Anthropocene markers (last 50-100 years) [reservoir </w:t>
      </w:r>
      <w:r>
        <w:rPr>
          <w:i/>
          <w:iCs/>
        </w:rPr>
        <w:t xml:space="preserve">volume, land cover, cropland/pasture, pop density, human footprint, GDP/HDI]. </w:t>
      </w:r>
      <w:r>
        <w:t>Likely omitted from signature requests for most historical contexts.</w:t>
      </w:r>
    </w:p>
    <w:p w:rsidR="00B83CB0" w:rsidRDefault="0019139E">
      <w:pPr>
        <w:pStyle w:val="BodyText"/>
      </w:pPr>
      <w:r>
        <w:t>What distinguishes an EDOP signature from a simple attribute lookup is a process orientation: the aim is to c</w:t>
      </w:r>
      <w:r>
        <w:t>haracterize not merely what surrounds a location but what it experiences through directed spatial processes. In the hydrological case, upstream values indicate what a river system delivers to a location, often seasonally. For example, a signature query for</w:t>
      </w:r>
      <w:r>
        <w:t xml:space="preserve"> ancient Ur returns 94mm/</w:t>
      </w:r>
      <w:proofErr w:type="spellStart"/>
      <w:r>
        <w:t>yr</w:t>
      </w:r>
      <w:proofErr w:type="spellEnd"/>
      <w:r>
        <w:t xml:space="preserve"> local precipitation and an aridity index of 5—hyper-arid by any measure. But the catchment feeding it receives 258mm/yr. That gap between local and upstream is a more complete environmental characterization. Alluvial civilizatio</w:t>
      </w:r>
      <w:r>
        <w:t>ns are places where those two values diverge sharply.</w:t>
      </w:r>
    </w:p>
    <w:p w:rsidR="00B83CB0" w:rsidRDefault="0019139E">
      <w:pPr>
        <w:pStyle w:val="BodyText"/>
      </w:pPr>
      <w:r>
        <w:t>Going forward, spatial data and descriptive text from ecoregion datasets will be incorporated as options in user-configured EDOPS API payloads.</w:t>
      </w:r>
    </w:p>
    <w:p w:rsidR="00B83CB0" w:rsidRDefault="0019139E">
      <w:pPr>
        <w:pStyle w:val="Heading3"/>
      </w:pPr>
      <w:r>
        <w:t>3.2 Signature extents</w:t>
      </w:r>
    </w:p>
    <w:p w:rsidR="00B83CB0" w:rsidRDefault="0019139E">
      <w:pPr>
        <w:pStyle w:val="BodyText"/>
      </w:pPr>
      <w:r>
        <w:t>The EDOP service (EDOPS hereafter) w</w:t>
      </w:r>
      <w:r>
        <w:t>ill provide signatures for any given location, given as geographic coordinates. An integrated component facilitates place name resolution using the API of World Historical Gazetteer. If coordinates are of a representative point, for example of a settlement</w:t>
      </w:r>
      <w:r>
        <w:t>, site, or anthropological observation, the signature returned will be that of a single containing basin—normally less than useful. Environmental context is not intrinsic to a point; it is a modeled neighborhood, therefore EDOPS will treat neighborhood def</w:t>
      </w:r>
      <w:r>
        <w:t>inition as a transparent, swappable parameter, offering multiple ways of defining one on the fly, per-query: for example, (</w:t>
      </w:r>
      <w:proofErr w:type="spellStart"/>
      <w:r>
        <w:t>i</w:t>
      </w:r>
      <w:proofErr w:type="spellEnd"/>
      <w:r>
        <w:t>) single basin at a requested scale level, (ii) immediate siblings, or (iii) basins within the containing watershed.</w:t>
      </w:r>
    </w:p>
    <w:p w:rsidR="00B83CB0" w:rsidRDefault="0019139E">
      <w:pPr>
        <w:pStyle w:val="BodyText"/>
      </w:pPr>
      <w:r>
        <w:t>When a user sup</w:t>
      </w:r>
      <w:r>
        <w:t xml:space="preserve">plies a polygon (e.g., a polity boundary, an urban footprint, or a drawn region), the polygon itself defines the neighborhood. EDOPS computes a composite signature by intersecting the polygon with hydrologic basins at a given level, applying area-weighted </w:t>
      </w:r>
      <w:r>
        <w:t>aggregation of environmental variables, and returning a structured signature. There are several open research questions for this step, including (</w:t>
      </w:r>
      <w:proofErr w:type="spellStart"/>
      <w:r>
        <w:t>i</w:t>
      </w:r>
      <w:proofErr w:type="spellEnd"/>
      <w:r>
        <w:t>) which basin level/scale is most appropriate, (ii) how weighting of partial basins is computed, (iii) how th</w:t>
      </w:r>
      <w:r>
        <w:t>e heterogeneity of a resulting set of multiple signatures is represented and computed over, and (iv) how scale sensitivity is evaluated.</w:t>
      </w:r>
      <w:bookmarkEnd w:id="4"/>
    </w:p>
    <w:p w:rsidR="00B83CB0" w:rsidRDefault="0019139E">
      <w:pPr>
        <w:pStyle w:val="Heading2"/>
      </w:pPr>
      <w:r>
        <w:t xml:space="preserve">4. </w:t>
      </w:r>
      <w:bookmarkStart w:id="5" w:name="Xb7f605a19e012ea80720ee83f711e29362ee158"/>
      <w:r>
        <w:t>The EDOPS process orientation, more broadly</w:t>
      </w:r>
    </w:p>
    <w:p w:rsidR="00B83CB0" w:rsidRDefault="0019139E">
      <w:pPr>
        <w:pStyle w:val="BodyText"/>
      </w:pPr>
      <w:r>
        <w:t>As mentioned above, a novel aspect of EDOPS signatures is the aim to sum</w:t>
      </w:r>
      <w:r>
        <w:t xml:space="preserve">marize formally what a place </w:t>
      </w:r>
      <w:r>
        <w:rPr>
          <w:i/>
          <w:iCs/>
        </w:rPr>
        <w:t>experiences</w:t>
      </w:r>
      <w:r>
        <w:t xml:space="preserve">, not only what surrounds it. The hydrological case for Ur </w:t>
      </w:r>
      <w:r>
        <w:lastRenderedPageBreak/>
        <w:t xml:space="preserve">mentioned above can be expanded; considering upstream values is only one half of a broader directional frame. Moving forward, other aspects available in the </w:t>
      </w:r>
      <w:r>
        <w:t>data that could be considered include (</w:t>
      </w:r>
      <w:proofErr w:type="spellStart"/>
      <w:r>
        <w:t>i</w:t>
      </w:r>
      <w:proofErr w:type="spellEnd"/>
      <w:r>
        <w:t>) how far a location sits from its marine outlet, and (ii) whether its linked basins terminate in the sea at all. In many cases, marine resources are an important aspect of environmental affordances a place and its r</w:t>
      </w:r>
      <w:r>
        <w:t>esident cultures may experience.</w:t>
      </w:r>
    </w:p>
    <w:p w:rsidR="00B83CB0" w:rsidRDefault="0019139E">
      <w:pPr>
        <w:pStyle w:val="BodyText"/>
      </w:pPr>
      <w:r>
        <w:t>Beyond the hydrological case, other process types can follow the same logic: terrain slope and gradient as indicators of intrinsic movement cost and accessibility, or atmospheric conditions shaped by prevailing winds. Eventually, social connectivity struct</w:t>
      </w:r>
      <w:r>
        <w:t xml:space="preserve">ured by route networks remains a longer-term possibility. Each process type has its own geometry and its own characteristic distance decay. </w:t>
      </w:r>
    </w:p>
    <w:p w:rsidR="00B83CB0" w:rsidRDefault="0019139E">
      <w:pPr>
        <w:pStyle w:val="BodyText"/>
      </w:pPr>
      <w:r>
        <w:t xml:space="preserve">Spatial data and descriptive text from </w:t>
      </w:r>
      <w:proofErr w:type="spellStart"/>
      <w:r>
        <w:t>OneEarth</w:t>
      </w:r>
      <w:proofErr w:type="spellEnd"/>
      <w:r>
        <w:t xml:space="preserve"> ecoregion datasets—including Wikipedia-derived summaries for all 84</w:t>
      </w:r>
      <w:r>
        <w:t>7 ecoregions—are already incorporated into the prototype and will be available as optional parameters in the EDOPS API.</w:t>
      </w:r>
      <w:bookmarkEnd w:id="5"/>
    </w:p>
    <w:p w:rsidR="00B83CB0" w:rsidRDefault="0019139E">
      <w:pPr>
        <w:pStyle w:val="Heading2"/>
      </w:pPr>
      <w:r>
        <w:t xml:space="preserve">5. </w:t>
      </w:r>
      <w:bookmarkStart w:id="6" w:name="the-data-infrastructure"/>
      <w:r>
        <w:t>The EDOP data infrastructure</w:t>
      </w:r>
    </w:p>
    <w:p w:rsidR="00B83CB0" w:rsidRDefault="0019139E">
      <w:pPr>
        <w:pStyle w:val="BodyText"/>
      </w:pPr>
      <w:r>
        <w:t xml:space="preserve">The </w:t>
      </w:r>
      <w:proofErr w:type="spellStart"/>
      <w:r>
        <w:t>BasinATLAS</w:t>
      </w:r>
      <w:proofErr w:type="spellEnd"/>
      <w:r>
        <w:t xml:space="preserve"> and </w:t>
      </w:r>
      <w:proofErr w:type="spellStart"/>
      <w:r>
        <w:t>OneEarth</w:t>
      </w:r>
      <w:proofErr w:type="spellEnd"/>
      <w:r>
        <w:t xml:space="preserve"> ecoregions data</w:t>
      </w:r>
      <w:r>
        <w:rPr>
          <w:rStyle w:val="FootnoteReference"/>
        </w:rPr>
        <w:footnoteReference w:id="2"/>
      </w:r>
      <w:r>
        <w:t xml:space="preserve"> are both available under open CC-BY licenses, as are Wikipe</w:t>
      </w:r>
      <w:r>
        <w:t xml:space="preserve">dia ecoregion articles. The current EDOP prototype utilizes </w:t>
      </w:r>
      <w:proofErr w:type="spellStart"/>
      <w:r>
        <w:t>BasinATLAS</w:t>
      </w:r>
      <w:proofErr w:type="spellEnd"/>
      <w:r>
        <w:t xml:space="preserve"> Level 08 data, which partitions the terrestrial Earth surface into 190,675 nested drainage units (catchments). </w:t>
      </w:r>
      <w:proofErr w:type="spellStart"/>
      <w:r>
        <w:t>BasinATLAS</w:t>
      </w:r>
      <w:proofErr w:type="spellEnd"/>
      <w:r>
        <w:t xml:space="preserve"> defines a 12-level hierarchy (Levels 01–12), spanning scales fr</w:t>
      </w:r>
      <w:r>
        <w:t xml:space="preserve">om continental basins to fine-grained local catchments. </w:t>
      </w:r>
    </w:p>
    <w:p w:rsidR="00B83CB0" w:rsidRDefault="0019139E">
      <w:pPr>
        <w:pStyle w:val="BodyText"/>
      </w:pPr>
      <w:r>
        <w:t xml:space="preserve">A well-known characteristic of spatial data—the </w:t>
      </w:r>
      <w:r>
        <w:rPr>
          <w:i/>
          <w:iCs/>
        </w:rPr>
        <w:t>Modifiable Areal Unit Problem (MAUP)</w:t>
      </w:r>
      <w:r>
        <w:t xml:space="preserve">--often results in widely varying results dependent on the size and shape of the containing spatial unit </w:t>
      </w:r>
      <w:r>
        <w:t>considered. A signature computed for the watershed containing Rome looks different from one computed for the small sub-basin immediately beneath a single representative point given for the Capitoline Hill. A systematic scale sensitivity analysis across mul</w:t>
      </w:r>
      <w:r>
        <w:t xml:space="preserve">tiple </w:t>
      </w:r>
      <w:proofErr w:type="spellStart"/>
      <w:r>
        <w:t>BasinATLAS</w:t>
      </w:r>
      <w:proofErr w:type="spellEnd"/>
      <w:r>
        <w:t xml:space="preserve"> levels is the next planned analytical contribution, and will inform which level is most appropriate for which research contexts. When multiple levels are considered, sharp signature changes across them can provide useful information about </w:t>
      </w:r>
      <w:r>
        <w:t>a place’s positioning at edges of ecological zones. Providing real-time multi-level responses will require significant  compute and storage capability, but a one-time analysis across many samples should provide useful guidelines for users’ choice of level.</w:t>
      </w:r>
    </w:p>
    <w:p w:rsidR="00B83CB0" w:rsidRDefault="0019139E">
      <w:pPr>
        <w:pStyle w:val="BodyText"/>
      </w:pPr>
      <w:r>
        <w:t xml:space="preserve">The </w:t>
      </w:r>
      <w:proofErr w:type="spellStart"/>
      <w:r>
        <w:t>OneEarth</w:t>
      </w:r>
      <w:proofErr w:type="spellEnd"/>
      <w:r>
        <w:t xml:space="preserve"> project, self-described as “global network of climate strategists and storytellers,” has incorporated data for 845 “widely cited” ecoregions developed by an international consortium of conservation scientists (</w:t>
      </w:r>
      <w:proofErr w:type="spellStart"/>
      <w:r>
        <w:t>Dinerstein</w:t>
      </w:r>
      <w:proofErr w:type="spellEnd"/>
      <w:r>
        <w:t>, et al, 2017) into th</w:t>
      </w:r>
      <w:r>
        <w:t xml:space="preserve">eir own new </w:t>
      </w:r>
      <w:r>
        <w:rPr>
          <w:i/>
          <w:iCs/>
        </w:rPr>
        <w:t>bioregion framework</w:t>
      </w:r>
      <w:r>
        <w:t>, presented in maps and essays on their web platform. Ecoregions classify the terrestrial surface into biogeographically distinct areas sharing characteristic species assemblages and ecological conditions. The spatial data is</w:t>
      </w:r>
      <w:r>
        <w:t xml:space="preserve"> freely available; c</w:t>
      </w:r>
      <w:r>
        <w:t>omprehensive articles describing virtually all of these, authored during an earlier World Wildlife Fund effort, are available in Wikipedia, and will be incorporated into the EDOPS prototype as optional contextual outputs alongside numer</w:t>
      </w:r>
      <w:r>
        <w:t>ical signatures.</w:t>
      </w:r>
      <w:bookmarkEnd w:id="6"/>
    </w:p>
    <w:p w:rsidR="00B83CB0" w:rsidRDefault="0019139E">
      <w:pPr>
        <w:pStyle w:val="Heading2"/>
      </w:pPr>
      <w:r>
        <w:lastRenderedPageBreak/>
        <w:t xml:space="preserve">6. </w:t>
      </w:r>
      <w:bookmarkStart w:id="7" w:name="X4ef2cf0f55d43ac8cc9df205f935c3acdb0ce77"/>
      <w:r>
        <w:t>Validation: do the signatures capture something real?</w:t>
      </w:r>
    </w:p>
    <w:p w:rsidR="00B83CB0" w:rsidRDefault="0019139E">
      <w:pPr>
        <w:pStyle w:val="BodyText"/>
      </w:pPr>
      <w:r>
        <w:t>EDOPS signatures represent computable and configurable summarizations of environmental conditions at given locations utilizing rigorously developed data, but their quality must be va</w:t>
      </w:r>
      <w:r>
        <w:t xml:space="preserve">lidated. In effect EDOP is a model of suitability for human occupation and settlement. How do they correspond to known human settlements and regions of transitory occupation? The required methodology is similar to that used by ecologists in </w:t>
      </w:r>
      <w:r>
        <w:rPr>
          <w:i/>
          <w:iCs/>
        </w:rPr>
        <w:t>species distrib</w:t>
      </w:r>
      <w:r>
        <w:rPr>
          <w:i/>
          <w:iCs/>
        </w:rPr>
        <w:t>ution modeling (SDM)</w:t>
      </w:r>
      <w:r>
        <w:t xml:space="preserve"> and by archaeologists predicting likely settlement locations from environmental variables. </w:t>
      </w:r>
    </w:p>
    <w:p w:rsidR="00B83CB0" w:rsidRDefault="0019139E">
      <w:pPr>
        <w:pStyle w:val="BodyText"/>
      </w:pPr>
      <w:r>
        <w:t xml:space="preserve">Attempts to predict known settlement locations are sure to have mixed results, because humans have adapted to a great variety of environmental </w:t>
      </w:r>
      <w:r>
        <w:t xml:space="preserve">settings. The test is simple in principle: do environmentally favorable locations correspond to where people actually settled? Defining 'favorable' independently of the settlement record itself is the methodological challenge — one the planned  validation </w:t>
      </w:r>
      <w:r>
        <w:t xml:space="preserve">study will address using held-out data and established SDM techniques. Failure is diagnostic, success builds confidence. </w:t>
      </w:r>
      <w:r>
        <w:t xml:space="preserve">The interesting outputs won’t be matches, but residuals. The difference between predicted settlement probability and actual settlement </w:t>
      </w:r>
      <w:r>
        <w:t xml:space="preserve">record will be the most revealing aspect. </w:t>
      </w:r>
      <w:r>
        <w:t xml:space="preserve">In cases of genuine historical absence we can ask, why? Poor connectivity to diffusion networks? Competitive exclusion? Or, is there a variable the current signature doesn’t provide? In cases of </w:t>
      </w:r>
      <w:r>
        <w:rPr>
          <w:rFonts w:ascii="Times New Roman" w:hAnsi="Times New Roman"/>
          <w:color w:val="000000"/>
          <w:shd w:val="clear" w:color="auto" w:fill="FFFFFF"/>
        </w:rPr>
        <w:t>dense or persistent</w:t>
      </w:r>
      <w:r>
        <w:rPr>
          <w:rFonts w:ascii="Times New Roman" w:hAnsi="Times New Roman"/>
          <w:color w:val="000000"/>
          <w:shd w:val="clear" w:color="auto" w:fill="FFFFFF"/>
        </w:rPr>
        <w:t xml:space="preserve"> settlement but an apparently unfavorable signature, were there strategic imperatives like trade or defense? Were there localized resources not captured in the model or sheer historical contingency? </w:t>
      </w:r>
    </w:p>
    <w:p w:rsidR="00B83CB0" w:rsidRDefault="0019139E">
      <w:pPr>
        <w:pStyle w:val="BodyText"/>
      </w:pPr>
      <w:r>
        <w:rPr>
          <w:rFonts w:ascii="Times New Roman" w:hAnsi="Times New Roman"/>
          <w:color w:val="000000"/>
          <w:shd w:val="clear" w:color="auto" w:fill="FFFFFF"/>
        </w:rPr>
        <w:t>Existing datasets identified for use in a validation pro</w:t>
      </w:r>
      <w:r>
        <w:rPr>
          <w:rFonts w:ascii="Times New Roman" w:hAnsi="Times New Roman"/>
          <w:color w:val="000000"/>
          <w:shd w:val="clear" w:color="auto" w:fill="FFFFFF"/>
        </w:rPr>
        <w:t>cess include (</w:t>
      </w:r>
      <w:proofErr w:type="spellStart"/>
      <w:r>
        <w:rPr>
          <w:rFonts w:ascii="Times New Roman" w:hAnsi="Times New Roman"/>
          <w:color w:val="000000"/>
          <w:shd w:val="clear" w:color="auto" w:fill="FFFFFF"/>
        </w:rPr>
        <w:t>i</w:t>
      </w:r>
      <w:proofErr w:type="spellEnd"/>
      <w:r>
        <w:rPr>
          <w:rFonts w:ascii="Times New Roman" w:hAnsi="Times New Roman"/>
          <w:color w:val="000000"/>
          <w:shd w:val="clear" w:color="auto" w:fill="FFFFFF"/>
        </w:rPr>
        <w:t xml:space="preserve">) point locations of anthropological fieldwork in indigenous societies in </w:t>
      </w:r>
      <w:r>
        <w:rPr>
          <w:rFonts w:ascii="Times New Roman" w:hAnsi="Times New Roman"/>
          <w:i/>
          <w:iCs/>
          <w:color w:val="000000"/>
          <w:shd w:val="clear" w:color="auto" w:fill="FFFFFF"/>
        </w:rPr>
        <w:t>D-PLACE</w:t>
      </w:r>
      <w:r>
        <w:rPr>
          <w:rStyle w:val="FootnoteReference"/>
          <w:rFonts w:ascii="Times New Roman" w:hAnsi="Times New Roman"/>
          <w:color w:val="000000"/>
          <w:shd w:val="clear" w:color="auto" w:fill="FFFFFF"/>
        </w:rPr>
        <w:footnoteReference w:id="3"/>
      </w:r>
      <w:r>
        <w:rPr>
          <w:rFonts w:ascii="Times New Roman" w:hAnsi="Times New Roman"/>
          <w:color w:val="000000"/>
          <w:shd w:val="clear" w:color="auto" w:fill="FFFFFF"/>
        </w:rPr>
        <w:t xml:space="preserve">, (ii) polygon geometry for over 800 temporally scoped historical polities, from the recent </w:t>
      </w:r>
      <w:proofErr w:type="spellStart"/>
      <w:r>
        <w:rPr>
          <w:rFonts w:ascii="Times New Roman" w:hAnsi="Times New Roman"/>
          <w:color w:val="000000"/>
          <w:shd w:val="clear" w:color="auto" w:fill="FFFFFF"/>
        </w:rPr>
        <w:t>Cliopatria</w:t>
      </w:r>
      <w:proofErr w:type="spellEnd"/>
      <w:r>
        <w:rPr>
          <w:rFonts w:ascii="Times New Roman" w:hAnsi="Times New Roman"/>
          <w:color w:val="000000"/>
          <w:shd w:val="clear" w:color="auto" w:fill="FFFFFF"/>
        </w:rPr>
        <w:t xml:space="preserve"> dataset</w:t>
      </w:r>
      <w:r>
        <w:rPr>
          <w:rStyle w:val="FootnoteReference"/>
          <w:rFonts w:ascii="Times New Roman" w:hAnsi="Times New Roman"/>
          <w:color w:val="000000"/>
          <w:shd w:val="clear" w:color="auto" w:fill="FFFFFF"/>
        </w:rPr>
        <w:footnoteReference w:id="4"/>
      </w:r>
      <w:r>
        <w:rPr>
          <w:rFonts w:ascii="Times New Roman" w:hAnsi="Times New Roman"/>
          <w:color w:val="000000"/>
          <w:shd w:val="clear" w:color="auto" w:fill="FFFFFF"/>
        </w:rPr>
        <w:t xml:space="preserve"> developed by the </w:t>
      </w:r>
      <w:proofErr w:type="spellStart"/>
      <w:r>
        <w:rPr>
          <w:rFonts w:ascii="Times New Roman" w:hAnsi="Times New Roman"/>
          <w:color w:val="000000"/>
          <w:shd w:val="clear" w:color="auto" w:fill="FFFFFF"/>
        </w:rPr>
        <w:t>Seshat</w:t>
      </w:r>
      <w:proofErr w:type="spellEnd"/>
      <w:r>
        <w:rPr>
          <w:rFonts w:ascii="Times New Roman" w:hAnsi="Times New Roman"/>
          <w:color w:val="000000"/>
          <w:shd w:val="clear" w:color="auto" w:fill="FFFFFF"/>
        </w:rPr>
        <w:t xml:space="preserve"> </w:t>
      </w:r>
      <w:r>
        <w:rPr>
          <w:rFonts w:ascii="Times New Roman" w:hAnsi="Times New Roman"/>
          <w:i/>
          <w:iCs/>
          <w:color w:val="000000"/>
          <w:shd w:val="clear" w:color="auto" w:fill="FFFFFF"/>
        </w:rPr>
        <w:t>Global History Databank</w:t>
      </w:r>
      <w:r>
        <w:rPr>
          <w:rFonts w:ascii="Times New Roman" w:hAnsi="Times New Roman"/>
          <w:color w:val="000000"/>
          <w:shd w:val="clear" w:color="auto" w:fill="FFFFFF"/>
        </w:rPr>
        <w:t xml:space="preserve"> project</w:t>
      </w:r>
      <w:r>
        <w:rPr>
          <w:rStyle w:val="FootnoteReference"/>
          <w:rFonts w:ascii="Times New Roman" w:hAnsi="Times New Roman"/>
          <w:color w:val="000000"/>
          <w:shd w:val="clear" w:color="auto" w:fill="FFFFFF"/>
        </w:rPr>
        <w:footnoteReference w:id="5"/>
      </w:r>
      <w:r>
        <w:rPr>
          <w:rFonts w:ascii="Times New Roman" w:hAnsi="Times New Roman"/>
          <w:color w:val="000000"/>
          <w:shd w:val="clear" w:color="auto" w:fill="FFFFFF"/>
        </w:rPr>
        <w:t>, and (iii) temporally scoped point locations for roughly 1700 historical settlements spanning 6,000 years, developed by Reba, et al (2016).</w:t>
      </w:r>
    </w:p>
    <w:p w:rsidR="00B83CB0" w:rsidRDefault="0019139E">
      <w:pPr>
        <w:pStyle w:val="BodyText"/>
      </w:pPr>
      <w:r>
        <w:rPr>
          <w:rFonts w:ascii="Times New Roman" w:hAnsi="Times New Roman"/>
          <w:color w:val="000000"/>
          <w:shd w:val="clear" w:color="auto" w:fill="FFFFFF"/>
        </w:rPr>
        <w:t>One important caveat is that given the dimensions of the current EDOP model, signatures are most likely to</w:t>
      </w:r>
      <w:r>
        <w:rPr>
          <w:rFonts w:ascii="Times New Roman" w:hAnsi="Times New Roman"/>
          <w:color w:val="000000"/>
          <w:shd w:val="clear" w:color="auto" w:fill="FFFFFF"/>
        </w:rPr>
        <w:t xml:space="preserve"> be predictive of fixed settlements relying on terrestrial resources. Hence there will be blind spots that need to be accounted for. We can expect signatures across the Eurasian steppe would read as unfavorable, despite it having been occupied intensively </w:t>
      </w:r>
      <w:r>
        <w:rPr>
          <w:rFonts w:ascii="Times New Roman" w:hAnsi="Times New Roman"/>
          <w:color w:val="000000"/>
          <w:shd w:val="clear" w:color="auto" w:fill="FFFFFF"/>
        </w:rPr>
        <w:t>by mobile cultures whose movement was adaptive to apparently hostile conditions.</w:t>
      </w:r>
      <w:bookmarkEnd w:id="7"/>
      <w:r>
        <w:rPr>
          <w:rFonts w:ascii="Times New Roman" w:hAnsi="Times New Roman"/>
          <w:color w:val="000000"/>
          <w:shd w:val="clear" w:color="auto" w:fill="FFFFFF"/>
        </w:rPr>
        <w:t xml:space="preserve"> Likewise, the terrestrial signature for Tierra del Fuego is undoubtedly relatively harsh: hyper-humid and wind-battered, with low growing-season temperatures and minimal agric</w:t>
      </w:r>
      <w:r>
        <w:rPr>
          <w:rFonts w:ascii="Times New Roman" w:hAnsi="Times New Roman"/>
          <w:color w:val="000000"/>
          <w:shd w:val="clear" w:color="auto" w:fill="FFFFFF"/>
        </w:rPr>
        <w:t xml:space="preserve">ultural potential, yet the rich marine resources allowed the Yaghan to thrive for millennia, and the presence of guanaco in the interior supported the </w:t>
      </w:r>
      <w:proofErr w:type="spellStart"/>
      <w:r>
        <w:rPr>
          <w:rFonts w:ascii="Times New Roman" w:hAnsi="Times New Roman"/>
          <w:color w:val="000000"/>
          <w:shd w:val="clear" w:color="auto" w:fill="FFFFFF"/>
        </w:rPr>
        <w:t>Selknam</w:t>
      </w:r>
      <w:proofErr w:type="spellEnd"/>
      <w:r>
        <w:rPr>
          <w:rFonts w:ascii="Times New Roman" w:hAnsi="Times New Roman"/>
          <w:color w:val="000000"/>
          <w:shd w:val="clear" w:color="auto" w:fill="FFFFFF"/>
        </w:rPr>
        <w:t xml:space="preserve"> societies.</w:t>
      </w:r>
    </w:p>
    <w:p w:rsidR="00B83CB0" w:rsidRDefault="00B83CB0">
      <w:pPr>
        <w:pStyle w:val="BodyText"/>
        <w:rPr>
          <w:rFonts w:ascii="Times New Roman" w:hAnsi="Times New Roman"/>
          <w:shd w:val="clear" w:color="auto" w:fill="FFFFFF"/>
        </w:rPr>
      </w:pPr>
    </w:p>
    <w:p w:rsidR="00B83CB0" w:rsidRDefault="0019139E">
      <w:pPr>
        <w:pStyle w:val="Heading2"/>
      </w:pPr>
      <w:r>
        <w:lastRenderedPageBreak/>
        <w:t xml:space="preserve">7. Culture, </w:t>
      </w:r>
      <w:bookmarkStart w:id="8" w:name="cdop-and-the-larger-goal"/>
      <w:r>
        <w:t>CDOP and the larger goal</w:t>
      </w:r>
    </w:p>
    <w:p w:rsidR="001232D7" w:rsidRDefault="001232D7" w:rsidP="001232D7">
      <w:pPr>
        <w:pStyle w:val="BodyText"/>
        <w:keepNext/>
        <w:jc w:val="center"/>
      </w:pPr>
      <w:r>
        <w:rPr>
          <w:i/>
          <w:iCs/>
          <w:noProof/>
          <w:sz w:val="21"/>
          <w:szCs w:val="21"/>
        </w:rPr>
        <w:drawing>
          <wp:inline distT="0" distB="0" distL="0" distR="0" wp14:anchorId="4AA57894" wp14:editId="490F9D22">
            <wp:extent cx="5439679" cy="2980782"/>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5440103" cy="2981015"/>
                    </a:xfrm>
                    <a:prstGeom prst="rect">
                      <a:avLst/>
                    </a:prstGeom>
                  </pic:spPr>
                </pic:pic>
              </a:graphicData>
            </a:graphic>
          </wp:inline>
        </w:drawing>
      </w:r>
    </w:p>
    <w:p w:rsidR="001232D7" w:rsidRPr="001232D7" w:rsidRDefault="001232D7" w:rsidP="001232D7">
      <w:pPr>
        <w:pStyle w:val="Caption"/>
        <w:ind w:left="540" w:right="540"/>
        <w:rPr>
          <w:sz w:val="22"/>
        </w:rPr>
      </w:pPr>
      <w:r w:rsidRPr="001232D7">
        <w:rPr>
          <w:sz w:val="22"/>
        </w:rPr>
        <w:t xml:space="preserve">Figure </w:t>
      </w:r>
      <w:r w:rsidRPr="001232D7">
        <w:rPr>
          <w:sz w:val="22"/>
        </w:rPr>
        <w:fldChar w:fldCharType="begin"/>
      </w:r>
      <w:r w:rsidRPr="001232D7">
        <w:rPr>
          <w:sz w:val="22"/>
        </w:rPr>
        <w:instrText xml:space="preserve"> SEQ Figure \* ARABIC </w:instrText>
      </w:r>
      <w:r w:rsidRPr="001232D7">
        <w:rPr>
          <w:sz w:val="22"/>
        </w:rPr>
        <w:fldChar w:fldCharType="separate"/>
      </w:r>
      <w:r w:rsidRPr="001232D7">
        <w:rPr>
          <w:noProof/>
          <w:sz w:val="22"/>
        </w:rPr>
        <w:t>1</w:t>
      </w:r>
      <w:r w:rsidRPr="001232D7">
        <w:rPr>
          <w:sz w:val="22"/>
        </w:rPr>
        <w:fldChar w:fldCharType="end"/>
      </w:r>
      <w:r w:rsidRPr="001232D7">
        <w:rPr>
          <w:sz w:val="22"/>
        </w:rPr>
        <w:t xml:space="preserve"> - Computing Place architecture. Lines indicate connections in prototype platform as of March, 2026</w:t>
      </w:r>
    </w:p>
    <w:p w:rsidR="00B83CB0" w:rsidRDefault="0019139E">
      <w:pPr>
        <w:pStyle w:val="BodyText"/>
      </w:pPr>
      <w:r>
        <w:t xml:space="preserve">The </w:t>
      </w:r>
      <w:r>
        <w:t>Cultural Dimensions of Place (CDOP) component of Computing Place complements EDOP, and the exploratory and analytical space linking them requires EDOP signatu</w:t>
      </w:r>
      <w:r>
        <w:t>res. EDOP records environmental affordances and constraints; CDOP contributes what cultures have done within particular physical settings (Fig 1). CDOP work has begun by identifying and preparing spatialized datasets representing cultural phenomena of vari</w:t>
      </w:r>
      <w:r>
        <w:t xml:space="preserve">ous kinds. </w:t>
      </w:r>
    </w:p>
    <w:p w:rsidR="00B83CB0" w:rsidRDefault="0019139E">
      <w:pPr>
        <w:pStyle w:val="BodyText"/>
      </w:pPr>
      <w:r>
        <w:t xml:space="preserve">These core datasets, mentioned above as being integral to EDOP signature validation work, will see further use in seeking patterns of co-relation: </w:t>
      </w:r>
    </w:p>
    <w:p w:rsidR="00B83CB0" w:rsidRDefault="0019139E">
      <w:pPr>
        <w:pStyle w:val="BodyText"/>
      </w:pPr>
      <w:r>
        <w:rPr>
          <w:b/>
          <w:bCs/>
        </w:rPr>
        <w:t>D-PLACE</w:t>
      </w:r>
      <w:r>
        <w:t xml:space="preserve">: </w:t>
      </w:r>
      <w:r>
        <w:t>“...contains cultural, linguistic, environmental and geographic information for over 14</w:t>
      </w:r>
      <w:r>
        <w:t>00 human ‘societies’. A ‘society’ in D-PLACE represents a group of people in a particular locality, who often share a language and cultural identity.</w:t>
      </w:r>
    </w:p>
    <w:p w:rsidR="00B83CB0" w:rsidRDefault="0019139E">
      <w:pPr>
        <w:pStyle w:val="BodyText"/>
      </w:pPr>
      <w:proofErr w:type="spellStart"/>
      <w:r>
        <w:rPr>
          <w:b/>
          <w:bCs/>
        </w:rPr>
        <w:t>Cliopatria</w:t>
      </w:r>
      <w:proofErr w:type="spellEnd"/>
      <w:r>
        <w:t>: “...a comprehensive open-source [temporally scoped] geospatial dataset of worldwide states, po</w:t>
      </w:r>
      <w:r>
        <w:t xml:space="preserve">litical groups, events, and rulers from 3400BCE to the present day. It is part of the </w:t>
      </w:r>
      <w:proofErr w:type="spellStart"/>
      <w:r>
        <w:t>Seshat</w:t>
      </w:r>
      <w:proofErr w:type="spellEnd"/>
      <w:r>
        <w:t xml:space="preserve"> Global History Databank project.”</w:t>
      </w:r>
    </w:p>
    <w:p w:rsidR="00B83CB0" w:rsidRDefault="0019139E">
      <w:pPr>
        <w:pStyle w:val="BodyText"/>
      </w:pPr>
      <w:r>
        <w:rPr>
          <w:b/>
          <w:bCs/>
        </w:rPr>
        <w:t>Chandler-Modelski historical population</w:t>
      </w:r>
      <w:r>
        <w:t xml:space="preserve">: “...the first spatially explicit dataset of urban settlements from 3700 BC to AD 2000…” </w:t>
      </w:r>
      <w:r>
        <w:t>previously published by Reba et al (2016) derived from work by Chandler and Modelski.”</w:t>
      </w:r>
    </w:p>
    <w:p w:rsidR="00B83CB0" w:rsidRDefault="0019139E">
      <w:pPr>
        <w:pStyle w:val="BodyText"/>
      </w:pPr>
      <w:r>
        <w:t>Experiments have begun in the Computing Place platform prototype with descriptive text for 258 UNESCO World Heritage Cities, and similar semantic embedding experiments a</w:t>
      </w:r>
      <w:r>
        <w:t>re planned using nomination documents for Intangible Cultural Heritage listings.</w:t>
      </w:r>
    </w:p>
    <w:p w:rsidR="00B83CB0" w:rsidRDefault="0019139E">
      <w:pPr>
        <w:pStyle w:val="BodyText"/>
      </w:pPr>
      <w:r>
        <w:lastRenderedPageBreak/>
        <w:t>The linking of EDOP and CDOP data can facilitate answering many kinds of questions, including but not limited to: Do cultural traits cluster in particular environmental regime</w:t>
      </w:r>
      <w:r>
        <w:t>s? How do environmental gradients correspond to linguistic, social, or economic variation? How stable are signatures across historical change?</w:t>
      </w:r>
    </w:p>
    <w:p w:rsidR="00B83CB0" w:rsidRDefault="0019139E">
      <w:pPr>
        <w:pStyle w:val="BodyText"/>
      </w:pPr>
      <w:r>
        <w:t>One early demonstrator developed sets of signatures for the extents of Northern Song Dynasty over an 18-year peri</w:t>
      </w:r>
      <w:r>
        <w:t xml:space="preserve">od, as recorded in the </w:t>
      </w:r>
      <w:proofErr w:type="spellStart"/>
      <w:r>
        <w:t>Cliopatria</w:t>
      </w:r>
      <w:proofErr w:type="spellEnd"/>
      <w:r>
        <w:t xml:space="preserve"> dataset. Mapping the aridity value of contained basins illustrates what was arguably a deliberate move to acquire more arable territory (Fig 2).</w:t>
      </w:r>
    </w:p>
    <w:p w:rsidR="00B83CB0" w:rsidRDefault="0019139E">
      <w:pPr>
        <w:pStyle w:val="BodyText"/>
      </w:pPr>
      <w:r>
        <w:rPr>
          <w:noProof/>
        </w:rPr>
        <mc:AlternateContent>
          <mc:Choice Requires="wps">
            <w:drawing>
              <wp:inline distT="0" distB="0" distL="0" distR="0">
                <wp:extent cx="5943600" cy="2313305"/>
                <wp:effectExtent l="0" t="0" r="0" b="0"/>
                <wp:docPr id="5" name="Frame2"/>
                <wp:cNvGraphicFramePr/>
                <a:graphic xmlns:a="http://schemas.openxmlformats.org/drawingml/2006/main">
                  <a:graphicData uri="http://schemas.microsoft.com/office/word/2010/wordprocessingShape">
                    <wps:wsp>
                      <wps:cNvSpPr txBox="1"/>
                      <wps:spPr>
                        <a:xfrm>
                          <a:off x="0" y="0"/>
                          <a:ext cx="5943600" cy="2313305"/>
                        </a:xfrm>
                        <a:prstGeom prst="rect">
                          <a:avLst/>
                        </a:prstGeom>
                        <a:solidFill>
                          <a:srgbClr val="FFFFFF"/>
                        </a:solidFill>
                      </wps:spPr>
                      <wps:txbx>
                        <w:txbxContent>
                          <w:p w:rsidR="00B83CB0" w:rsidRDefault="0019139E">
                            <w:pPr>
                              <w:pStyle w:val="Figure"/>
                              <w:rPr>
                                <w:i/>
                                <w:iCs/>
                              </w:rPr>
                            </w:pPr>
                            <w:r>
                              <w:rPr>
                                <w:i/>
                                <w:iCs/>
                                <w:noProof/>
                              </w:rPr>
                              <w:drawing>
                                <wp:inline distT="0" distB="0" distL="0" distR="0">
                                  <wp:extent cx="5943600" cy="196278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5943600" cy="1962785"/>
                                          </a:xfrm>
                                          <a:prstGeom prst="rect">
                                            <a:avLst/>
                                          </a:prstGeom>
                                        </pic:spPr>
                                      </pic:pic>
                                    </a:graphicData>
                                  </a:graphic>
                                </wp:inline>
                              </w:drawing>
                            </w:r>
                            <w:r>
                              <w:rPr>
                                <w:i/>
                                <w:iCs/>
                              </w:rPr>
                              <w:t xml:space="preserve">Figure </w:t>
                            </w:r>
                            <w:r>
                              <w:rPr>
                                <w:i/>
                                <w:iCs/>
                              </w:rPr>
                              <w:fldChar w:fldCharType="begin"/>
                            </w:r>
                            <w:r>
                              <w:rPr>
                                <w:i/>
                                <w:iCs/>
                              </w:rPr>
                              <w:instrText xml:space="preserve"> SEQ Figure \* ARABIC </w:instrText>
                            </w:r>
                            <w:r>
                              <w:rPr>
                                <w:i/>
                                <w:iCs/>
                              </w:rPr>
                              <w:fldChar w:fldCharType="separate"/>
                            </w:r>
                            <w:r w:rsidR="001232D7">
                              <w:rPr>
                                <w:i/>
                                <w:iCs/>
                                <w:noProof/>
                              </w:rPr>
                              <w:t>2</w:t>
                            </w:r>
                            <w:r>
                              <w:rPr>
                                <w:i/>
                                <w:iCs/>
                              </w:rPr>
                              <w:fldChar w:fldCharType="end"/>
                            </w:r>
                            <w:r>
                              <w:rPr>
                                <w:i/>
                                <w:iCs/>
                              </w:rPr>
                              <w:t xml:space="preserve">: Expansion of Northern Song Dynasty </w:t>
                            </w:r>
                            <w:r>
                              <w:rPr>
                                <w:i/>
                                <w:iCs/>
                              </w:rPr>
                              <w:t xml:space="preserve">into territory with greater moisture availability (isolating </w:t>
                            </w:r>
                            <w:proofErr w:type="spellStart"/>
                            <w:r>
                              <w:rPr>
                                <w:i/>
                                <w:iCs/>
                              </w:rPr>
                              <w:t>BasinATLAS</w:t>
                            </w:r>
                            <w:proofErr w:type="spellEnd"/>
                            <w:r>
                              <w:rPr>
                                <w:i/>
                                <w:iCs/>
                              </w:rPr>
                              <w:t xml:space="preserve"> ‘Global Aridity Index’), 962-980CE</w:t>
                            </w:r>
                          </w:p>
                        </w:txbxContent>
                      </wps:txbx>
                      <wps:bodyPr lIns="0" tIns="0" rIns="0" bIns="0" anchor="t">
                        <a:noAutofit/>
                      </wps:bodyPr>
                    </wps:wsp>
                  </a:graphicData>
                </a:graphic>
              </wp:inline>
            </w:drawing>
          </mc:Choice>
          <mc:Fallback>
            <w:pict>
              <v:shapetype id="_x0000_t202" coordsize="21600,21600" o:spt="202" path="m,l,21600r21600,l21600,xe">
                <v:stroke joinstyle="miter"/>
                <v:path gradientshapeok="t" o:connecttype="rect"/>
              </v:shapetype>
              <v:shape id="Frame2" o:spid="_x0000_s1026" type="#_x0000_t202" style="width:468pt;height:18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" stroked="f">
                <v:textbox inset="0,0,0,0">
                  <w:txbxContent>
                    <w:p w:rsidR="00B83CB0" w:rsidRDefault="0019139E">
                      <w:pPr>
                        <w:pStyle w:val="Figure"/>
                        <w:rPr>
                          <w:i/>
                          <w:iCs/>
                        </w:rPr>
                      </w:pPr>
                      <w:r>
                        <w:rPr>
                          <w:i/>
                          <w:iCs/>
                          <w:noProof/>
                        </w:rPr>
                        <w:drawing>
                          <wp:inline distT="0" distB="0" distL="0" distR="0">
                            <wp:extent cx="5943600" cy="196278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5943600" cy="1962785"/>
                                    </a:xfrm>
                                    <a:prstGeom prst="rect">
                                      <a:avLst/>
                                    </a:prstGeom>
                                  </pic:spPr>
                                </pic:pic>
                              </a:graphicData>
                            </a:graphic>
                          </wp:inline>
                        </w:drawing>
                      </w:r>
                      <w:r>
                        <w:rPr>
                          <w:i/>
                          <w:iCs/>
                        </w:rPr>
                        <w:t xml:space="preserve">Figure </w:t>
                      </w:r>
                      <w:r>
                        <w:rPr>
                          <w:i/>
                          <w:iCs/>
                        </w:rPr>
                        <w:fldChar w:fldCharType="begin"/>
                      </w:r>
                      <w:r>
                        <w:rPr>
                          <w:i/>
                          <w:iCs/>
                        </w:rPr>
                        <w:instrText xml:space="preserve"> SEQ Figure \* ARABIC </w:instrText>
                      </w:r>
                      <w:r>
                        <w:rPr>
                          <w:i/>
                          <w:iCs/>
                        </w:rPr>
                        <w:fldChar w:fldCharType="separate"/>
                      </w:r>
                      <w:r w:rsidR="001232D7">
                        <w:rPr>
                          <w:i/>
                          <w:iCs/>
                          <w:noProof/>
                        </w:rPr>
                        <w:t>2</w:t>
                      </w:r>
                      <w:r>
                        <w:rPr>
                          <w:i/>
                          <w:iCs/>
                        </w:rPr>
                        <w:fldChar w:fldCharType="end"/>
                      </w:r>
                      <w:r>
                        <w:rPr>
                          <w:i/>
                          <w:iCs/>
                        </w:rPr>
                        <w:t xml:space="preserve">: Expansion of Northern Song Dynasty </w:t>
                      </w:r>
                      <w:r>
                        <w:rPr>
                          <w:i/>
                          <w:iCs/>
                        </w:rPr>
                        <w:t xml:space="preserve">into territory with greater moisture availability (isolating </w:t>
                      </w:r>
                      <w:proofErr w:type="spellStart"/>
                      <w:r>
                        <w:rPr>
                          <w:i/>
                          <w:iCs/>
                        </w:rPr>
                        <w:t>BasinATLAS</w:t>
                      </w:r>
                      <w:proofErr w:type="spellEnd"/>
                      <w:r>
                        <w:rPr>
                          <w:i/>
                          <w:iCs/>
                        </w:rPr>
                        <w:t xml:space="preserve"> ‘Global Aridity Index’), 962-980CE</w:t>
                      </w:r>
                    </w:p>
                  </w:txbxContent>
                </v:textbox>
                <w10:anchorlock/>
              </v:shape>
            </w:pict>
          </mc:Fallback>
        </mc:AlternateContent>
      </w:r>
    </w:p>
    <w:bookmarkEnd w:id="8"/>
    <w:p w:rsidR="00B83CB0" w:rsidRDefault="0019139E">
      <w:pPr>
        <w:pStyle w:val="Heading2"/>
      </w:pPr>
      <w:r>
        <w:t>8. Current state and next steps</w:t>
      </w:r>
    </w:p>
    <w:p w:rsidR="00B83CB0" w:rsidRDefault="0019139E">
      <w:pPr>
        <w:pStyle w:val="BodyText"/>
      </w:pPr>
      <w:r>
        <w:t>The Computing Place project began in early January, 2026 and produced a prototype web platform to display work-in-pr</w:t>
      </w:r>
      <w:r>
        <w:t xml:space="preserve">ogress a month later at </w:t>
      </w:r>
      <w:hyperlink r:id="rId10">
        <w:r>
          <w:rPr>
            <w:rStyle w:val="Hyperlink"/>
          </w:rPr>
          <w:t>https://cedop.kgeographer.org/edop/</w:t>
        </w:r>
      </w:hyperlink>
      <w:r>
        <w:t>. Early work included developing:</w:t>
      </w:r>
    </w:p>
    <w:p w:rsidR="00B83CB0" w:rsidRDefault="0019139E">
      <w:pPr>
        <w:pStyle w:val="BodyText"/>
        <w:numPr>
          <w:ilvl w:val="0"/>
          <w:numId w:val="2"/>
        </w:numPr>
      </w:pPr>
      <w:r>
        <w:t>Three ways of specifying a place to obtain a basin signature: integrated WHG toponym lookup, small (97k) int</w:t>
      </w:r>
      <w:r>
        <w:t>ernal gazetteer lookup, and selecting one of 258 World Heritage Cities (WHC).</w:t>
      </w:r>
    </w:p>
    <w:p w:rsidR="00B83CB0" w:rsidRDefault="0019139E">
      <w:pPr>
        <w:pStyle w:val="BodyText"/>
        <w:numPr>
          <w:ilvl w:val="0"/>
          <w:numId w:val="2"/>
        </w:numPr>
      </w:pPr>
      <w:r>
        <w:t>Signature service returning a summary profile and full Band A-D attribute groupings per submitted place.</w:t>
      </w:r>
    </w:p>
    <w:p w:rsidR="00B83CB0" w:rsidRDefault="0019139E">
      <w:pPr>
        <w:pStyle w:val="BodyText"/>
        <w:numPr>
          <w:ilvl w:val="0"/>
          <w:numId w:val="2"/>
        </w:numPr>
      </w:pPr>
      <w:r>
        <w:t xml:space="preserve">Tool for finding and mapping cities with similar profiles in the WHC set </w:t>
      </w:r>
      <w:r>
        <w:t>of 258.</w:t>
      </w:r>
    </w:p>
    <w:p w:rsidR="00B83CB0" w:rsidRDefault="0019139E">
      <w:pPr>
        <w:pStyle w:val="BodyText"/>
        <w:numPr>
          <w:ilvl w:val="0"/>
          <w:numId w:val="2"/>
        </w:numPr>
      </w:pPr>
      <w:r>
        <w:t>Tool for browsing and mapping basin type clusters developed with principal components analysis.</w:t>
      </w:r>
    </w:p>
    <w:p w:rsidR="00B83CB0" w:rsidRDefault="0019139E">
      <w:pPr>
        <w:pStyle w:val="BodyText"/>
        <w:numPr>
          <w:ilvl w:val="0"/>
          <w:numId w:val="2"/>
        </w:numPr>
      </w:pPr>
      <w:r>
        <w:t xml:space="preserve">Tool for drilling down through the </w:t>
      </w:r>
      <w:proofErr w:type="spellStart"/>
      <w:r>
        <w:t>OneEarth</w:t>
      </w:r>
      <w:proofErr w:type="spellEnd"/>
      <w:r>
        <w:t xml:space="preserve"> bioregion/ecoregion hierarchy, displaying maps, and at the ecoregion level, Wikipedia summary descriptions.</w:t>
      </w:r>
    </w:p>
    <w:p w:rsidR="00B83CB0" w:rsidRDefault="0019139E">
      <w:pPr>
        <w:pStyle w:val="BodyText"/>
        <w:numPr>
          <w:ilvl w:val="0"/>
          <w:numId w:val="2"/>
        </w:numPr>
      </w:pPr>
      <w:r>
        <w:t xml:space="preserve">Experimental interface to D-PLACE data, mapping societies according to two of the many dimensions of its data: </w:t>
      </w:r>
      <w:r>
        <w:rPr>
          <w:i/>
          <w:iCs/>
        </w:rPr>
        <w:t>dominant subsistence</w:t>
      </w:r>
      <w:r>
        <w:t xml:space="preserve"> and </w:t>
      </w:r>
      <w:r>
        <w:rPr>
          <w:i/>
          <w:iCs/>
        </w:rPr>
        <w:t>high gods</w:t>
      </w:r>
      <w:r>
        <w:t>.</w:t>
      </w:r>
    </w:p>
    <w:p w:rsidR="00B83CB0" w:rsidRDefault="0019139E">
      <w:pPr>
        <w:pStyle w:val="BodyText"/>
        <w:numPr>
          <w:ilvl w:val="0"/>
          <w:numId w:val="2"/>
        </w:numPr>
      </w:pPr>
      <w:r>
        <w:lastRenderedPageBreak/>
        <w:t>Search/browse for World Heritage Cities, returning signatures and optional lookup of cities with similar EDOP</w:t>
      </w:r>
      <w:r>
        <w:t xml:space="preserve"> signatures and semantic content derived from Wikipedia article embeddings for four themes: </w:t>
      </w:r>
      <w:r>
        <w:rPr>
          <w:i/>
          <w:iCs/>
        </w:rPr>
        <w:t>environment</w:t>
      </w:r>
      <w:r>
        <w:t xml:space="preserve">, </w:t>
      </w:r>
      <w:r>
        <w:rPr>
          <w:i/>
          <w:iCs/>
        </w:rPr>
        <w:t>history</w:t>
      </w:r>
      <w:r>
        <w:t xml:space="preserve">, </w:t>
      </w:r>
      <w:r>
        <w:rPr>
          <w:i/>
          <w:iCs/>
        </w:rPr>
        <w:t>culture</w:t>
      </w:r>
      <w:r>
        <w:t xml:space="preserve">, and </w:t>
      </w:r>
      <w:r>
        <w:rPr>
          <w:i/>
          <w:iCs/>
        </w:rPr>
        <w:t>‘modern’.</w:t>
      </w:r>
    </w:p>
    <w:p w:rsidR="00B83CB0" w:rsidRDefault="0019139E">
      <w:pPr>
        <w:pStyle w:val="BodyText"/>
        <w:numPr>
          <w:ilvl w:val="0"/>
          <w:numId w:val="2"/>
        </w:numPr>
      </w:pPr>
      <w:r>
        <w:t>A public API exposing documented endpoints</w:t>
      </w:r>
    </w:p>
    <w:p w:rsidR="00B83CB0" w:rsidRDefault="0019139E">
      <w:pPr>
        <w:pStyle w:val="Heading3"/>
      </w:pPr>
      <w:bookmarkStart w:id="9" w:name="current-state-and-next-steps"/>
      <w:bookmarkEnd w:id="9"/>
      <w:r>
        <w:t>Next steps</w:t>
      </w:r>
    </w:p>
    <w:p w:rsidR="00B83CB0" w:rsidRDefault="0019139E">
      <w:pPr>
        <w:pStyle w:val="BodyText"/>
      </w:pPr>
      <w:r>
        <w:t xml:space="preserve">Refining the EDOP component of Computing Place is now the top priority—work that includes three efforts mentioned earlier: studies of scale sensitivity and upstream/downstream distance weighting, and validation against settlement datasets. </w:t>
      </w:r>
    </w:p>
    <w:p w:rsidR="00B83CB0" w:rsidRDefault="0019139E">
      <w:pPr>
        <w:pStyle w:val="BodyText"/>
      </w:pPr>
      <w:r>
        <w:t>EDOP is intende</w:t>
      </w:r>
      <w:r>
        <w:t>d to have broad utility to researchers in several disciplines, and ideally will be supported on a “permanent” basis by one or more institutions with that capability and inclination. Inquiries are being made.</w:t>
      </w:r>
    </w:p>
    <w:p w:rsidR="00B83CB0" w:rsidRDefault="0019139E">
      <w:pPr>
        <w:pStyle w:val="BodyText"/>
      </w:pPr>
      <w:r>
        <w:t>Feedback on either of the Computing Place compon</w:t>
      </w:r>
      <w:r>
        <w:t>ents is most welcome, as well as on the overall project. A more technical overview is available on request.</w:t>
      </w:r>
    </w:p>
    <w:p w:rsidR="00B83CB0" w:rsidRDefault="0019139E">
      <w:pPr>
        <w:pStyle w:val="Heading2"/>
      </w:pPr>
      <w:r>
        <w:t>In c</w:t>
      </w:r>
      <w:bookmarkStart w:id="10" w:name="closing"/>
      <w:r>
        <w:t>losing</w:t>
      </w:r>
    </w:p>
    <w:p w:rsidR="00B83CB0" w:rsidRDefault="0019139E">
      <w:pPr>
        <w:pStyle w:val="BodyTextIndent"/>
      </w:pPr>
      <w:r>
        <w:t>“An ordered presentation of the landscapes of the earth is a formidable undertaking.”</w:t>
      </w:r>
      <w:r>
        <w:br/>
        <w:t>-- Carl Sauer (1925)</w:t>
      </w:r>
    </w:p>
    <w:p w:rsidR="00B83CB0" w:rsidRDefault="0019139E">
      <w:pPr>
        <w:pStyle w:val="BodyTextIndent"/>
      </w:pPr>
      <w:r>
        <w:t>“Nothing for it but to do it”</w:t>
      </w:r>
      <w:r>
        <w:br/>
      </w:r>
      <w:r>
        <w:t>-- Karl Grossner (2026)</w:t>
      </w:r>
    </w:p>
    <w:p w:rsidR="00B83CB0" w:rsidRDefault="0019139E">
      <w:pPr>
        <w:pStyle w:val="BodyText"/>
      </w:pPr>
      <w:r>
        <w:t xml:space="preserve">Computing Place is admittedly ambitious, perhaps overly so. It is driven by personal research questions about culture and geography, which require a way of summarizing environmental settings efficiently but robustly—namely EDOP, so </w:t>
      </w:r>
      <w:r>
        <w:t>that is where the initial focus is. The CDOP work is so far only meanderings, a search for patterns that may or may not lead to empirical findings and even theory. But first things first, as the saying goes.</w:t>
      </w:r>
    </w:p>
    <w:p w:rsidR="00B83CB0" w:rsidRDefault="0019139E">
      <w:pPr>
        <w:pStyle w:val="Heading2"/>
      </w:pPr>
      <w:r>
        <w:t>References</w:t>
      </w:r>
    </w:p>
    <w:p w:rsidR="00B83CB0" w:rsidRDefault="0019139E">
      <w:pPr>
        <w:pStyle w:val="BodyText"/>
      </w:pPr>
      <w:proofErr w:type="spellStart"/>
      <w:r>
        <w:t>Dinerstein</w:t>
      </w:r>
      <w:proofErr w:type="spellEnd"/>
      <w:r>
        <w:t>, E., Olson, D., Joshi, A.,</w:t>
      </w:r>
      <w:r>
        <w:t xml:space="preserve"> </w:t>
      </w:r>
      <w:proofErr w:type="spellStart"/>
      <w:r>
        <w:t>Vynne</w:t>
      </w:r>
      <w:proofErr w:type="spellEnd"/>
      <w:r>
        <w:t xml:space="preserve">, C., Burgess, N. D., </w:t>
      </w:r>
      <w:proofErr w:type="spellStart"/>
      <w:r>
        <w:t>Wikramanayake</w:t>
      </w:r>
      <w:proofErr w:type="spellEnd"/>
      <w:r>
        <w:t xml:space="preserve">, E., ... &amp; Saleem, M. (2017). An ecoregion-based approach to protecting half the terrestrial realm. </w:t>
      </w:r>
      <w:proofErr w:type="spellStart"/>
      <w:r>
        <w:rPr>
          <w:i/>
        </w:rPr>
        <w:t>BioScience</w:t>
      </w:r>
      <w:proofErr w:type="spellEnd"/>
      <w:r>
        <w:t xml:space="preserve">, </w:t>
      </w:r>
      <w:r>
        <w:rPr>
          <w:i/>
        </w:rPr>
        <w:t>67</w:t>
      </w:r>
      <w:r>
        <w:t>(6), 534-545.</w:t>
      </w:r>
    </w:p>
    <w:p w:rsidR="00B83CB0" w:rsidRDefault="0019139E">
      <w:pPr>
        <w:pStyle w:val="BodyText"/>
      </w:pPr>
      <w:r>
        <w:t xml:space="preserve">Reba, M., </w:t>
      </w:r>
      <w:proofErr w:type="spellStart"/>
      <w:r>
        <w:t>Reitsma</w:t>
      </w:r>
      <w:proofErr w:type="spellEnd"/>
      <w:r>
        <w:t xml:space="preserve">, F., &amp; </w:t>
      </w:r>
      <w:proofErr w:type="spellStart"/>
      <w:r>
        <w:t>Seto</w:t>
      </w:r>
      <w:proofErr w:type="spellEnd"/>
      <w:r>
        <w:t>, K. C. (2016). Spatializing 6,000 years of global urbani</w:t>
      </w:r>
      <w:r>
        <w:t xml:space="preserve">zation from 3700 BC to AD 2000. </w:t>
      </w:r>
      <w:r>
        <w:rPr>
          <w:i/>
        </w:rPr>
        <w:t>Scientific data</w:t>
      </w:r>
      <w:r>
        <w:t xml:space="preserve">, </w:t>
      </w:r>
      <w:r>
        <w:rPr>
          <w:i/>
        </w:rPr>
        <w:t>3</w:t>
      </w:r>
      <w:r>
        <w:t>(1), 160034.</w:t>
      </w:r>
      <w:bookmarkEnd w:id="0"/>
      <w:bookmarkEnd w:id="10"/>
    </w:p>
    <w:sectPr w:rsidR="00B83CB0">
      <w:footnotePr>
        <w:numRestart w:val="eachSect"/>
      </w:footnotePr>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139E" w:rsidRDefault="0019139E">
      <w:pPr>
        <w:spacing w:after="0"/>
      </w:pPr>
      <w:r>
        <w:separator/>
      </w:r>
    </w:p>
  </w:endnote>
  <w:endnote w:type="continuationSeparator" w:id="0">
    <w:p w:rsidR="0019139E" w:rsidRDefault="001913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mbria"/>
    <w:panose1 w:val="020B0604020202020204"/>
    <w:charset w:val="01"/>
    <w:family w:val="roman"/>
    <w:pitch w:val="variable"/>
  </w:font>
  <w:font w:name="Aptos Display">
    <w:altName w:val="Cambria"/>
    <w:panose1 w:val="020B0604020202020204"/>
    <w:charset w:val="01"/>
    <w:family w:val="roman"/>
    <w:pitch w:val="variable"/>
  </w:font>
  <w:font w:name="Consolas">
    <w:panose1 w:val="020B0609020204030204"/>
    <w:charset w:val="00"/>
    <w:family w:val="modern"/>
    <w:pitch w:val="fixed"/>
    <w:sig w:usb0="00000003" w:usb1="00000000" w:usb2="00000000" w:usb3="00000000" w:csb0="00000001" w:csb1="00000000"/>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Liberation Mono">
    <w:altName w:val="Courier New"/>
    <w:panose1 w:val="020B0604020202020204"/>
    <w:charset w:val="01"/>
    <w:family w:val="modern"/>
    <w:pitch w:val="fix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139E" w:rsidRDefault="0019139E">
      <w:pPr>
        <w:rPr>
          <w:sz w:val="12"/>
        </w:rPr>
      </w:pPr>
      <w:r>
        <w:separator/>
      </w:r>
    </w:p>
  </w:footnote>
  <w:footnote w:type="continuationSeparator" w:id="0">
    <w:p w:rsidR="0019139E" w:rsidRDefault="0019139E">
      <w:pPr>
        <w:rPr>
          <w:sz w:val="12"/>
        </w:rPr>
      </w:pPr>
      <w:r>
        <w:continuationSeparator/>
      </w:r>
    </w:p>
  </w:footnote>
  <w:footnote w:id="1">
    <w:p w:rsidR="00B83CB0" w:rsidRDefault="0019139E">
      <w:pPr>
        <w:pStyle w:val="FootnoteText"/>
      </w:pPr>
      <w:r>
        <w:rPr>
          <w:rStyle w:val="FootnoteCharacters"/>
        </w:rPr>
        <w:footnoteRef/>
      </w:r>
      <w:r>
        <w:t xml:space="preserve"> https://www.hydrosheds.org/hydroatlas</w:t>
      </w:r>
    </w:p>
  </w:footnote>
  <w:footnote w:id="2">
    <w:p w:rsidR="00B83CB0" w:rsidRDefault="0019139E">
      <w:pPr>
        <w:pStyle w:val="FootnoteText"/>
      </w:pPr>
      <w:r>
        <w:rPr>
          <w:rStyle w:val="FootnoteCharacters"/>
        </w:rPr>
        <w:footnoteRef/>
      </w:r>
      <w:r>
        <w:t>https://www.oneearth.org/bioregions-2023/</w:t>
      </w:r>
    </w:p>
  </w:footnote>
  <w:footnote w:id="3">
    <w:p w:rsidR="00B83CB0" w:rsidRDefault="0019139E">
      <w:pPr>
        <w:pStyle w:val="FootnoteText"/>
      </w:pPr>
      <w:r>
        <w:rPr>
          <w:rStyle w:val="FootnoteCharacters"/>
        </w:rPr>
        <w:footnoteRef/>
      </w:r>
      <w:r>
        <w:t xml:space="preserve"> https://d-place.org</w:t>
      </w:r>
    </w:p>
  </w:footnote>
  <w:footnote w:id="4">
    <w:p w:rsidR="00B83CB0" w:rsidRDefault="0019139E">
      <w:pPr>
        <w:pStyle w:val="FootnoteText"/>
      </w:pPr>
      <w:r>
        <w:rPr>
          <w:rStyle w:val="FootnoteCharacters"/>
        </w:rPr>
        <w:footnoteRef/>
      </w:r>
      <w:r>
        <w:t xml:space="preserve"> </w:t>
      </w:r>
      <w:r>
        <w:t>https://github.com/Seshat-Global-History-Databank/cliopatria</w:t>
      </w:r>
    </w:p>
  </w:footnote>
  <w:footnote w:id="5">
    <w:p w:rsidR="00B83CB0" w:rsidRDefault="0019139E">
      <w:pPr>
        <w:pStyle w:val="FootnoteText"/>
      </w:pPr>
      <w:r>
        <w:rPr>
          <w:rStyle w:val="FootnoteCharacters"/>
        </w:rPr>
        <w:footnoteRef/>
      </w:r>
      <w:r>
        <w:t xml:space="preserve"> https://seshatdatabank.info/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46544"/>
    <w:multiLevelType w:val="multilevel"/>
    <w:tmpl w:val="36D031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51531E05"/>
    <w:multiLevelType w:val="multilevel"/>
    <w:tmpl w:val="D21C3D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 w15:restartNumberingAfterBreak="0">
    <w:nsid w:val="7204609B"/>
    <w:multiLevelType w:val="multilevel"/>
    <w:tmpl w:val="C5A03F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embedSystemFonts/>
  <w:hideSpellingErrors/>
  <w:proofState w:spelling="clean"/>
  <w:defaultTabStop w:val="720"/>
  <w:autoHyphenation/>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B0"/>
    <w:rsid w:val="001232D7"/>
    <w:rsid w:val="0019139E"/>
    <w:rsid w:val="00B83CB0"/>
    <w:rsid w:val="00FD55C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2CDB3"/>
  <w15:docId w15:val="{FAE91258-1D4C-534C-8FE0-1FBCCC87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58" w:after="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156082"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qFormat/>
    <w:pPr>
      <w:spacing w:before="86" w:after="187"/>
    </w:pPr>
  </w:style>
  <w:style w:type="paragraph" w:styleId="List">
    <w:name w:val="List"/>
    <w:basedOn w:val="BodyText"/>
    <w:rPr>
      <w:rFonts w:cs="Arial Unicode M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9"/>
    </w:pPr>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Draftbody">
    <w:name w:val="Draft body"/>
    <w:basedOn w:val="BodyText"/>
    <w:qFormat/>
  </w:style>
  <w:style w:type="paragraph" w:styleId="BodyTextIndent">
    <w:name w:val="Body Text Indent"/>
    <w:basedOn w:val="BodyText"/>
    <w:pPr>
      <w:ind w:left="283"/>
    </w:pPr>
  </w:style>
  <w:style w:type="paragraph" w:customStyle="1" w:styleId="Quotations">
    <w:name w:val="Quotations"/>
    <w:basedOn w:val="Normal"/>
    <w:qFormat/>
    <w:pPr>
      <w:spacing w:after="283"/>
      <w:ind w:left="567" w:right="567"/>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edop.kgeographer.org/edop/"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2941</Words>
  <Characters>16766</Characters>
  <Application>Microsoft Office Word</Application>
  <DocSecurity>0</DocSecurity>
  <Lines>139</Lines>
  <Paragraphs>39</Paragraphs>
  <ScaleCrop>false</ScaleCrop>
  <Company/>
  <LinksUpToDate>false</LinksUpToDate>
  <CharactersWithSpaces>19668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Grossner</dc:creator>
  <dc:description/>
  <cp:lastModifiedBy>K Grossner</cp:lastModifiedBy>
  <cp:revision>2</cp:revision>
  <dcterms:created xsi:type="dcterms:W3CDTF">2026-03-30T18:39:00Z</dcterms:created>
  <dcterms:modified xsi:type="dcterms:W3CDTF">2026-03-30T18:39:00Z</dcterms:modified>
  <dc:language>en-US</dc:language>
</cp:coreProperties>
</file>