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701"/>
        <w:gridCol w:w="2066"/>
        <w:gridCol w:w="2066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11.884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11.926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(0.061)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log(area_lot)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factorDuplex (2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(0.109)   </w:t>
            </w:r>
          </w:p>
        </w:tc>
      </w:tr>
      <w:tr>
        <w:trPr>
          <w:cantSplit/>
          <w:trHeight w:val="6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factorManufactured, Modular, Prefabricated Homes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(0.227)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factorMobile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-0.220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(0.097)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factorPlanned Unit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factorQuadruplex (4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factorResidential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(0.042)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factorSingle Family Residential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factorTownhouse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factorTriplex (3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num_unit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quality_factorBrick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-0.052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(0.455)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-0.537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 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quality_factorDome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-0.800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quality_factorFrame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quality_factorHeavy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0.250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-0.144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quality_factorManufactured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heating_factorFloor/Wall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heating_factorSolar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2474290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1698456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-2715638.689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-1783413.756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5431293.000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3566892.000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5431395.000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3567287.000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2474290.000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1698456.000    </w:t>
            </w:r>
          </w:p>
        </w:tc>
      </w:tr>
      <w:tr>
        <w:trPr>
          <w:cantSplit/>
          <w:trHeight w:val="673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2021-04-14T18:27:11Z</dcterms:modified>
  <cp:category/>
</cp:coreProperties>
</file>