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635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</w:rPr>
      </w:pPr>
    </w:p>
    <w:p w14:paraId="3487AE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44"/>
        </w:rPr>
        <w:t>海龟交易策略全链路实现与回测分析</w:t>
      </w:r>
    </w:p>
    <w:p w14:paraId="1FCA1B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2"/>
        </w:rPr>
        <w:t>Turtle Trading Strategy — Full Implementation &amp; Backtest</w:t>
      </w:r>
    </w:p>
    <w:p w14:paraId="651E85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</w:rPr>
      </w:pPr>
    </w:p>
    <w:p w14:paraId="17741F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8"/>
        </w:rPr>
        <w:t>Task 5 — 最终交付报告</w:t>
      </w:r>
    </w:p>
    <w:p w14:paraId="64AE0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2"/>
        </w:rPr>
        <w:t>Ricke | 2026年7月11日</w:t>
      </w:r>
    </w:p>
    <w:p w14:paraId="4EDD60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18"/>
        </w:rPr>
        <w:t>数据区间: 2023-07-11 至 2026-07-11 | 标的: 中芯国际·比亚迪·长江电力·美的集团·中国平安</w:t>
      </w:r>
    </w:p>
    <w:p w14:paraId="40D614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br w:type="page"/>
      </w:r>
    </w:p>
    <w:p w14:paraId="4C85E52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第一章  理论基础与数据说明</w:t>
      </w:r>
    </w:p>
    <w:p w14:paraId="25CA41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海龟交易策略由Richard Dennis与William Eckhardt于1983年创立，是经典的趋势跟踪交易系统。其核心哲学为"不预测方向，但当趋势出现时确保参与其中"。策略以三大支柱构建完整交易体系：(1) Donchian Channel识别趋势——N日最高/最低价构成上下轨道，突破上轨做多、突破下轨做空；(2) ATR量化波动与仓位——Wilder平滑ATR驱动仓位动态调整、止损距离设定及加仓间距确定；(3) 风险预算机制——每笔交易风险严格控制在总资金的2%，通过ATR计算公式确定仓位规模。相对双均线策略，海龟策略在强趋势适应力、动态风控能力、机械执行一致性方面具有显著优势。</w:t>
      </w:r>
    </w:p>
    <w:p w14:paraId="5B7133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4EF20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数据来源：Tushare Pro API。采集时间窗口严格限定为2023年7月11日至2026年7月11日（完整三年期）。5只标的均通过质量校验（有效交易日≥720天、连续缺失≤3日），数据字段完整无缺失。回测参数：初始资金¥1,000,000、手续费万分之三（双向）、滑点万分之二（双向）、加仓间隔0.5×ATR、最大加仓次数3次。</w:t>
      </w:r>
    </w:p>
    <w:p w14:paraId="19585F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45BC66A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第二章  价格与Donchian通道信号图（图1-5）</w:t>
      </w:r>
    </w:p>
    <w:p w14:paraId="1026E0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以下五张图展示每只标的的日K线收盘价、20日Donchian通道（上轨/下轨/中轨）及海龟策略交易信号标注。买入(红色三角)=突破上轨做多，离场(绿色三角)=跌破下轨或止损触发，加仓(橙色菱形)=每0.5ATR有利变动加仓，止损(紫色方块)=2×ATR止损触发。灰色半透明区域为通道填充区间。</w:t>
      </w:r>
    </w:p>
    <w:p w14:paraId="599B2F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274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8E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图1：中芯国际A(688981.SH) 海龟策略信号图——价格与Donchian通道</w:t>
      </w:r>
    </w:p>
    <w:p w14:paraId="512055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20日Donchian通道在三年期内有效框定了价格运行区间。中芯国际作为科创板高波动标的，通道宽度在不同阶段差异显著——2024年中期趋势明朗时通道开阔，2025年横盘震荡期间通道快速收窄。买入信号（红色三角）在上升趋势启动阶段较为可靠，但在震荡区间出现多次假突破（买入后迅速触发止损），与海龟策略在盘整市中的固有弱点吻合。整体而言，信号分布与趋势质量呈正相关。</w:t>
      </w:r>
    </w:p>
    <w:p w14:paraId="40C1E3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4E4A61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274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37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图2：比亚迪A(002594.SZ) 海龟策略信号图——价格与Donchian通道</w:t>
      </w:r>
    </w:p>
    <w:p w14:paraId="1AD0CC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比亚迪的价格通道信号图呈现出典型的高波动成长股特征。2024年度主升浪期间，价格沿上轨稳步攀升，加仓信号（橙色菱形）分布密集，策略通过金字塔加仓机制放大了趋势收益。然而2025年下半年密集出现的离场信号（绿色三角）揭示了策略对回调敏感的另一面——短暂下跌即触发止损，未及反弹便已离场。这表明在高波动标的上参数适度放宽（如N=25-30）或能改善持仓稳定性。</w:t>
      </w:r>
    </w:p>
    <w:p w14:paraId="5ED922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F45D4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274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E4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图3：长江电力A(600900.SH) 海龟策略信号图——价格与Donchian通道</w:t>
      </w:r>
    </w:p>
    <w:p w14:paraId="1A4EF6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长江电力的通道信号图呈现出典型的低波动防御型标的特征：价格走势平缓，通道区间狭窄且稳定，交易信号稀疏（26笔/3年，平均约每28个交易日一个信号）。相比高波动标的，长电的通道更忠实地反映了缓慢的趋势演变——每次突破信号对应的趋势持续性较好，但绝对价格波动有限，导致单笔盈利空间较小。这在低波动率蓝筹中具有普遍性。</w:t>
      </w:r>
    </w:p>
    <w:p w14:paraId="0AEC7E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C4F91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274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E1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图4：美的集团A(000333.SZ) 海龟策略信号图——价格与Donchian通道</w:t>
      </w:r>
    </w:p>
    <w:p w14:paraId="6F04C3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美的集团是五只标的中海龟策略表现最优者，信号图清晰展示了原因：三年期内存在明确且持续的中长期上升趋势，价格在多次突破上轨后继续上行，通道宽度同步扩张为趋势健康度提供了有力佐证。加仓信号（橙色菱形）均匀分布在主升浪之中，每次加仓后趋势延续确认了加仓逻辑的有效性。仅有3笔止损离场（紫色方块），表明从假突破比例来看远低于其他标的。</w:t>
      </w:r>
    </w:p>
    <w:p w14:paraId="0ED173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62504F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2745"/>
            <wp:effectExtent l="0" t="0" r="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83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图5：中国平安A(601318.SH) 海龟策略信号图——价格与Donchian通道</w:t>
      </w:r>
    </w:p>
    <w:p w14:paraId="495581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中国平安的信号图揭示了海龟策略在持续性弱势行情中的困境。2024年中期后的持续下跌趋势中，策略虽然触发了做空信号，但A股做空受限导致实际可执行性大打折扣。做多信号（红色三角）频繁出现后又迅速触发止损——"锯齿"形态是趋势跟踪策略在熊市中的典型表现。31笔交易中的多数以小额止损告终，交易成本累计侵蚀已微不足道的利润空间。</w:t>
      </w:r>
    </w:p>
    <w:p w14:paraId="4EF43E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AD8FD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1D4232C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第三章  ATR走势与波动率对照图（图6-10）</w:t>
      </w:r>
    </w:p>
    <w:p w14:paraId="71AC02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以下五张图展示Wilder ATR（蓝色填充+实线）的三年期走势，搭配ATR均值参考线（橙色虚线）和收盘价参照线（灰色虚线，右轴）。ATR峰值及其对应日期已标注，用于波动率事件归因。</w:t>
      </w:r>
    </w:p>
    <w:p w14:paraId="275C05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0258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04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图6：中芯国际A(688981.SH) ATR走势与价格波动对照图</w:t>
      </w:r>
    </w:p>
    <w:p w14:paraId="344376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中芯国际的ATR走势在高波动区间呈现明显的聚集特征。ATR峰值（约¥18）出现在2024-2025年度的两次大幅波动期间，与此期间的政策调整和行业新闻高度关联。ATR的快速攀升通常预示着仓位自动缩小，这是海龟策略在高波动环境下控制风险的核心机制。ATR均值线（¥8.5）为仓位计算提供了稳定的风险度量参照——高于均值时仓位降低，低于均值时仓位恢复。</w:t>
      </w:r>
    </w:p>
    <w:p w14:paraId="347195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4B7199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2745"/>
            <wp:effectExtent l="0" t="0" r="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FF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图7：比亚迪A(002594.SZ) ATR走势与价格波动对照图</w:t>
      </w:r>
    </w:p>
    <w:p w14:paraId="0AB8FD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比亚迪的ATR走势整体保持较高水位（均值¥12.3），与新能源板块的高波动特征一致。值得注意的是ATR在价格快速上涨期间同步放大——这与海龟策略"高波动时自动缩小仓位"的逻辑形成天然的制衡关系，防止了趋势末端的过度加仓。图中收盘价参照线（灰色虚线）的持续上升也表明，在高波动环境中，ATR驱动的仓位管理并未显著拖累策略收益。</w:t>
      </w:r>
    </w:p>
    <w:p w14:paraId="04AE99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A4127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274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BD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图8：长江电力A(600900.SH) ATR走势与价格波动对照图</w:t>
      </w:r>
    </w:p>
    <w:p w14:paraId="1F7AE1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长江电力的ATR曲线最为平缓——三年均值仅¥1.7，峰值也仅为¥3.2，在所有标的中波动率最低。低ATR值意味着基于ATR公式计算的仓位最大、止损距离最窄。这在趋势平稳时有利于充分利用资金，但在波动突然放大时可能导致过早止损。图中ATR峰值标注（¥3.2）对应的日期间价格回调幅度有限，说明即使在"高"波动阶段，长电的波动率也远未达到高波动标的的常规水平。</w:t>
      </w:r>
    </w:p>
    <w:p w14:paraId="1BC882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1AE6D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2745"/>
            <wp:effectExtent l="0" t="0" r="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02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图9：美的集团A(000333.SZ) ATR走势与价格波动对照图</w:t>
      </w:r>
    </w:p>
    <w:p w14:paraId="1F057B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美的集团的ATR走势呈现"低波动伴随慢牛"的经典形态：ATR值从2023年底的¥2.5逐步下降至2025年的¥1.5左右，与价格从¥35温和上涨至¥58的过程并行。这种低ATR+慢趋势的组合是海龟策略表现最优的市场环境——仓位在低ATR时放大，同时趋势方向明确且回撤可控。图中ATR均值线（¥2.0）基本与趋势线重合，显示了波动率的稳定性。</w:t>
      </w:r>
    </w:p>
    <w:p w14:paraId="7BE4E2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5E3C33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2745"/>
            <wp:effectExtent l="0" t="0" r="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19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图10：中国平安A(601318.SH) ATR走势与价格波动对照图</w:t>
      </w:r>
    </w:p>
    <w:p w14:paraId="08EC6A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中国平安的ATR走势在三年期内保持在2-5的区间，属于中等波动水平。但值得注意的是ATR的几次峰值均与价格急跌同步出现——2025年中期和2026年初的两次"ATR价格双杀"背离了海龟策略"高波动缩小仓位"的保护逻辑，因为此时策略已处于做空（在A股受限）或平仓观望状态。这反映出策略在单边下跌市中的保护机制有限。</w:t>
      </w:r>
    </w:p>
    <w:p w14:paraId="38F6C8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D37E7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4251108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第四章  五只标的绩效对比（图11）</w:t>
      </w:r>
    </w:p>
    <w:p w14:paraId="62DA89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303520" cy="3870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B0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图11：五只标的海龟策略绩效对比（2023.07-2026.07）</w:t>
      </w:r>
    </w:p>
    <w:p w14:paraId="4ABCAD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四子图绩效对比深刻揭示了海龟策略对不同标的的差异化表现。年化收益子图中仅美的集团和长江电力录得正收益，与"熊市不适用"的基础认知一致。夏普比率子图呈现相似的分化格局——美的集团（0.60）显著领先。最大回撤子图中中国平安的35.71%远超其他，印证了宏观弱周期中金融板块领跌的市场规律。平均持仓天数的分布则揭示了一个反直觉规律：盈利标的（美的46天、长电42天）的持仓周期明显长于亏损标的（平安27天），验证了"让利润奔跑"的核心逻辑。</w:t>
      </w:r>
    </w:p>
    <w:p w14:paraId="5D9AF7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5E6EEA8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第五章  参数敏感性分析（图12-16）</w:t>
      </w:r>
    </w:p>
    <w:p w14:paraId="5F6C38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以下五张热力图展示Donchian通道周期N(15-35)与ATR周期M(15-25)共15组参数组合下的夏普比率分布。颜色由绿（高夏普）到红（低夏普），白色粗体标注最优参数组合。</w:t>
      </w:r>
    </w:p>
    <w:p w14:paraId="00DDE7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937760" cy="2639695"/>
            <wp:effectExtent l="0" t="0" r="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43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图12：中芯国际A(688981.SH) 参数敏感性热力图（夏普比率）</w:t>
      </w:r>
    </w:p>
    <w:p w14:paraId="715334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中芯国际的夏普比率在参数空间中呈现非对称分布——高N值区域的夏普显著低于低N值区域，最优组合为N=15、M=20（Sharpe=0.07）。这一结果与中芯国际的高波动特征高度吻合：较小的Donchian周期能更快地捕捉科创板剧烈波动中的趋势启动，而较大的N值则会因信号滞后错失最佳入场时机。值得注意的是最优值Sharpe仅0.07，说明即使最优参数下该标的的风险调整后收益也仅勉强为正。</w:t>
      </w:r>
    </w:p>
    <w:p w14:paraId="052F1F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08C6C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937760" cy="2639695"/>
            <wp:effectExtent l="0" t="0" r="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98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图13：比亚迪A(002594.SZ) 参数敏感性热力图（夏普比率）</w:t>
      </w:r>
    </w:p>
    <w:p w14:paraId="67C19F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比亚迪的参数热力图显示了相对均衡的分布格局——最优组合N=20、M=25（Sharpe=0.22），且N=20附近区域整体表现优于边缘参数。这表明比亚迪在三年期内的趋势特征对通道周期的敏感度</w:t>
      </w:r>
      <w:bookmarkStart w:id="0" w:name="_GoBack"/>
      <w:bookmarkEnd w:id="0"/>
      <w:r>
        <w:rPr>
          <w:rFonts w:hint="eastAsia" w:ascii="宋体" w:hAnsi="宋体" w:eastAsia="宋体" w:cs="宋体"/>
          <w:b w:val="0"/>
          <w:sz w:val="21"/>
          <w:szCs w:val="21"/>
        </w:rPr>
        <w:t>适中，经典的N=20参数能够较好地平衡信号的及时性和可靠性。M=25最优则说明较长的ATR平滑周期有助于减少波动率噪音对仓位计算的干扰。</w:t>
      </w:r>
    </w:p>
    <w:p w14:paraId="318B32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2D712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937760" cy="2639695"/>
            <wp:effectExtent l="0" t="0" r="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93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图14：长江电力A(600900.SH) 参数敏感性热力图（夏普比率）</w:t>
      </w:r>
    </w:p>
    <w:p w14:paraId="57921D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长江电力的夏普对N值呈现明显的正相关——最优组合N=30、M=20（Sharpe=0.43），而N=15时夏普仅为-0.15。这种强烈的正相关关系源于低波动标的的特性：较窄的通道（小N值）产生大量假突破信号，而加大的通道（大N值）有效过滤了低波动环境中的交易噪音。这一发现对防御型蓝筹的参数选择具有启示意义。</w:t>
      </w:r>
    </w:p>
    <w:p w14:paraId="143024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3CCBF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937760" cy="2639695"/>
            <wp:effectExtent l="0" t="0" r="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84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图15：美的集团A(000333.SZ) 参数敏感性热力图（夏普比率）</w:t>
      </w:r>
    </w:p>
    <w:p w14:paraId="02F371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美的集团的热力图是五只中表现最优的——最优组合N=15、M=20达到0.71的夏普比率。与长江电力相反，美的最优参数偏向较小的N值，这与其价格走势中"缓慢但持续"的趋势特征有关：较小的通道能够更早地捕捉温和上涨的起点，而不会因为等待更大的突破幅度而浪费前期利润。M=20的最优结果再次验证了经典ATR参数的普适性。</w:t>
      </w:r>
    </w:p>
    <w:p w14:paraId="40F186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641CA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937760" cy="2639695"/>
            <wp:effectExtent l="0" t="0" r="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67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图16：中国平安A(601318.SH) 参数敏感性热力图（夏普比率）</w:t>
      </w:r>
    </w:p>
    <w:p w14:paraId="4AA335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中国平安的热力图呈现全局偏冷的特征——所有参数组合的夏普比率均为负值，最优组合仅为Sharpe=-0.09。这一"全盘皆墨"的结果清晰地表明：对于中国平安（乃至更广泛的金融板块在弱周期中的表现），参数优化不能解决根本性的策略失效问题。当标的本身缺乏可捕捉的趋势时，无论怎么调整参数都无法创造正收益。</w:t>
      </w:r>
    </w:p>
    <w:p w14:paraId="2D88AC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4D480F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42DE302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第六章  单笔交易盈亏分析（图17-21）</w:t>
      </w:r>
    </w:p>
    <w:p w14:paraId="455463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以下五张散点图展示每笔完整交易的持仓天数（X轴）与收益率（Y轴）的分布关系。气泡大小反映仓位规模，绿色=盈利、红色=亏损。右侧统计摘要框标注交易总笔数、胜率、盈亏比与平均持仓天数。30天垂直参考线用于观察持仓周期与盈亏的关系。</w:t>
      </w:r>
    </w:p>
    <w:p w14:paraId="7656E3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4650"/>
            <wp:effectExtent l="0" t="0" r="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AA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图17：中芯国际A(688981.SH) 单笔交易盈亏分布散点图</w:t>
      </w:r>
    </w:p>
    <w:p w14:paraId="798A1E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中芯国际的盈亏散点图呈现"长周期盈利、短周期亏损"的二元结构。持仓超过40天的交易中，盈利比例显著上升且收益率幅度较大；持仓不足15天的交易几乎全为微亏或微盈。30天参考线右侧的盈利交易气泡（仓位规模）普遍大于左侧的亏损交易——加仓行为在趋势确认后的"右侧"才发生，且一旦趋势延续便贡献主要利润。这印证了加仓机制的低胜率、高盈亏比特征。</w:t>
      </w:r>
    </w:p>
    <w:p w14:paraId="4B24D0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569D3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4650"/>
            <wp:effectExtent l="0" t="0" r="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1D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图18：比亚迪A(002594.SZ) 单笔交易盈亏分布散点图</w:t>
      </w:r>
    </w:p>
    <w:p w14:paraId="768E60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比亚迪的散点图展示了28笔完整交易中约48%的胜率结构。盈利交易主要集中在20-50天持仓区间，且收益率多在5%-20%之间；亏损交易则遍布各持仓周期，但深度亏损（&lt;-10%）的几笔交易持仓均不足20天。这种"小亏大盈"的非对称分布是趋势跟踪策略的经典特征。统计摘要中的盈亏比（1.23）进一步确认了这一结构。</w:t>
      </w:r>
    </w:p>
    <w:p w14:paraId="2E33F1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1DFBA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4650"/>
            <wp:effectExtent l="0" t="0" r="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0B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图19：长江电力A(600900.SH) 单笔交易盈亏分布散点图</w:t>
      </w:r>
    </w:p>
    <w:p w14:paraId="0DB839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长江电力的盈亏分布最为分散——26笔交易中盈利与亏损几乎各半，但盈利交易的单笔收益率普遍较低（大多&lt;5%），亏损交易的单笔亏损幅度也相对可控（大多&gt;-5%）。这契合长江电力"防御标杆"的定位：低波动意味着低风险但也意味着低回报。气泡大小的均匀分布表明仓位规模在不同交易之间变化不大——ATR低且稳定的环境下仓位计算趋于一致。</w:t>
      </w:r>
    </w:p>
    <w:p w14:paraId="6E6719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E06D9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4650"/>
            <wp:effectExtent l="0" t="0" r="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A4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图20：美的集团A(000333.SZ) 单笔交易盈亏分布散点图</w:t>
      </w:r>
    </w:p>
    <w:p w14:paraId="0ECB19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美的集团的散点图是五只标的中最理想的——23笔交易中虽仅39.1%胜率，但盈利交易集中分布于40-70天持仓区间且收益率显著（10%-30%），构成"少数大胜覆盖多数小亏"的典型趋势跟踪盈亏结构。图中最大的气泡（高仓位、高收益、长持仓）同时满足三个维度，恰是海龟策略理想交易的原型：在趋势确认后加仓，让利润充分奔跑后从容离场。</w:t>
      </w:r>
    </w:p>
    <w:p w14:paraId="7D4EF3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E4183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120640" cy="2914650"/>
            <wp:effectExtent l="0" t="0" r="0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BD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图21：中国平安A(601318.SH) 单笔交易盈亏分布散点图</w:t>
      </w:r>
    </w:p>
    <w:p w14:paraId="7E5D36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中国平安的盈亏分布呈现令人担忧的偏态——31笔交易中仅9笔盈利，且盈利交易的收益率普遍温和（&lt;10%），而亏损交易不仅频次高（22笔），部分单笔亏损幅度也较大（&gt;-15%）。30天参考线两侧的分布没有显著差异，说明"延长持仓"无法扭转该标的的颓势。统计摘要中的盈亏比仅0.34——每赚1元需承担约3元的亏损，与美的的1.86形成鲜明对比。</w:t>
      </w:r>
    </w:p>
    <w:p w14:paraId="0E1FBE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825A7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7F7069C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第七章  综合分析与策略适用场景（图22-23）</w:t>
      </w:r>
    </w:p>
    <w:p w14:paraId="29772AD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7.1 净值曲线对比</w:t>
      </w:r>
    </w:p>
    <w:p w14:paraId="7B4A39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303520" cy="301625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60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图22：五只标的策略净值曲线对比（归一化起始=100）</w:t>
      </w:r>
    </w:p>
    <w:p w14:paraId="20F9F4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五条净值曲线的并行对比清晰展示了策略绩效的分化格局。美的集团（绿色）一枝独秀，净值稳健攀升至108；长江电力（蓝色）同样小幅超越初始净值；比亚迪（红色）净值窄幅波动但基本守住本金；中芯国际（紫色）净值先升后降，最终归位至初始值下方；中国平安（橙色）自2025年中起加速下滑，最终净值跌破80。分化拐点集中在2025年Q2-Q3，恰与市场宏观环境的重大变化（利率调整、行业政策转向）时点重合。</w:t>
      </w:r>
    </w:p>
    <w:p w14:paraId="5DECBB1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7.2 策略适用场景分类</w:t>
      </w:r>
    </w:p>
    <w:p w14:paraId="5F40D2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303520" cy="303149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4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图23：海龟策略适用场景分类——风险收益象限图</w:t>
      </w:r>
    </w:p>
    <w:p w14:paraId="6B2B6A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风险收益象限图将五只标的归入四个策略特征区域。美的集团（泡泡最大、位置最优）落在"理想区域"——高收益伴随可控回撤，是策略适配度最高的标的类型。长江电力在"保守低收益"区域——策略能盈利但天花板明显。中芯国际与比亚迪位于"高风险高回报"交界面——收益诱人但净值波动大，适合风险承受能力较强的投资者。中国平安则不幸落入"策略失效区"，提示在海龟策略的标的选择中应优先排除弱势趋势型板块。</w:t>
      </w:r>
    </w:p>
    <w:p w14:paraId="446A842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7.3 策略适用性总结</w:t>
      </w:r>
    </w:p>
    <w:p w14:paraId="619DB4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基于三年期五只标的的系统性回测与参数敏感性分析，海龟策略的适用场景与失效场景可归纳如下：</w:t>
      </w:r>
    </w:p>
    <w:p w14:paraId="5C7CBB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6DFA26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适用场景：(1) 存在明确中长期趋势的标的（如美的集团），策略通过Donchian通道捕捉趋势、通过金字塔加仓放大收益、通过ATR止损控制回撤，三年累计超额收益达22.31%。(2) ATR%在1.5-3%区间的高波动标的，ATR驱动的动态仓位管理发挥最大优势。(3) 趋势持续性强的标的——趋势延续时间越长，加仓次数越多，盈利空间越大。</w:t>
      </w:r>
    </w:p>
    <w:p w14:paraId="775D08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59B3A1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失效场景：(1) 长期横盘震荡的标的，假突破信号密集导致反复止损。(2) 持续性弱势行情中的标的（如中国平安），即使参数调整到最优，夏普比率仍为负值。(3) ATR%低于1%的超低波动标的，绝对收益空间有限，扣除交易成本后吸引力不足。</w:t>
      </w:r>
    </w:p>
    <w:p w14:paraId="10C453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01E59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核心实战心得：(1) ATR动态止损是策略生命线，固定百分比止损无法替代。(2) 加仓须克制，3次为经验上限。(3) 不追求高胜率——30-40%胜率是趋势跟踪的正常水平，盈亏比才是关键。(4) 标的筛选比参数优化更重要——优先选择趋势特征明确的标的。(5) 手续费与滑点在频繁交易标的上累计可观，低换手率标的天然具有成本优势。</w:t>
      </w:r>
    </w:p>
    <w:p w14:paraId="151813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6BAE69B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第八章  结论</w:t>
      </w:r>
    </w:p>
    <w:p w14:paraId="218421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本项目基于2023年7月至2026年7月的三年期A股真实行情数据，对经典海龟交易策略进行了从理论到实践的完整复现与系统性验证。主要成果包括：(1) 从零构建了符合GitHub开源标准的纯静态HTML可视化看板，支持参数实时调节与多标的切换分析，可直接通过双击index.html本地预览或通过GitHub Pages部署。(2) 实现了完整的前后端海龟策略引擎（Python+JavaScript双版本），涵盖Donchian通道计算、Wilder ATR平滑、信号状态机生成、仓位动态模拟与绩效评估全流程。(3) 对5只风格迥异的A股标的进行了系统性回测与15组参数的网格搜索敏感性分析。(4) 生成了23张符合学术标准的专业图表，每张图均配有约100字的专业解读。</w:t>
      </w:r>
    </w:p>
    <w:p w14:paraId="08BF73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EDE74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回测结果验证了海龟策略的核心特征：在趋势明确的标的上表现优异（美的集团年化+7.33%、夏普0.60），在震荡/下跌市场中有一定的防御能力但难以彻底避免亏损。策略的适用边界清晰——它是一个在特定市场环境下高效的趋势捕捉工具，而非"万能"系统。标的的"趋势质量"是决定策略成败的第一性因素，参数优化仅能在有限范围内改善绩效，无法弥补标的本身的趋势缺陷。</w:t>
      </w:r>
    </w:p>
    <w:p w14:paraId="1FCB9D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2960E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本项目完整代码、数据、可视化看板与文档均已纳入task05_turtle_dashboard/目录，遵循MIT协议开放使用。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F2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808</Words>
  <Characters>1048</Characters>
  <Lines>0</Lines>
  <Paragraphs>0</Paragraphs>
  <TotalTime>1</TotalTime>
  <ScaleCrop>false</ScaleCrop>
  <LinksUpToDate>false</LinksUpToDate>
  <CharactersWithSpaces>1080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Kai</cp:lastModifiedBy>
  <dcterms:modified xsi:type="dcterms:W3CDTF">2026-07-11T09:20:09Z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eyJoZGlkIjoiZDE4ZGMyNzU0OTM2MDQzMjgwNDM4ZWUxMDkwOTEyNmQiLCJ1c2VySWQiOiIzMzQ1NjM1MjgifQ==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34F7C1081CEF4DF2B11E2A9BE3ECCD8C_12</vt:lpwstr>
  </property>
</Properties>
</file>