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4F0" w:rsidRDefault="00AC670A">
      <w:pPr>
        <w:pStyle w:val="Heading1"/>
      </w:pPr>
      <w:bookmarkStart w:id="0" w:name="reading-improvement"/>
      <w:bookmarkEnd w:id="0"/>
      <w:r>
        <w:t>Reading Improvement:</w:t>
      </w:r>
    </w:p>
    <w:p w:rsidR="005704F0" w:rsidRDefault="00AC670A">
      <w:pPr>
        <w:pStyle w:val="Heading2"/>
      </w:pPr>
      <w:bookmarkStart w:id="1" w:name="objective"/>
      <w:bookmarkEnd w:id="1"/>
      <w:r>
        <w:t>Objective:</w:t>
      </w:r>
    </w:p>
    <w:p w:rsidR="005704F0" w:rsidRDefault="00AC670A">
      <w:pPr>
        <w:pStyle w:val="FirstParagraph"/>
      </w:pPr>
      <w:r>
        <w:rPr>
          <w:i/>
        </w:rPr>
        <w:t>50% of participating students will improve their reading skills as demonstrated by their Language Arts grade increasing or maintaining a "C" grade from the baseline grading period to the final grading period as evidenced by report cards/school reports.</w:t>
      </w:r>
    </w:p>
    <w:p w:rsidR="005704F0" w:rsidRDefault="00AC670A">
      <w:pPr>
        <w:pStyle w:val="Heading3"/>
      </w:pPr>
      <w:bookmarkStart w:id="2" w:name="language-arts-grade-of-students-that-inc"/>
      <w:bookmarkEnd w:id="2"/>
      <w:r>
        <w:t>Lan</w:t>
      </w:r>
      <w:r>
        <w:t>guage Arts Grade: % of Students that increased Grade or maintained a C</w:t>
      </w:r>
    </w:p>
    <w:p w:rsidR="005704F0" w:rsidRDefault="00AC670A">
      <w:pPr>
        <w:pStyle w:val="FirstParagraph"/>
      </w:pPr>
      <w:r>
        <w:t xml:space="preserve">The number of students that could be matched from baseline to final is </w:t>
      </w:r>
      <w:r>
        <w:rPr>
          <w:b/>
        </w:rPr>
        <w:t>543</w:t>
      </w:r>
    </w:p>
    <w:p w:rsidR="005704F0" w:rsidRDefault="00AC670A">
      <w:pPr>
        <w:pStyle w:val="BodyText"/>
      </w:pPr>
      <w:r>
        <w:t>Success is defined by students who increased their grade and finished with a C or higher and students who main</w:t>
      </w:r>
      <w:r w:rsidR="00E97397">
        <w:t xml:space="preserve">tained </w:t>
      </w:r>
      <w:r w:rsidR="00EB641C">
        <w:t>at least a “C”</w:t>
      </w:r>
      <w:r>
        <w:t xml:space="preserve"> grade. A student who improves from a F to D is not considered a success for the purpose of this analysis. Students who went from a</w:t>
      </w:r>
      <w:r w:rsidR="00EB641C">
        <w:t>n</w:t>
      </w:r>
      <w:r>
        <w:t xml:space="preserve"> A to B is not considered a success for this analysis.</w:t>
      </w:r>
      <w:r w:rsidR="00EB641C">
        <w:t xml:space="preserve"> </w:t>
      </w:r>
    </w:p>
    <w:p w:rsidR="005704F0" w:rsidRDefault="00AC670A">
      <w:pPr>
        <w:pStyle w:val="BodyText"/>
      </w:pPr>
      <w:r>
        <w:t xml:space="preserve">The percent of students with the successful outcome is </w:t>
      </w:r>
      <w:r>
        <w:rPr>
          <w:b/>
        </w:rPr>
        <w:t>82.32%</w:t>
      </w:r>
      <w:r>
        <w:t>.</w:t>
      </w:r>
    </w:p>
    <w:p w:rsidR="005704F0" w:rsidRDefault="00AC670A">
      <w:pPr>
        <w:numPr>
          <w:ilvl w:val="0"/>
          <w:numId w:val="3"/>
        </w:numPr>
      </w:pPr>
      <w:r>
        <w:t>The number of students who increased their Language Arts Grade with a</w:t>
      </w:r>
      <w:r w:rsidR="00EB641C">
        <w:t xml:space="preserve"> final grade of at least a C is</w:t>
      </w:r>
      <w:r>
        <w:t xml:space="preserve"> </w:t>
      </w:r>
      <w:r>
        <w:rPr>
          <w:b/>
        </w:rPr>
        <w:t>196</w:t>
      </w:r>
    </w:p>
    <w:p w:rsidR="005704F0" w:rsidRDefault="00AC670A">
      <w:pPr>
        <w:numPr>
          <w:ilvl w:val="0"/>
          <w:numId w:val="3"/>
        </w:numPr>
      </w:pPr>
      <w:r>
        <w:t>The number of students who maintained their baseline grade with at least a C</w:t>
      </w:r>
      <w:r w:rsidR="00EB641C">
        <w:t xml:space="preserve"> grade is</w:t>
      </w:r>
      <w:r>
        <w:t xml:space="preserve"> </w:t>
      </w:r>
      <w:r>
        <w:rPr>
          <w:b/>
        </w:rPr>
        <w:t>251</w:t>
      </w:r>
    </w:p>
    <w:p w:rsidR="005704F0" w:rsidRDefault="00AC670A">
      <w:pPr>
        <w:numPr>
          <w:ilvl w:val="0"/>
          <w:numId w:val="3"/>
        </w:numPr>
      </w:pPr>
      <w:r>
        <w:t>The percent of students who had a failing grade at basline and fini</w:t>
      </w:r>
      <w:r>
        <w:t xml:space="preserve">shed with a passing final grade is </w:t>
      </w:r>
      <w:r>
        <w:rPr>
          <w:b/>
        </w:rPr>
        <w:t>15.29%</w:t>
      </w:r>
    </w:p>
    <w:p w:rsidR="005704F0" w:rsidRDefault="00AC670A">
      <w:pPr>
        <w:pStyle w:val="FirstParagraph"/>
      </w:pPr>
      <w:r>
        <w:t xml:space="preserve">The mean difference betwween baseline grades and final grade </w:t>
      </w:r>
      <w:r>
        <w:rPr>
          <w:b/>
          <w:i/>
        </w:rPr>
        <w:t>0.2689</w:t>
      </w:r>
      <w:r>
        <w:t>.</w:t>
      </w:r>
    </w:p>
    <w:p w:rsidR="005704F0" w:rsidRDefault="00AC670A">
      <w:pPr>
        <w:pStyle w:val="Heading3"/>
      </w:pPr>
      <w:bookmarkStart w:id="3" w:name="grade-change-plot-from-baseline-to-fina-"/>
      <w:bookmarkEnd w:id="3"/>
      <w:r>
        <w:t>Grade Change Plot from baseline to fina</w:t>
      </w:r>
      <w:r w:rsidR="00EB641C">
        <w:t>l</w:t>
      </w:r>
      <w:r>
        <w:t xml:space="preserve"> grading period:</w:t>
      </w:r>
    </w:p>
    <w:p w:rsidR="005704F0" w:rsidRDefault="00AC670A">
      <w:pPr>
        <w:pStyle w:val="FirstParagraph"/>
      </w:pPr>
      <w:r>
        <w:t>The changes in grades from baseline to final grading period is represented below. The ver</w:t>
      </w:r>
      <w:r>
        <w:t>tical axis represents baseline grades and the bottom axis the change from the baseline. Thus ideally we want to see circles moving to right. Note that,students with an A in Q1 can decrease but not increase.</w:t>
      </w:r>
    </w:p>
    <w:p w:rsidR="005704F0" w:rsidRDefault="00AC670A" w:rsidP="000D0EF6">
      <w:pPr>
        <w:pStyle w:val="BodyText"/>
      </w:pPr>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cademic_report_files/figure-docx/unnamed-chunk-21-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bookmarkStart w:id="4" w:name="statistical-tests"/>
      <w:bookmarkStart w:id="5" w:name="_GoBack"/>
      <w:bookmarkEnd w:id="4"/>
      <w:bookmarkEnd w:id="5"/>
    </w:p>
    <w:p w:rsidR="005704F0" w:rsidRDefault="00AC670A">
      <w:pPr>
        <w:pStyle w:val="Heading3"/>
      </w:pPr>
      <w:bookmarkStart w:id="6" w:name="reading-success-of-students-that-increas"/>
      <w:bookmarkEnd w:id="6"/>
      <w:r>
        <w:t>R</w:t>
      </w:r>
      <w:r>
        <w:t>eading Success: % of Students that increased Grade</w:t>
      </w:r>
      <w:r>
        <w:t xml:space="preserve"> or maintained a C</w:t>
      </w:r>
    </w:p>
    <w:p w:rsidR="005704F0" w:rsidRDefault="00AC670A">
      <w:pPr>
        <w:pStyle w:val="FirstParagraph"/>
      </w:pPr>
      <w:r>
        <w:t xml:space="preserve">The number of students records that could be matched is </w:t>
      </w:r>
      <w:r>
        <w:rPr>
          <w:b/>
        </w:rPr>
        <w:t>280</w:t>
      </w:r>
      <w:r w:rsidR="00EB641C">
        <w:t>.</w:t>
      </w:r>
    </w:p>
    <w:p w:rsidR="005704F0" w:rsidRDefault="00AC670A">
      <w:pPr>
        <w:pStyle w:val="BodyText"/>
      </w:pPr>
      <w:r>
        <w:t xml:space="preserve">The percent of students with a successful outcome is </w:t>
      </w:r>
      <w:r w:rsidR="000D0EF6">
        <w:rPr>
          <w:b/>
        </w:rPr>
        <w:t>82.86</w:t>
      </w:r>
      <w:r>
        <w:rPr>
          <w:b/>
        </w:rPr>
        <w:t>%</w:t>
      </w:r>
      <w:r>
        <w:t>.</w:t>
      </w:r>
    </w:p>
    <w:p w:rsidR="005704F0" w:rsidRDefault="00AC670A">
      <w:pPr>
        <w:numPr>
          <w:ilvl w:val="0"/>
          <w:numId w:val="4"/>
        </w:numPr>
      </w:pPr>
      <w:r>
        <w:t xml:space="preserve">The number of students who increased their reading grade is </w:t>
      </w:r>
      <w:r>
        <w:rPr>
          <w:b/>
        </w:rPr>
        <w:t>95</w:t>
      </w:r>
    </w:p>
    <w:p w:rsidR="005704F0" w:rsidRDefault="00AC670A">
      <w:pPr>
        <w:numPr>
          <w:ilvl w:val="0"/>
          <w:numId w:val="4"/>
        </w:numPr>
      </w:pPr>
      <w:r>
        <w:t xml:space="preserve">The number of stuents who maintained at least a "C" grade is </w:t>
      </w:r>
      <w:r>
        <w:rPr>
          <w:b/>
        </w:rPr>
        <w:t>137</w:t>
      </w:r>
    </w:p>
    <w:p w:rsidR="005704F0" w:rsidRDefault="00EB641C">
      <w:pPr>
        <w:pStyle w:val="Heading3"/>
      </w:pPr>
      <w:bookmarkStart w:id="7" w:name="gpa-difference-between-q1-and-q2"/>
      <w:bookmarkEnd w:id="7"/>
      <w:r>
        <w:t>GPA Difference between baseline and final grading period</w:t>
      </w:r>
      <w:r w:rsidR="00AC670A">
        <w:t>:</w:t>
      </w:r>
    </w:p>
    <w:p w:rsidR="005704F0" w:rsidRDefault="00AC670A">
      <w:pPr>
        <w:pStyle w:val="FirstParagraph"/>
      </w:pPr>
      <w:r>
        <w:t xml:space="preserve">The reading gpa for students is </w:t>
      </w:r>
      <w:r>
        <w:rPr>
          <w:b/>
        </w:rPr>
        <w:t>2.66</w:t>
      </w:r>
      <w:r>
        <w:t>,</w:t>
      </w:r>
      <w:r w:rsidR="00EB641C">
        <w:t xml:space="preserve"> </w:t>
      </w:r>
      <w:r>
        <w:t xml:space="preserve">and the average reading grade difference is </w:t>
      </w:r>
      <w:r>
        <w:rPr>
          <w:b/>
          <w:i/>
        </w:rPr>
        <w:t>0.2607</w:t>
      </w:r>
      <w:r>
        <w:t>.</w:t>
      </w:r>
    </w:p>
    <w:p w:rsidR="005704F0" w:rsidRDefault="00AC670A">
      <w:pPr>
        <w:pStyle w:val="Heading3"/>
      </w:pPr>
      <w:bookmarkStart w:id="8" w:name="reading-grades-plots"/>
      <w:bookmarkEnd w:id="8"/>
      <w:r>
        <w:t>Reading Grades Plots:</w:t>
      </w:r>
    </w:p>
    <w:p w:rsidR="005704F0" w:rsidRDefault="00EB641C">
      <w:pPr>
        <w:pStyle w:val="FirstParagraph"/>
      </w:pPr>
      <w:r>
        <w:t>The changes in grades from baseline to the final grading period</w:t>
      </w:r>
      <w:r w:rsidR="00AC670A">
        <w:t xml:space="preserve"> is represe</w:t>
      </w:r>
      <w:r w:rsidR="00AC670A">
        <w:t>nted below.</w:t>
      </w:r>
      <w:r>
        <w:t xml:space="preserve"> The vertical axis represents baseline</w:t>
      </w:r>
      <w:r w:rsidR="00AC670A">
        <w:t xml:space="preserve"> grades and th</w:t>
      </w:r>
      <w:r>
        <w:t>e bottom axis the change from the baseline</w:t>
      </w:r>
      <w:r w:rsidR="00AC670A">
        <w:t>. Thus ideally we want to see circles moving to righ</w:t>
      </w:r>
      <w:r>
        <w:t xml:space="preserve">t. Note, students with an A during baseline </w:t>
      </w:r>
      <w:r w:rsidR="00AC670A">
        <w:t>can decrease but not increase.</w:t>
      </w:r>
    </w:p>
    <w:p w:rsidR="005704F0" w:rsidRDefault="00EB641C">
      <w:pPr>
        <w:pStyle w:val="Heading3"/>
      </w:pPr>
      <w:bookmarkStart w:id="9" w:name="reading-grade-change-from-q1-to-q2"/>
      <w:bookmarkEnd w:id="9"/>
      <w:r>
        <w:lastRenderedPageBreak/>
        <w:t>Reading Grade Change from baseline to final grading period</w:t>
      </w:r>
      <w:r w:rsidR="00AC670A">
        <w:t>:</w:t>
      </w:r>
    </w:p>
    <w:p w:rsidR="005704F0" w:rsidRDefault="00AC670A">
      <w:pPr>
        <w:pStyle w:val="FirstParagraph"/>
      </w:pPr>
      <w:r>
        <w:rPr>
          <w:noProof/>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cademic_report_files/figure-docx/unnamed-chunk-43-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5704F0" w:rsidRDefault="00AC670A">
      <w:pPr>
        <w:pStyle w:val="Heading1"/>
      </w:pPr>
      <w:bookmarkStart w:id="10" w:name="reading-trend-data"/>
      <w:bookmarkStart w:id="11" w:name="improved-attendance"/>
      <w:bookmarkEnd w:id="10"/>
      <w:bookmarkEnd w:id="11"/>
      <w:r>
        <w:t>Improved Attendance:</w:t>
      </w:r>
    </w:p>
    <w:p w:rsidR="005704F0" w:rsidRDefault="00AC670A">
      <w:pPr>
        <w:pStyle w:val="Heading2"/>
      </w:pPr>
      <w:bookmarkStart w:id="12" w:name="objective-1"/>
      <w:bookmarkEnd w:id="12"/>
      <w:r>
        <w:t>Objective:</w:t>
      </w:r>
    </w:p>
    <w:p w:rsidR="005704F0" w:rsidRDefault="00AC670A">
      <w:pPr>
        <w:pStyle w:val="FirstParagraph"/>
      </w:pPr>
      <w:r>
        <w:rPr>
          <w:i/>
        </w:rPr>
        <w:t>60% of participating students will either maintain or improve their attendance rates as demonstrated by their decreased absences from the baseline grading period to the final grading period as evidenced b</w:t>
      </w:r>
      <w:r>
        <w:rPr>
          <w:i/>
        </w:rPr>
        <w:t>y report cards/school reports.</w:t>
      </w:r>
    </w:p>
    <w:p w:rsidR="005704F0" w:rsidRDefault="00AC670A">
      <w:pPr>
        <w:pStyle w:val="BodyText"/>
      </w:pPr>
      <w:r>
        <w:t xml:space="preserve">The number of student records that could be matched is </w:t>
      </w:r>
      <w:r>
        <w:rPr>
          <w:b/>
        </w:rPr>
        <w:t>542</w:t>
      </w:r>
      <w:r>
        <w:t>.</w:t>
      </w:r>
    </w:p>
    <w:p w:rsidR="005704F0" w:rsidRDefault="00AC670A">
      <w:pPr>
        <w:pStyle w:val="Compact"/>
        <w:numPr>
          <w:ilvl w:val="0"/>
          <w:numId w:val="5"/>
        </w:numPr>
      </w:pPr>
      <w:r>
        <w:t xml:space="preserve">The percent of students with a successful outcome is </w:t>
      </w:r>
      <w:r>
        <w:rPr>
          <w:b/>
        </w:rPr>
        <w:t>76.38%</w:t>
      </w:r>
      <w:r>
        <w:t>.</w:t>
      </w:r>
    </w:p>
    <w:p w:rsidR="005704F0" w:rsidRDefault="00AC670A">
      <w:pPr>
        <w:numPr>
          <w:ilvl w:val="0"/>
          <w:numId w:val="6"/>
        </w:numPr>
      </w:pPr>
      <w:r>
        <w:t xml:space="preserve">The number of studens who decreased their absences from basline to the final grading period is </w:t>
      </w:r>
      <w:r>
        <w:rPr>
          <w:b/>
        </w:rPr>
        <w:t>292</w:t>
      </w:r>
    </w:p>
    <w:p w:rsidR="005704F0" w:rsidRDefault="00AC670A">
      <w:pPr>
        <w:numPr>
          <w:ilvl w:val="0"/>
          <w:numId w:val="6"/>
        </w:numPr>
      </w:pPr>
      <w:r>
        <w:t>The n</w:t>
      </w:r>
      <w:r>
        <w:t xml:space="preserve">umber of students who has no absences between the baseline grading period and the final grading period is </w:t>
      </w:r>
      <w:r>
        <w:rPr>
          <w:b/>
        </w:rPr>
        <w:t>122</w:t>
      </w:r>
    </w:p>
    <w:p w:rsidR="005704F0" w:rsidRDefault="00AC670A">
      <w:pPr>
        <w:pStyle w:val="Compact"/>
        <w:numPr>
          <w:ilvl w:val="0"/>
          <w:numId w:val="7"/>
        </w:numPr>
      </w:pPr>
      <w:r>
        <w:t xml:space="preserve">The average difference of absences between basline and final is </w:t>
      </w:r>
      <w:r>
        <w:rPr>
          <w:b/>
          <w:i/>
        </w:rPr>
        <w:t>-0.9317</w:t>
      </w:r>
      <w:r>
        <w:t>.</w:t>
      </w:r>
    </w:p>
    <w:p w:rsidR="005704F0" w:rsidRDefault="00AC670A">
      <w:pPr>
        <w:pStyle w:val="Heading3"/>
      </w:pPr>
      <w:bookmarkStart w:id="13" w:name="absences-change-table"/>
      <w:bookmarkEnd w:id="13"/>
      <w:r>
        <w:t>Absences Change Table:</w:t>
      </w:r>
    </w:p>
    <w:tbl>
      <w:tblPr>
        <w:tblW w:w="4999" w:type="pct"/>
        <w:tblLook w:val="07E0" w:firstRow="1" w:lastRow="1" w:firstColumn="1" w:lastColumn="1" w:noHBand="1" w:noVBand="1"/>
      </w:tblPr>
      <w:tblGrid>
        <w:gridCol w:w="576"/>
        <w:gridCol w:w="441"/>
        <w:gridCol w:w="441"/>
        <w:gridCol w:w="441"/>
        <w:gridCol w:w="441"/>
        <w:gridCol w:w="495"/>
        <w:gridCol w:w="495"/>
        <w:gridCol w:w="495"/>
        <w:gridCol w:w="495"/>
        <w:gridCol w:w="495"/>
        <w:gridCol w:w="632"/>
        <w:gridCol w:w="495"/>
        <w:gridCol w:w="495"/>
        <w:gridCol w:w="495"/>
        <w:gridCol w:w="495"/>
        <w:gridCol w:w="495"/>
        <w:gridCol w:w="359"/>
        <w:gridCol w:w="359"/>
        <w:gridCol w:w="359"/>
        <w:gridCol w:w="359"/>
      </w:tblGrid>
      <w:tr w:rsidR="005704F0">
        <w:tc>
          <w:tcPr>
            <w:tcW w:w="0" w:type="auto"/>
            <w:tcBorders>
              <w:bottom w:val="single" w:sz="0" w:space="0" w:color="auto"/>
            </w:tcBorders>
            <w:vAlign w:val="bottom"/>
          </w:tcPr>
          <w:p w:rsidR="005704F0" w:rsidRDefault="00AC670A">
            <w:pPr>
              <w:pStyle w:val="Compact"/>
              <w:jc w:val="center"/>
            </w:pPr>
            <w:r>
              <w:t>-10</w:t>
            </w:r>
          </w:p>
        </w:tc>
        <w:tc>
          <w:tcPr>
            <w:tcW w:w="0" w:type="auto"/>
            <w:tcBorders>
              <w:bottom w:val="single" w:sz="0" w:space="0" w:color="auto"/>
            </w:tcBorders>
            <w:vAlign w:val="bottom"/>
          </w:tcPr>
          <w:p w:rsidR="005704F0" w:rsidRDefault="00AC670A">
            <w:pPr>
              <w:pStyle w:val="Compact"/>
              <w:jc w:val="center"/>
            </w:pPr>
            <w:r>
              <w:t>-9</w:t>
            </w:r>
          </w:p>
        </w:tc>
        <w:tc>
          <w:tcPr>
            <w:tcW w:w="0" w:type="auto"/>
            <w:tcBorders>
              <w:bottom w:val="single" w:sz="0" w:space="0" w:color="auto"/>
            </w:tcBorders>
            <w:vAlign w:val="bottom"/>
          </w:tcPr>
          <w:p w:rsidR="005704F0" w:rsidRDefault="00AC670A">
            <w:pPr>
              <w:pStyle w:val="Compact"/>
              <w:jc w:val="center"/>
            </w:pPr>
            <w:r>
              <w:t>-8</w:t>
            </w:r>
          </w:p>
        </w:tc>
        <w:tc>
          <w:tcPr>
            <w:tcW w:w="0" w:type="auto"/>
            <w:tcBorders>
              <w:bottom w:val="single" w:sz="0" w:space="0" w:color="auto"/>
            </w:tcBorders>
            <w:vAlign w:val="bottom"/>
          </w:tcPr>
          <w:p w:rsidR="005704F0" w:rsidRDefault="00AC670A">
            <w:pPr>
              <w:pStyle w:val="Compact"/>
              <w:jc w:val="center"/>
            </w:pPr>
            <w:r>
              <w:t>-7</w:t>
            </w:r>
          </w:p>
        </w:tc>
        <w:tc>
          <w:tcPr>
            <w:tcW w:w="0" w:type="auto"/>
            <w:tcBorders>
              <w:bottom w:val="single" w:sz="0" w:space="0" w:color="auto"/>
            </w:tcBorders>
            <w:vAlign w:val="bottom"/>
          </w:tcPr>
          <w:p w:rsidR="005704F0" w:rsidRDefault="00AC670A">
            <w:pPr>
              <w:pStyle w:val="Compact"/>
              <w:jc w:val="center"/>
            </w:pPr>
            <w:r>
              <w:t>-6</w:t>
            </w:r>
          </w:p>
        </w:tc>
        <w:tc>
          <w:tcPr>
            <w:tcW w:w="0" w:type="auto"/>
            <w:tcBorders>
              <w:bottom w:val="single" w:sz="0" w:space="0" w:color="auto"/>
            </w:tcBorders>
            <w:vAlign w:val="bottom"/>
          </w:tcPr>
          <w:p w:rsidR="005704F0" w:rsidRDefault="00AC670A">
            <w:pPr>
              <w:pStyle w:val="Compact"/>
              <w:jc w:val="center"/>
            </w:pPr>
            <w:r>
              <w:t>-5</w:t>
            </w:r>
          </w:p>
        </w:tc>
        <w:tc>
          <w:tcPr>
            <w:tcW w:w="0" w:type="auto"/>
            <w:tcBorders>
              <w:bottom w:val="single" w:sz="0" w:space="0" w:color="auto"/>
            </w:tcBorders>
            <w:vAlign w:val="bottom"/>
          </w:tcPr>
          <w:p w:rsidR="005704F0" w:rsidRDefault="00AC670A">
            <w:pPr>
              <w:pStyle w:val="Compact"/>
              <w:jc w:val="center"/>
            </w:pPr>
            <w:r>
              <w:t>-4</w:t>
            </w:r>
          </w:p>
        </w:tc>
        <w:tc>
          <w:tcPr>
            <w:tcW w:w="0" w:type="auto"/>
            <w:tcBorders>
              <w:bottom w:val="single" w:sz="0" w:space="0" w:color="auto"/>
            </w:tcBorders>
            <w:vAlign w:val="bottom"/>
          </w:tcPr>
          <w:p w:rsidR="005704F0" w:rsidRDefault="00AC670A">
            <w:pPr>
              <w:pStyle w:val="Compact"/>
              <w:jc w:val="center"/>
            </w:pPr>
            <w:r>
              <w:t>-3</w:t>
            </w:r>
          </w:p>
        </w:tc>
        <w:tc>
          <w:tcPr>
            <w:tcW w:w="0" w:type="auto"/>
            <w:tcBorders>
              <w:bottom w:val="single" w:sz="0" w:space="0" w:color="auto"/>
            </w:tcBorders>
            <w:vAlign w:val="bottom"/>
          </w:tcPr>
          <w:p w:rsidR="005704F0" w:rsidRDefault="00AC670A">
            <w:pPr>
              <w:pStyle w:val="Compact"/>
              <w:jc w:val="center"/>
            </w:pPr>
            <w:r>
              <w:t>-2</w:t>
            </w:r>
          </w:p>
        </w:tc>
        <w:tc>
          <w:tcPr>
            <w:tcW w:w="0" w:type="auto"/>
            <w:tcBorders>
              <w:bottom w:val="single" w:sz="0" w:space="0" w:color="auto"/>
            </w:tcBorders>
            <w:vAlign w:val="bottom"/>
          </w:tcPr>
          <w:p w:rsidR="005704F0" w:rsidRDefault="00AC670A">
            <w:pPr>
              <w:pStyle w:val="Compact"/>
              <w:jc w:val="center"/>
            </w:pPr>
            <w:r>
              <w:t>-1</w:t>
            </w:r>
          </w:p>
        </w:tc>
        <w:tc>
          <w:tcPr>
            <w:tcW w:w="0" w:type="auto"/>
            <w:tcBorders>
              <w:bottom w:val="single" w:sz="0" w:space="0" w:color="auto"/>
            </w:tcBorders>
            <w:vAlign w:val="bottom"/>
          </w:tcPr>
          <w:p w:rsidR="005704F0" w:rsidRDefault="00AC670A">
            <w:pPr>
              <w:pStyle w:val="Compact"/>
              <w:jc w:val="center"/>
            </w:pPr>
            <w:r>
              <w:t>0</w:t>
            </w:r>
          </w:p>
        </w:tc>
        <w:tc>
          <w:tcPr>
            <w:tcW w:w="0" w:type="auto"/>
            <w:tcBorders>
              <w:bottom w:val="single" w:sz="0" w:space="0" w:color="auto"/>
            </w:tcBorders>
            <w:vAlign w:val="bottom"/>
          </w:tcPr>
          <w:p w:rsidR="005704F0" w:rsidRDefault="00AC670A">
            <w:pPr>
              <w:pStyle w:val="Compact"/>
              <w:jc w:val="center"/>
            </w:pPr>
            <w:r>
              <w:t>1</w:t>
            </w:r>
          </w:p>
        </w:tc>
        <w:tc>
          <w:tcPr>
            <w:tcW w:w="0" w:type="auto"/>
            <w:tcBorders>
              <w:bottom w:val="single" w:sz="0" w:space="0" w:color="auto"/>
            </w:tcBorders>
            <w:vAlign w:val="bottom"/>
          </w:tcPr>
          <w:p w:rsidR="005704F0" w:rsidRDefault="00AC670A">
            <w:pPr>
              <w:pStyle w:val="Compact"/>
              <w:jc w:val="center"/>
            </w:pPr>
            <w:r>
              <w:t>2</w:t>
            </w:r>
          </w:p>
        </w:tc>
        <w:tc>
          <w:tcPr>
            <w:tcW w:w="0" w:type="auto"/>
            <w:tcBorders>
              <w:bottom w:val="single" w:sz="0" w:space="0" w:color="auto"/>
            </w:tcBorders>
            <w:vAlign w:val="bottom"/>
          </w:tcPr>
          <w:p w:rsidR="005704F0" w:rsidRDefault="00AC670A">
            <w:pPr>
              <w:pStyle w:val="Compact"/>
              <w:jc w:val="center"/>
            </w:pPr>
            <w:r>
              <w:t>3</w:t>
            </w:r>
          </w:p>
        </w:tc>
        <w:tc>
          <w:tcPr>
            <w:tcW w:w="0" w:type="auto"/>
            <w:tcBorders>
              <w:bottom w:val="single" w:sz="0" w:space="0" w:color="auto"/>
            </w:tcBorders>
            <w:vAlign w:val="bottom"/>
          </w:tcPr>
          <w:p w:rsidR="005704F0" w:rsidRDefault="00AC670A">
            <w:pPr>
              <w:pStyle w:val="Compact"/>
              <w:jc w:val="center"/>
            </w:pPr>
            <w:r>
              <w:t>4</w:t>
            </w:r>
          </w:p>
        </w:tc>
        <w:tc>
          <w:tcPr>
            <w:tcW w:w="0" w:type="auto"/>
            <w:tcBorders>
              <w:bottom w:val="single" w:sz="0" w:space="0" w:color="auto"/>
            </w:tcBorders>
            <w:vAlign w:val="bottom"/>
          </w:tcPr>
          <w:p w:rsidR="005704F0" w:rsidRDefault="00AC670A">
            <w:pPr>
              <w:pStyle w:val="Compact"/>
              <w:jc w:val="center"/>
            </w:pPr>
            <w:r>
              <w:t>5</w:t>
            </w:r>
          </w:p>
        </w:tc>
        <w:tc>
          <w:tcPr>
            <w:tcW w:w="0" w:type="auto"/>
            <w:tcBorders>
              <w:bottom w:val="single" w:sz="0" w:space="0" w:color="auto"/>
            </w:tcBorders>
            <w:vAlign w:val="bottom"/>
          </w:tcPr>
          <w:p w:rsidR="005704F0" w:rsidRDefault="00AC670A">
            <w:pPr>
              <w:pStyle w:val="Compact"/>
              <w:jc w:val="center"/>
            </w:pPr>
            <w:r>
              <w:t>6</w:t>
            </w:r>
          </w:p>
        </w:tc>
        <w:tc>
          <w:tcPr>
            <w:tcW w:w="0" w:type="auto"/>
            <w:tcBorders>
              <w:bottom w:val="single" w:sz="0" w:space="0" w:color="auto"/>
            </w:tcBorders>
            <w:vAlign w:val="bottom"/>
          </w:tcPr>
          <w:p w:rsidR="005704F0" w:rsidRDefault="00AC670A">
            <w:pPr>
              <w:pStyle w:val="Compact"/>
              <w:jc w:val="center"/>
            </w:pPr>
            <w:r>
              <w:t>7</w:t>
            </w:r>
          </w:p>
        </w:tc>
        <w:tc>
          <w:tcPr>
            <w:tcW w:w="0" w:type="auto"/>
            <w:tcBorders>
              <w:bottom w:val="single" w:sz="0" w:space="0" w:color="auto"/>
            </w:tcBorders>
            <w:vAlign w:val="bottom"/>
          </w:tcPr>
          <w:p w:rsidR="005704F0" w:rsidRDefault="00AC670A">
            <w:pPr>
              <w:pStyle w:val="Compact"/>
              <w:jc w:val="center"/>
            </w:pPr>
            <w:r>
              <w:t>8</w:t>
            </w:r>
          </w:p>
        </w:tc>
        <w:tc>
          <w:tcPr>
            <w:tcW w:w="0" w:type="auto"/>
            <w:tcBorders>
              <w:bottom w:val="single" w:sz="0" w:space="0" w:color="auto"/>
            </w:tcBorders>
            <w:vAlign w:val="bottom"/>
          </w:tcPr>
          <w:p w:rsidR="005704F0" w:rsidRDefault="00AC670A">
            <w:pPr>
              <w:pStyle w:val="Compact"/>
              <w:jc w:val="center"/>
            </w:pPr>
            <w:r>
              <w:t>9</w:t>
            </w:r>
          </w:p>
        </w:tc>
      </w:tr>
      <w:tr w:rsidR="005704F0">
        <w:tc>
          <w:tcPr>
            <w:tcW w:w="0" w:type="auto"/>
          </w:tcPr>
          <w:p w:rsidR="005704F0" w:rsidRDefault="00AC670A">
            <w:pPr>
              <w:pStyle w:val="Compact"/>
              <w:jc w:val="center"/>
            </w:pPr>
            <w:r>
              <w:t>3</w:t>
            </w:r>
          </w:p>
        </w:tc>
        <w:tc>
          <w:tcPr>
            <w:tcW w:w="0" w:type="auto"/>
          </w:tcPr>
          <w:p w:rsidR="005704F0" w:rsidRDefault="00AC670A">
            <w:pPr>
              <w:pStyle w:val="Compact"/>
              <w:jc w:val="center"/>
            </w:pPr>
            <w:r>
              <w:t>1</w:t>
            </w:r>
          </w:p>
        </w:tc>
        <w:tc>
          <w:tcPr>
            <w:tcW w:w="0" w:type="auto"/>
          </w:tcPr>
          <w:p w:rsidR="005704F0" w:rsidRDefault="00AC670A">
            <w:pPr>
              <w:pStyle w:val="Compact"/>
              <w:jc w:val="center"/>
            </w:pPr>
            <w:r>
              <w:t>4</w:t>
            </w:r>
          </w:p>
        </w:tc>
        <w:tc>
          <w:tcPr>
            <w:tcW w:w="0" w:type="auto"/>
          </w:tcPr>
          <w:p w:rsidR="005704F0" w:rsidRDefault="00AC670A">
            <w:pPr>
              <w:pStyle w:val="Compact"/>
              <w:jc w:val="center"/>
            </w:pPr>
            <w:r>
              <w:t>8</w:t>
            </w:r>
          </w:p>
        </w:tc>
        <w:tc>
          <w:tcPr>
            <w:tcW w:w="0" w:type="auto"/>
          </w:tcPr>
          <w:p w:rsidR="005704F0" w:rsidRDefault="00AC670A">
            <w:pPr>
              <w:pStyle w:val="Compact"/>
              <w:jc w:val="center"/>
            </w:pPr>
            <w:r>
              <w:t>9</w:t>
            </w:r>
          </w:p>
        </w:tc>
        <w:tc>
          <w:tcPr>
            <w:tcW w:w="0" w:type="auto"/>
          </w:tcPr>
          <w:p w:rsidR="005704F0" w:rsidRDefault="00AC670A">
            <w:pPr>
              <w:pStyle w:val="Compact"/>
              <w:jc w:val="center"/>
            </w:pPr>
            <w:r>
              <w:t>20</w:t>
            </w:r>
          </w:p>
        </w:tc>
        <w:tc>
          <w:tcPr>
            <w:tcW w:w="0" w:type="auto"/>
          </w:tcPr>
          <w:p w:rsidR="005704F0" w:rsidRDefault="00AC670A">
            <w:pPr>
              <w:pStyle w:val="Compact"/>
              <w:jc w:val="center"/>
            </w:pPr>
            <w:r>
              <w:t>28</w:t>
            </w:r>
          </w:p>
        </w:tc>
        <w:tc>
          <w:tcPr>
            <w:tcW w:w="0" w:type="auto"/>
          </w:tcPr>
          <w:p w:rsidR="005704F0" w:rsidRDefault="00AC670A">
            <w:pPr>
              <w:pStyle w:val="Compact"/>
              <w:jc w:val="center"/>
            </w:pPr>
            <w:r>
              <w:t>51</w:t>
            </w:r>
          </w:p>
        </w:tc>
        <w:tc>
          <w:tcPr>
            <w:tcW w:w="0" w:type="auto"/>
          </w:tcPr>
          <w:p w:rsidR="005704F0" w:rsidRDefault="00AC670A">
            <w:pPr>
              <w:pStyle w:val="Compact"/>
              <w:jc w:val="center"/>
            </w:pPr>
            <w:r>
              <w:t>72</w:t>
            </w:r>
          </w:p>
        </w:tc>
        <w:tc>
          <w:tcPr>
            <w:tcW w:w="0" w:type="auto"/>
          </w:tcPr>
          <w:p w:rsidR="005704F0" w:rsidRDefault="00AC670A">
            <w:pPr>
              <w:pStyle w:val="Compact"/>
              <w:jc w:val="center"/>
            </w:pPr>
            <w:r>
              <w:t>96</w:t>
            </w:r>
          </w:p>
        </w:tc>
        <w:tc>
          <w:tcPr>
            <w:tcW w:w="0" w:type="auto"/>
          </w:tcPr>
          <w:p w:rsidR="005704F0" w:rsidRDefault="00AC670A">
            <w:pPr>
              <w:pStyle w:val="Compact"/>
              <w:jc w:val="center"/>
            </w:pPr>
            <w:r>
              <w:t>143</w:t>
            </w:r>
          </w:p>
        </w:tc>
        <w:tc>
          <w:tcPr>
            <w:tcW w:w="0" w:type="auto"/>
          </w:tcPr>
          <w:p w:rsidR="005704F0" w:rsidRDefault="00AC670A">
            <w:pPr>
              <w:pStyle w:val="Compact"/>
              <w:jc w:val="center"/>
            </w:pPr>
            <w:r>
              <w:t>34</w:t>
            </w:r>
          </w:p>
        </w:tc>
        <w:tc>
          <w:tcPr>
            <w:tcW w:w="0" w:type="auto"/>
          </w:tcPr>
          <w:p w:rsidR="005704F0" w:rsidRDefault="00AC670A">
            <w:pPr>
              <w:pStyle w:val="Compact"/>
              <w:jc w:val="center"/>
            </w:pPr>
            <w:r>
              <w:t>23</w:t>
            </w:r>
          </w:p>
        </w:tc>
        <w:tc>
          <w:tcPr>
            <w:tcW w:w="0" w:type="auto"/>
          </w:tcPr>
          <w:p w:rsidR="005704F0" w:rsidRDefault="00AC670A">
            <w:pPr>
              <w:pStyle w:val="Compact"/>
              <w:jc w:val="center"/>
            </w:pPr>
            <w:r>
              <w:t>24</w:t>
            </w:r>
          </w:p>
        </w:tc>
        <w:tc>
          <w:tcPr>
            <w:tcW w:w="0" w:type="auto"/>
          </w:tcPr>
          <w:p w:rsidR="005704F0" w:rsidRDefault="00AC670A">
            <w:pPr>
              <w:pStyle w:val="Compact"/>
              <w:jc w:val="center"/>
            </w:pPr>
            <w:r>
              <w:t>11</w:t>
            </w:r>
          </w:p>
        </w:tc>
        <w:tc>
          <w:tcPr>
            <w:tcW w:w="0" w:type="auto"/>
          </w:tcPr>
          <w:p w:rsidR="005704F0" w:rsidRDefault="00AC670A">
            <w:pPr>
              <w:pStyle w:val="Compact"/>
              <w:jc w:val="center"/>
            </w:pPr>
            <w:r>
              <w:t>11</w:t>
            </w:r>
          </w:p>
        </w:tc>
        <w:tc>
          <w:tcPr>
            <w:tcW w:w="0" w:type="auto"/>
          </w:tcPr>
          <w:p w:rsidR="005704F0" w:rsidRDefault="00AC670A">
            <w:pPr>
              <w:pStyle w:val="Compact"/>
              <w:jc w:val="center"/>
            </w:pPr>
            <w:r>
              <w:t>1</w:t>
            </w:r>
          </w:p>
        </w:tc>
        <w:tc>
          <w:tcPr>
            <w:tcW w:w="0" w:type="auto"/>
          </w:tcPr>
          <w:p w:rsidR="005704F0" w:rsidRDefault="00AC670A">
            <w:pPr>
              <w:pStyle w:val="Compact"/>
              <w:jc w:val="center"/>
            </w:pPr>
            <w:r>
              <w:t>1</w:t>
            </w:r>
          </w:p>
        </w:tc>
        <w:tc>
          <w:tcPr>
            <w:tcW w:w="0" w:type="auto"/>
          </w:tcPr>
          <w:p w:rsidR="005704F0" w:rsidRDefault="00AC670A">
            <w:pPr>
              <w:pStyle w:val="Compact"/>
              <w:jc w:val="center"/>
            </w:pPr>
            <w:r>
              <w:t>1</w:t>
            </w:r>
          </w:p>
        </w:tc>
        <w:tc>
          <w:tcPr>
            <w:tcW w:w="0" w:type="auto"/>
          </w:tcPr>
          <w:p w:rsidR="005704F0" w:rsidRDefault="00AC670A">
            <w:pPr>
              <w:pStyle w:val="Compact"/>
              <w:jc w:val="center"/>
            </w:pPr>
            <w:r>
              <w:t>1</w:t>
            </w:r>
          </w:p>
        </w:tc>
      </w:tr>
    </w:tbl>
    <w:p w:rsidR="005704F0" w:rsidRDefault="00AC670A">
      <w:pPr>
        <w:pStyle w:val="Heading3"/>
      </w:pPr>
      <w:bookmarkStart w:id="14" w:name="plot-of-change-in-absences-from-baseline"/>
      <w:bookmarkEnd w:id="14"/>
      <w:r>
        <w:lastRenderedPageBreak/>
        <w:t>Plot of Change in Absences from baseline to final grading period:</w:t>
      </w:r>
    </w:p>
    <w:p w:rsidR="005704F0" w:rsidRDefault="00AC670A">
      <w:pPr>
        <w:pStyle w:val="FirstParagraph"/>
      </w:pPr>
      <w:r>
        <w:t>The plot below has the council on the vertical axis and the difference in absences between baseline and final grading period.</w:t>
      </w:r>
    </w:p>
    <w:p w:rsidR="005704F0" w:rsidRDefault="00AC670A">
      <w:pPr>
        <w:pStyle w:val="BodyText"/>
      </w:pPr>
      <w:r>
        <w:rPr>
          <w:noProof/>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cademic_report_files/figure-docx/unnamed-chunk-64-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5704F0" w:rsidRDefault="00AC670A">
      <w:pPr>
        <w:pStyle w:val="Heading1"/>
      </w:pPr>
      <w:bookmarkStart w:id="15" w:name="improvement-in-school-behavior"/>
      <w:bookmarkEnd w:id="15"/>
      <w:r>
        <w:t>Improvement In School Behavior</w:t>
      </w:r>
    </w:p>
    <w:p w:rsidR="005704F0" w:rsidRDefault="00AC670A">
      <w:pPr>
        <w:pStyle w:val="Heading2"/>
      </w:pPr>
      <w:bookmarkStart w:id="16" w:name="objective-2"/>
      <w:bookmarkEnd w:id="16"/>
      <w:r>
        <w:t>Objective:</w:t>
      </w:r>
    </w:p>
    <w:p w:rsidR="005704F0" w:rsidRDefault="00AC670A">
      <w:pPr>
        <w:pStyle w:val="FirstParagraph"/>
      </w:pPr>
      <w:r>
        <w:rPr>
          <w:i/>
        </w:rPr>
        <w:t>70% of participating students will show improvement in behavior by decreasing their number of suspensions from the baseline grading period to final grading period or not having a suspension during the school year as evidenced from the student's report card</w:t>
      </w:r>
      <w:r>
        <w:rPr>
          <w:i/>
        </w:rPr>
        <w:t>/school reports.</w:t>
      </w:r>
    </w:p>
    <w:tbl>
      <w:tblPr>
        <w:tblW w:w="3750" w:type="pct"/>
        <w:tblLook w:val="07E0" w:firstRow="1" w:lastRow="1" w:firstColumn="1" w:lastColumn="1" w:noHBand="1" w:noVBand="1"/>
      </w:tblPr>
      <w:tblGrid>
        <w:gridCol w:w="581"/>
        <w:gridCol w:w="582"/>
        <w:gridCol w:w="582"/>
        <w:gridCol w:w="582"/>
        <w:gridCol w:w="654"/>
        <w:gridCol w:w="654"/>
        <w:gridCol w:w="835"/>
        <w:gridCol w:w="654"/>
        <w:gridCol w:w="474"/>
        <w:gridCol w:w="474"/>
        <w:gridCol w:w="474"/>
        <w:gridCol w:w="474"/>
      </w:tblGrid>
      <w:tr w:rsidR="005704F0">
        <w:tc>
          <w:tcPr>
            <w:tcW w:w="0" w:type="auto"/>
            <w:tcBorders>
              <w:bottom w:val="single" w:sz="0" w:space="0" w:color="auto"/>
            </w:tcBorders>
            <w:vAlign w:val="bottom"/>
          </w:tcPr>
          <w:p w:rsidR="005704F0" w:rsidRDefault="00AC670A">
            <w:pPr>
              <w:pStyle w:val="Compact"/>
              <w:jc w:val="center"/>
            </w:pPr>
            <w:r>
              <w:t>-8</w:t>
            </w:r>
          </w:p>
        </w:tc>
        <w:tc>
          <w:tcPr>
            <w:tcW w:w="0" w:type="auto"/>
            <w:tcBorders>
              <w:bottom w:val="single" w:sz="0" w:space="0" w:color="auto"/>
            </w:tcBorders>
            <w:vAlign w:val="bottom"/>
          </w:tcPr>
          <w:p w:rsidR="005704F0" w:rsidRDefault="00AC670A">
            <w:pPr>
              <w:pStyle w:val="Compact"/>
              <w:jc w:val="center"/>
            </w:pPr>
            <w:r>
              <w:t>-5</w:t>
            </w:r>
          </w:p>
        </w:tc>
        <w:tc>
          <w:tcPr>
            <w:tcW w:w="0" w:type="auto"/>
            <w:tcBorders>
              <w:bottom w:val="single" w:sz="0" w:space="0" w:color="auto"/>
            </w:tcBorders>
            <w:vAlign w:val="bottom"/>
          </w:tcPr>
          <w:p w:rsidR="005704F0" w:rsidRDefault="00AC670A">
            <w:pPr>
              <w:pStyle w:val="Compact"/>
              <w:jc w:val="center"/>
            </w:pPr>
            <w:r>
              <w:t>-4</w:t>
            </w:r>
          </w:p>
        </w:tc>
        <w:tc>
          <w:tcPr>
            <w:tcW w:w="0" w:type="auto"/>
            <w:tcBorders>
              <w:bottom w:val="single" w:sz="0" w:space="0" w:color="auto"/>
            </w:tcBorders>
            <w:vAlign w:val="bottom"/>
          </w:tcPr>
          <w:p w:rsidR="005704F0" w:rsidRDefault="00AC670A">
            <w:pPr>
              <w:pStyle w:val="Compact"/>
              <w:jc w:val="center"/>
            </w:pPr>
            <w:r>
              <w:t>-3</w:t>
            </w:r>
          </w:p>
        </w:tc>
        <w:tc>
          <w:tcPr>
            <w:tcW w:w="0" w:type="auto"/>
            <w:tcBorders>
              <w:bottom w:val="single" w:sz="0" w:space="0" w:color="auto"/>
            </w:tcBorders>
            <w:vAlign w:val="bottom"/>
          </w:tcPr>
          <w:p w:rsidR="005704F0" w:rsidRDefault="00AC670A">
            <w:pPr>
              <w:pStyle w:val="Compact"/>
              <w:jc w:val="center"/>
            </w:pPr>
            <w:r>
              <w:t>-2</w:t>
            </w:r>
          </w:p>
        </w:tc>
        <w:tc>
          <w:tcPr>
            <w:tcW w:w="0" w:type="auto"/>
            <w:tcBorders>
              <w:bottom w:val="single" w:sz="0" w:space="0" w:color="auto"/>
            </w:tcBorders>
            <w:vAlign w:val="bottom"/>
          </w:tcPr>
          <w:p w:rsidR="005704F0" w:rsidRDefault="00AC670A">
            <w:pPr>
              <w:pStyle w:val="Compact"/>
              <w:jc w:val="center"/>
            </w:pPr>
            <w:r>
              <w:t>-1</w:t>
            </w:r>
          </w:p>
        </w:tc>
        <w:tc>
          <w:tcPr>
            <w:tcW w:w="0" w:type="auto"/>
            <w:tcBorders>
              <w:bottom w:val="single" w:sz="0" w:space="0" w:color="auto"/>
            </w:tcBorders>
            <w:vAlign w:val="bottom"/>
          </w:tcPr>
          <w:p w:rsidR="005704F0" w:rsidRDefault="00AC670A">
            <w:pPr>
              <w:pStyle w:val="Compact"/>
              <w:jc w:val="center"/>
            </w:pPr>
            <w:r>
              <w:t>0</w:t>
            </w:r>
          </w:p>
        </w:tc>
        <w:tc>
          <w:tcPr>
            <w:tcW w:w="0" w:type="auto"/>
            <w:tcBorders>
              <w:bottom w:val="single" w:sz="0" w:space="0" w:color="auto"/>
            </w:tcBorders>
            <w:vAlign w:val="bottom"/>
          </w:tcPr>
          <w:p w:rsidR="005704F0" w:rsidRDefault="00AC670A">
            <w:pPr>
              <w:pStyle w:val="Compact"/>
              <w:jc w:val="center"/>
            </w:pPr>
            <w:r>
              <w:t>1</w:t>
            </w:r>
          </w:p>
        </w:tc>
        <w:tc>
          <w:tcPr>
            <w:tcW w:w="0" w:type="auto"/>
            <w:tcBorders>
              <w:bottom w:val="single" w:sz="0" w:space="0" w:color="auto"/>
            </w:tcBorders>
            <w:vAlign w:val="bottom"/>
          </w:tcPr>
          <w:p w:rsidR="005704F0" w:rsidRDefault="00AC670A">
            <w:pPr>
              <w:pStyle w:val="Compact"/>
              <w:jc w:val="center"/>
            </w:pPr>
            <w:r>
              <w:t>2</w:t>
            </w:r>
          </w:p>
        </w:tc>
        <w:tc>
          <w:tcPr>
            <w:tcW w:w="0" w:type="auto"/>
            <w:tcBorders>
              <w:bottom w:val="single" w:sz="0" w:space="0" w:color="auto"/>
            </w:tcBorders>
            <w:vAlign w:val="bottom"/>
          </w:tcPr>
          <w:p w:rsidR="005704F0" w:rsidRDefault="00AC670A">
            <w:pPr>
              <w:pStyle w:val="Compact"/>
              <w:jc w:val="center"/>
            </w:pPr>
            <w:r>
              <w:t>3</w:t>
            </w:r>
          </w:p>
        </w:tc>
        <w:tc>
          <w:tcPr>
            <w:tcW w:w="0" w:type="auto"/>
            <w:tcBorders>
              <w:bottom w:val="single" w:sz="0" w:space="0" w:color="auto"/>
            </w:tcBorders>
            <w:vAlign w:val="bottom"/>
          </w:tcPr>
          <w:p w:rsidR="005704F0" w:rsidRDefault="00AC670A">
            <w:pPr>
              <w:pStyle w:val="Compact"/>
              <w:jc w:val="center"/>
            </w:pPr>
            <w:r>
              <w:t>4</w:t>
            </w:r>
          </w:p>
        </w:tc>
        <w:tc>
          <w:tcPr>
            <w:tcW w:w="0" w:type="auto"/>
            <w:tcBorders>
              <w:bottom w:val="single" w:sz="0" w:space="0" w:color="auto"/>
            </w:tcBorders>
            <w:vAlign w:val="bottom"/>
          </w:tcPr>
          <w:p w:rsidR="005704F0" w:rsidRDefault="00AC670A">
            <w:pPr>
              <w:pStyle w:val="Compact"/>
              <w:jc w:val="center"/>
            </w:pPr>
            <w:r>
              <w:t>5</w:t>
            </w:r>
          </w:p>
        </w:tc>
      </w:tr>
      <w:tr w:rsidR="005704F0">
        <w:tc>
          <w:tcPr>
            <w:tcW w:w="0" w:type="auto"/>
          </w:tcPr>
          <w:p w:rsidR="005704F0" w:rsidRDefault="00AC670A">
            <w:pPr>
              <w:pStyle w:val="Compact"/>
              <w:jc w:val="center"/>
            </w:pPr>
            <w:r>
              <w:t>1</w:t>
            </w:r>
          </w:p>
        </w:tc>
        <w:tc>
          <w:tcPr>
            <w:tcW w:w="0" w:type="auto"/>
          </w:tcPr>
          <w:p w:rsidR="005704F0" w:rsidRDefault="00AC670A">
            <w:pPr>
              <w:pStyle w:val="Compact"/>
              <w:jc w:val="center"/>
            </w:pPr>
            <w:r>
              <w:t>5</w:t>
            </w:r>
          </w:p>
        </w:tc>
        <w:tc>
          <w:tcPr>
            <w:tcW w:w="0" w:type="auto"/>
          </w:tcPr>
          <w:p w:rsidR="005704F0" w:rsidRDefault="00AC670A">
            <w:pPr>
              <w:pStyle w:val="Compact"/>
              <w:jc w:val="center"/>
            </w:pPr>
            <w:r>
              <w:t>3</w:t>
            </w:r>
          </w:p>
        </w:tc>
        <w:tc>
          <w:tcPr>
            <w:tcW w:w="0" w:type="auto"/>
          </w:tcPr>
          <w:p w:rsidR="005704F0" w:rsidRDefault="00AC670A">
            <w:pPr>
              <w:pStyle w:val="Compact"/>
              <w:jc w:val="center"/>
            </w:pPr>
            <w:r>
              <w:t>5</w:t>
            </w:r>
          </w:p>
        </w:tc>
        <w:tc>
          <w:tcPr>
            <w:tcW w:w="0" w:type="auto"/>
          </w:tcPr>
          <w:p w:rsidR="005704F0" w:rsidRDefault="00AC670A">
            <w:pPr>
              <w:pStyle w:val="Compact"/>
              <w:jc w:val="center"/>
            </w:pPr>
            <w:r>
              <w:t>16</w:t>
            </w:r>
          </w:p>
        </w:tc>
        <w:tc>
          <w:tcPr>
            <w:tcW w:w="0" w:type="auto"/>
          </w:tcPr>
          <w:p w:rsidR="005704F0" w:rsidRDefault="00AC670A">
            <w:pPr>
              <w:pStyle w:val="Compact"/>
              <w:jc w:val="center"/>
            </w:pPr>
            <w:r>
              <w:t>24</w:t>
            </w:r>
          </w:p>
        </w:tc>
        <w:tc>
          <w:tcPr>
            <w:tcW w:w="0" w:type="auto"/>
          </w:tcPr>
          <w:p w:rsidR="005704F0" w:rsidRDefault="00AC670A">
            <w:pPr>
              <w:pStyle w:val="Compact"/>
              <w:jc w:val="center"/>
            </w:pPr>
            <w:r>
              <w:t>457</w:t>
            </w:r>
          </w:p>
        </w:tc>
        <w:tc>
          <w:tcPr>
            <w:tcW w:w="0" w:type="auto"/>
          </w:tcPr>
          <w:p w:rsidR="005704F0" w:rsidRDefault="00AC670A">
            <w:pPr>
              <w:pStyle w:val="Compact"/>
              <w:jc w:val="center"/>
            </w:pPr>
            <w:r>
              <w:t>18</w:t>
            </w:r>
          </w:p>
        </w:tc>
        <w:tc>
          <w:tcPr>
            <w:tcW w:w="0" w:type="auto"/>
          </w:tcPr>
          <w:p w:rsidR="005704F0" w:rsidRDefault="00AC670A">
            <w:pPr>
              <w:pStyle w:val="Compact"/>
              <w:jc w:val="center"/>
            </w:pPr>
            <w:r>
              <w:t>8</w:t>
            </w:r>
          </w:p>
        </w:tc>
        <w:tc>
          <w:tcPr>
            <w:tcW w:w="0" w:type="auto"/>
          </w:tcPr>
          <w:p w:rsidR="005704F0" w:rsidRDefault="00AC670A">
            <w:pPr>
              <w:pStyle w:val="Compact"/>
              <w:jc w:val="center"/>
            </w:pPr>
            <w:r>
              <w:t>2</w:t>
            </w:r>
          </w:p>
        </w:tc>
        <w:tc>
          <w:tcPr>
            <w:tcW w:w="0" w:type="auto"/>
          </w:tcPr>
          <w:p w:rsidR="005704F0" w:rsidRDefault="00AC670A">
            <w:pPr>
              <w:pStyle w:val="Compact"/>
              <w:jc w:val="center"/>
            </w:pPr>
            <w:r>
              <w:t>2</w:t>
            </w:r>
          </w:p>
        </w:tc>
        <w:tc>
          <w:tcPr>
            <w:tcW w:w="0" w:type="auto"/>
          </w:tcPr>
          <w:p w:rsidR="005704F0" w:rsidRDefault="00AC670A">
            <w:pPr>
              <w:pStyle w:val="Compact"/>
              <w:jc w:val="center"/>
            </w:pPr>
            <w:r>
              <w:t>1</w:t>
            </w:r>
          </w:p>
        </w:tc>
      </w:tr>
    </w:tbl>
    <w:p w:rsidR="005704F0" w:rsidRDefault="00AC670A">
      <w:pPr>
        <w:pStyle w:val="BodyText"/>
      </w:pPr>
      <w:r>
        <w:t xml:space="preserve">The number of student records that could be matched is </w:t>
      </w:r>
      <w:r>
        <w:rPr>
          <w:b/>
        </w:rPr>
        <w:t>542</w:t>
      </w:r>
      <w:r>
        <w:t>.</w:t>
      </w:r>
    </w:p>
    <w:p w:rsidR="005704F0" w:rsidRDefault="00AC670A" w:rsidP="00EB641C">
      <w:pPr>
        <w:pStyle w:val="Compact"/>
      </w:pPr>
      <w:r>
        <w:t xml:space="preserve">The percent of students with a </w:t>
      </w:r>
      <w:r w:rsidR="00EB641C">
        <w:t>successful</w:t>
      </w:r>
      <w:r>
        <w:t xml:space="preserve"> outcome is </w:t>
      </w:r>
      <w:r>
        <w:rPr>
          <w:b/>
        </w:rPr>
        <w:t>94.1%</w:t>
      </w:r>
      <w:r>
        <w:t>.</w:t>
      </w:r>
    </w:p>
    <w:p w:rsidR="00EB641C" w:rsidRDefault="00EB641C" w:rsidP="00EB641C">
      <w:pPr>
        <w:pStyle w:val="Compact"/>
      </w:pPr>
    </w:p>
    <w:p w:rsidR="005704F0" w:rsidRDefault="00AC670A">
      <w:pPr>
        <w:numPr>
          <w:ilvl w:val="0"/>
          <w:numId w:val="9"/>
        </w:numPr>
      </w:pPr>
      <w:r>
        <w:t xml:space="preserve">The number of students who decreased their suspensions from baseline to final is </w:t>
      </w:r>
      <w:r>
        <w:rPr>
          <w:b/>
        </w:rPr>
        <w:t>54</w:t>
      </w:r>
    </w:p>
    <w:p w:rsidR="005704F0" w:rsidRDefault="00AC670A">
      <w:pPr>
        <w:numPr>
          <w:ilvl w:val="0"/>
          <w:numId w:val="9"/>
        </w:numPr>
      </w:pPr>
      <w:r>
        <w:t xml:space="preserve">The number of students who had no suspensions during baseline and final grading period </w:t>
      </w:r>
      <w:r>
        <w:rPr>
          <w:b/>
        </w:rPr>
        <w:t>456</w:t>
      </w:r>
    </w:p>
    <w:p w:rsidR="005704F0" w:rsidRDefault="00AC670A">
      <w:pPr>
        <w:pStyle w:val="FirstParagraph"/>
      </w:pPr>
      <w:r>
        <w:lastRenderedPageBreak/>
        <w:t>The average difference of suspensions between basline and final grading period is</w:t>
      </w:r>
      <w:r>
        <w:t xml:space="preserve"> </w:t>
      </w:r>
      <w:r>
        <w:rPr>
          <w:b/>
          <w:i/>
        </w:rPr>
        <w:t>-0.1162</w:t>
      </w:r>
    </w:p>
    <w:p w:rsidR="005704F0" w:rsidRDefault="00AC670A">
      <w:pPr>
        <w:pStyle w:val="Heading3"/>
      </w:pPr>
      <w:bookmarkStart w:id="17" w:name="suspensions-change-plots-from-baseline-t"/>
      <w:bookmarkEnd w:id="17"/>
      <w:r>
        <w:t>Suspensions Change Plots from baseline to final grading period:</w:t>
      </w:r>
    </w:p>
    <w:p w:rsidR="005704F0" w:rsidRDefault="00AC670A">
      <w:pPr>
        <w:pStyle w:val="FirstParagraph"/>
      </w:pPr>
      <w:r>
        <w:t xml:space="preserve">The plot below reflects that their has been an increase in suspensions from baseline to final. The council is on the vertical axis and the suspensions change is on the bottom axis </w:t>
      </w:r>
      <w:r>
        <w:rPr>
          <w:noProof/>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cademic_report_files/figure-docx/unnamed-chunk-81-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sectPr w:rsidR="005704F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C670A">
      <w:pPr>
        <w:spacing w:after="0"/>
      </w:pPr>
      <w:r>
        <w:separator/>
      </w:r>
    </w:p>
  </w:endnote>
  <w:endnote w:type="continuationSeparator" w:id="0">
    <w:p w:rsidR="00000000" w:rsidRDefault="00AC6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4F0" w:rsidRDefault="00AC670A">
      <w:r>
        <w:separator/>
      </w:r>
    </w:p>
  </w:footnote>
  <w:footnote w:type="continuationSeparator" w:id="0">
    <w:p w:rsidR="005704F0" w:rsidRDefault="00AC67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8884FB"/>
    <w:multiLevelType w:val="multilevel"/>
    <w:tmpl w:val="019656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550DF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EF54AF0"/>
    <w:multiLevelType w:val="multilevel"/>
    <w:tmpl w:val="2AA8EC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4B1A6E7"/>
    <w:multiLevelType w:val="multilevel"/>
    <w:tmpl w:val="35B830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D0EF6"/>
    <w:rsid w:val="004E29B3"/>
    <w:rsid w:val="005704F0"/>
    <w:rsid w:val="00590D07"/>
    <w:rsid w:val="00784D58"/>
    <w:rsid w:val="008D6863"/>
    <w:rsid w:val="00AC670A"/>
    <w:rsid w:val="00B86B75"/>
    <w:rsid w:val="00BC48D5"/>
    <w:rsid w:val="00C36279"/>
    <w:rsid w:val="00E315A3"/>
    <w:rsid w:val="00E97397"/>
    <w:rsid w:val="00EB64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00BA"/>
  <w15:docId w15:val="{BB1F7B55-34BB-4C15-8FE1-BA4EA00C9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academics</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academics</dc:title>
  <dc:creator>Kevin Gilds, MPA</dc:creator>
  <cp:lastModifiedBy>Kevin Gilds</cp:lastModifiedBy>
  <cp:revision>3</cp:revision>
  <dcterms:created xsi:type="dcterms:W3CDTF">2016-07-22T00:41:00Z</dcterms:created>
  <dcterms:modified xsi:type="dcterms:W3CDTF">2016-07-22T02:25:00Z</dcterms:modified>
</cp:coreProperties>
</file>