
<file path=[Content_Types].xml><?xml version="1.0" encoding="utf-8"?>
<Types xmlns="http://schemas.openxmlformats.org/package/2006/content-types">
  <Default Extension="xml" ContentType="application/xml"/>
  <Default Extension="png" ContentType="image/png"/>
  <Default Extension="wdp" ContentType="image/vnd.ms-photo"/>
  <Default Extension="jpeg" ContentType="image/jpeg"/>
  <Default Extension="JPG" ContentType="image/.jp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rPr>
          <w:color w:val="713C08"/>
          <w:sz w:val="21"/>
        </w:rPr>
      </w:pPr>
      <w:r>
        <w:rPr>
          <w:rFonts w:hint="eastAsia" w:ascii="黑体" w:hAnsi="黑体" w:eastAsia="黑体" w:cs="黑体"/>
          <w:b/>
          <w:bCs/>
          <w:color w:val="EB6001"/>
          <w:kern w:val="0"/>
          <w:sz w:val="36"/>
          <w:szCs w:val="36"/>
        </w:rPr>
        <mc:AlternateContent>
          <mc:Choice Requires="wps">
            <w:drawing>
              <wp:anchor distT="0" distB="0" distL="114300" distR="114300" simplePos="0" relativeHeight="251664384" behindDoc="0" locked="0" layoutInCell="1" allowOverlap="1">
                <wp:simplePos x="0" y="0"/>
                <wp:positionH relativeFrom="column">
                  <wp:posOffset>-229870</wp:posOffset>
                </wp:positionH>
                <wp:positionV relativeFrom="paragraph">
                  <wp:posOffset>-328295</wp:posOffset>
                </wp:positionV>
                <wp:extent cx="5909945" cy="831850"/>
                <wp:effectExtent l="0" t="0" r="0" b="0"/>
                <wp:wrapNone/>
                <wp:docPr id="8" name="文本框 8"/>
                <wp:cNvGraphicFramePr/>
                <a:graphic xmlns:a="http://schemas.openxmlformats.org/drawingml/2006/main">
                  <a:graphicData uri="http://schemas.microsoft.com/office/word/2010/wordprocessingShape">
                    <wps:wsp>
                      <wps:cNvSpPr txBox="1"/>
                      <wps:spPr>
                        <a:xfrm>
                          <a:off x="932180" y="487045"/>
                          <a:ext cx="5909945" cy="83185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pPr>
                              <w:rPr>
                                <w:rFonts w:hint="eastAsia" w:ascii="方正小标宋简体" w:hAnsi="方正小标宋简体" w:eastAsia="方正小标宋简体" w:cs="方正小标宋简体"/>
                                <w:b/>
                                <w:bCs/>
                                <w:color w:val="auto"/>
                                <w:sz w:val="40"/>
                                <w:szCs w:val="40"/>
                                <w:lang w:val="en-US" w:eastAsia="zh-CN"/>
                                <w14:glow w14:rad="0">
                                  <w14:srgbClr w14:val="000000"/>
                                </w14:glow>
                                <w14:shadow w14:blurRad="38100" w14:dist="25400" w14:dir="5400000" w14:sx="100000" w14:sy="100000" w14:kx="0" w14:ky="0" w14:algn="ctr">
                                  <w14:srgbClr w14:val="6E747A">
                                    <w14:alpha w14:val="57000"/>
                                  </w14:srgbClr>
                                </w14:shadow>
                                <w14:reflection w14:blurRad="0" w14:stA="0" w14:stPos="0" w14:endA="0" w14:endPos="0" w14:dist="0" w14:dir="0" w14:fadeDir="0" w14:sx="0" w14:sy="0" w14:kx="0" w14:ky="0" w14:algn="none"/>
                                <w14:props3d w14:extrusionH="0" w14:contourW="0" w14:prstMaterial="clear"/>
                              </w:rPr>
                            </w:pPr>
                            <w:r>
                              <w:rPr>
                                <w:rFonts w:hint="eastAsia" w:ascii="方正小标宋简体" w:hAnsi="方正小标宋简体" w:eastAsia="方正小标宋简体" w:cs="方正小标宋简体"/>
                                <w:b/>
                                <w:bCs/>
                                <w:color w:val="auto"/>
                                <w:sz w:val="40"/>
                                <w:szCs w:val="40"/>
                                <w:lang w:val="en-US" w:eastAsia="zh-CN"/>
                                <w14:glow w14:rad="0">
                                  <w14:srgbClr w14:val="000000"/>
                                </w14:glow>
                                <w14:shadow w14:blurRad="38100" w14:dist="25400" w14:dir="5400000" w14:sx="100000" w14:sy="100000" w14:kx="0" w14:ky="0" w14:algn="ctr">
                                  <w14:srgbClr w14:val="6E747A">
                                    <w14:alpha w14:val="57000"/>
                                  </w14:srgbClr>
                                </w14:shadow>
                                <w14:reflection w14:blurRad="0" w14:stA="0" w14:stPos="0" w14:endA="0" w14:endPos="0" w14:dist="0" w14:dir="0" w14:fadeDir="0" w14:sx="0" w14:sy="0" w14:kx="0" w14:ky="0" w14:algn="none"/>
                                <w14:props3d w14:extrusionH="0" w14:contourW="0" w14:prstMaterial="clear"/>
                              </w:rPr>
                              <w:t>原油价格上涨对化工品期货的影响及逻辑</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id="_x0000_s1026" o:spid="_x0000_s1026" o:spt="202" type="#_x0000_t202" style="position:absolute;left:0pt;margin-left:-18.1pt;margin-top:-25.85pt;height:65.5pt;width:465.35pt;z-index:251664384;mso-width-relative:page;mso-height-relative:page;" filled="f" stroked="f" coordsize="21600,21600" o:gfxdata="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">
                <v:fill on="f" focussize="0,0"/>
                <v:stroke on="f" weight="0.5pt"/>
                <v:imagedata o:title=""/>
                <o:lock v:ext="edit" aspectratio="f"/>
                <v:textbox>
                  <w:txbxContent>
                    <w:p>
                      <w:pPr>
                        <w:rPr>
                          <w:rFonts w:hint="eastAsia" w:ascii="方正小标宋简体" w:hAnsi="方正小标宋简体" w:eastAsia="方正小标宋简体" w:cs="方正小标宋简体"/>
                          <w:b/>
                          <w:bCs/>
                          <w:color w:val="auto"/>
                          <w:sz w:val="40"/>
                          <w:szCs w:val="40"/>
                          <w:lang w:val="en-US" w:eastAsia="zh-CN"/>
                          <w14:glow w14:rad="0">
                            <w14:srgbClr w14:val="000000"/>
                          </w14:glow>
                          <w14:shadow w14:blurRad="38100" w14:dist="25400" w14:dir="5400000" w14:sx="100000" w14:sy="100000" w14:kx="0" w14:ky="0" w14:algn="ctr">
                            <w14:srgbClr w14:val="6E747A">
                              <w14:alpha w14:val="57000"/>
                            </w14:srgbClr>
                          </w14:shadow>
                          <w14:reflection w14:blurRad="0" w14:stA="0" w14:stPos="0" w14:endA="0" w14:endPos="0" w14:dist="0" w14:dir="0" w14:fadeDir="0" w14:sx="0" w14:sy="0" w14:kx="0" w14:ky="0" w14:algn="none"/>
                          <w14:props3d w14:extrusionH="0" w14:contourW="0" w14:prstMaterial="clear"/>
                        </w:rPr>
                      </w:pPr>
                      <w:r>
                        <w:rPr>
                          <w:rFonts w:hint="eastAsia" w:ascii="方正小标宋简体" w:hAnsi="方正小标宋简体" w:eastAsia="方正小标宋简体" w:cs="方正小标宋简体"/>
                          <w:b/>
                          <w:bCs/>
                          <w:color w:val="auto"/>
                          <w:sz w:val="40"/>
                          <w:szCs w:val="40"/>
                          <w:lang w:val="en-US" w:eastAsia="zh-CN"/>
                          <w14:glow w14:rad="0">
                            <w14:srgbClr w14:val="000000"/>
                          </w14:glow>
                          <w14:shadow w14:blurRad="38100" w14:dist="25400" w14:dir="5400000" w14:sx="100000" w14:sy="100000" w14:kx="0" w14:ky="0" w14:algn="ctr">
                            <w14:srgbClr w14:val="6E747A">
                              <w14:alpha w14:val="57000"/>
                            </w14:srgbClr>
                          </w14:shadow>
                          <w14:reflection w14:blurRad="0" w14:stA="0" w14:stPos="0" w14:endA="0" w14:endPos="0" w14:dist="0" w14:dir="0" w14:fadeDir="0" w14:sx="0" w14:sy="0" w14:kx="0" w14:ky="0" w14:algn="none"/>
                          <w14:props3d w14:extrusionH="0" w14:contourW="0" w14:prstMaterial="clear"/>
                        </w:rPr>
                        <w:t>原油价格上涨对化工品期货的影响及逻辑</w:t>
                      </w:r>
                    </w:p>
                  </w:txbxContent>
                </v:textbox>
              </v:shape>
            </w:pict>
          </mc:Fallback>
        </mc:AlternateContent>
      </w:r>
    </w:p>
    <w:p>
      <w:pPr>
        <w:bidi w:val="0"/>
        <w:rPr>
          <w:rFonts w:asciiTheme="minorHAnsi" w:hAnsiTheme="minorHAnsi" w:eastAsiaTheme="minorEastAsia" w:cstheme="minorBidi"/>
          <w:kern w:val="2"/>
          <w:sz w:val="21"/>
          <w:szCs w:val="24"/>
          <w:lang w:val="en-US" w:eastAsia="zh-CN" w:bidi="ar-SA"/>
        </w:rPr>
      </w:pPr>
    </w:p>
    <w:p>
      <w:pPr>
        <w:bidi w:val="0"/>
        <w:rPr>
          <w:lang w:val="en-US" w:eastAsia="zh-CN"/>
        </w:rPr>
      </w:pPr>
      <w:r>
        <w:rPr>
          <w:rFonts w:hint="eastAsia" w:ascii="黑体" w:hAnsi="黑体" w:eastAsia="黑体" w:cs="黑体"/>
          <w:b/>
          <w:bCs/>
          <w:color w:val="EB6001"/>
          <w:kern w:val="0"/>
          <w:sz w:val="36"/>
          <w:szCs w:val="36"/>
        </w:rPr>
        <mc:AlternateContent>
          <mc:Choice Requires="wps">
            <w:drawing>
              <wp:anchor distT="0" distB="0" distL="114300" distR="114300" simplePos="0" relativeHeight="251662336" behindDoc="0" locked="0" layoutInCell="1" allowOverlap="1">
                <wp:simplePos x="0" y="0"/>
                <wp:positionH relativeFrom="column">
                  <wp:posOffset>-20320</wp:posOffset>
                </wp:positionH>
                <wp:positionV relativeFrom="paragraph">
                  <wp:posOffset>24130</wp:posOffset>
                </wp:positionV>
                <wp:extent cx="1895475" cy="438150"/>
                <wp:effectExtent l="0" t="0" r="0" b="0"/>
                <wp:wrapNone/>
                <wp:docPr id="9" name="文本框 9"/>
                <wp:cNvGraphicFramePr/>
                <a:graphic xmlns:a="http://schemas.openxmlformats.org/drawingml/2006/main">
                  <a:graphicData uri="http://schemas.microsoft.com/office/word/2010/wordprocessingShape">
                    <wps:wsp>
                      <wps:cNvSpPr txBox="1"/>
                      <wps:spPr>
                        <a:xfrm>
                          <a:off x="0" y="0"/>
                          <a:ext cx="1895475" cy="43815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pPr>
                              <w:jc w:val="center"/>
                              <w:rPr>
                                <w:rFonts w:hint="eastAsia" w:ascii="方正小标宋简体" w:hAnsi="方正小标宋简体" w:eastAsia="方正小标宋简体" w:cs="方正小标宋简体"/>
                                <w:b/>
                                <w:bCs/>
                                <w:color w:val="000000" w:themeColor="text1"/>
                                <w:sz w:val="28"/>
                                <w:szCs w:val="36"/>
                                <w:lang w:val="en-US" w:eastAsia="zh-CN"/>
                                <w14:textFill>
                                  <w14:solidFill>
                                    <w14:schemeClr w14:val="tx1"/>
                                  </w14:solidFill>
                                </w14:textFill>
                              </w:rPr>
                            </w:pPr>
                            <w:r>
                              <w:rPr>
                                <w:rFonts w:hint="eastAsia" w:ascii="方正小标宋简体" w:hAnsi="方正小标宋简体" w:eastAsia="方正小标宋简体" w:cs="方正小标宋简体"/>
                                <w:b/>
                                <w:bCs/>
                                <w:color w:val="000000" w:themeColor="text1"/>
                                <w:sz w:val="28"/>
                                <w:szCs w:val="36"/>
                                <w:lang w:val="en-US" w:eastAsia="zh-CN"/>
                                <w14:textFill>
                                  <w14:solidFill>
                                    <w14:schemeClr w14:val="tx1"/>
                                  </w14:solidFill>
                                </w14:textFill>
                              </w:rPr>
                              <w:fldChar w:fldCharType="begin"/>
                            </w:r>
                            <w:r>
                              <w:rPr>
                                <w:rFonts w:hint="eastAsia" w:ascii="方正小标宋简体" w:hAnsi="方正小标宋简体" w:eastAsia="方正小标宋简体" w:cs="方正小标宋简体"/>
                                <w:b/>
                                <w:bCs/>
                                <w:color w:val="000000" w:themeColor="text1"/>
                                <w:sz w:val="28"/>
                                <w:szCs w:val="36"/>
                                <w:lang w:val="en-US" w:eastAsia="zh-CN"/>
                                <w14:textFill>
                                  <w14:solidFill>
                                    <w14:schemeClr w14:val="tx1"/>
                                  </w14:solidFill>
                                </w14:textFill>
                              </w:rPr>
                              <w:instrText xml:space="preserve">Time \@ "yyyy年M月d日"</w:instrText>
                            </w:r>
                            <w:r>
                              <w:rPr>
                                <w:rFonts w:hint="eastAsia" w:ascii="方正小标宋简体" w:hAnsi="方正小标宋简体" w:eastAsia="方正小标宋简体" w:cs="方正小标宋简体"/>
                                <w:b/>
                                <w:bCs/>
                                <w:color w:val="000000" w:themeColor="text1"/>
                                <w:sz w:val="28"/>
                                <w:szCs w:val="36"/>
                                <w:lang w:val="en-US" w:eastAsia="zh-CN"/>
                                <w14:textFill>
                                  <w14:solidFill>
                                    <w14:schemeClr w14:val="tx1"/>
                                  </w14:solidFill>
                                </w14:textFill>
                              </w:rPr>
                              <w:fldChar w:fldCharType="separate"/>
                            </w:r>
                            <w:r>
                              <w:rPr>
                                <w:rFonts w:hint="eastAsia" w:ascii="方正小标宋简体" w:hAnsi="方正小标宋简体" w:eastAsia="方正小标宋简体" w:cs="方正小标宋简体"/>
                                <w:b/>
                                <w:bCs/>
                                <w:color w:val="000000" w:themeColor="text1"/>
                                <w:sz w:val="28"/>
                                <w:szCs w:val="36"/>
                                <w:lang w:val="en-US" w:eastAsia="zh-CN"/>
                                <w14:textFill>
                                  <w14:solidFill>
                                    <w14:schemeClr w14:val="tx1"/>
                                  </w14:solidFill>
                                </w14:textFill>
                              </w:rPr>
                              <w:t>2026年3月25日</w:t>
                            </w:r>
                            <w:r>
                              <w:rPr>
                                <w:rFonts w:hint="eastAsia" w:ascii="方正小标宋简体" w:hAnsi="方正小标宋简体" w:eastAsia="方正小标宋简体" w:cs="方正小标宋简体"/>
                                <w:b/>
                                <w:bCs/>
                                <w:color w:val="000000" w:themeColor="text1"/>
                                <w:sz w:val="28"/>
                                <w:szCs w:val="36"/>
                                <w:lang w:val="en-US" w:eastAsia="zh-CN"/>
                                <w14:textFill>
                                  <w14:solidFill>
                                    <w14:schemeClr w14:val="tx1"/>
                                  </w14:solidFill>
                                </w14:textFill>
                              </w:rPr>
                              <w:fldChar w:fldCharType="end"/>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id="_x0000_s1026" o:spid="_x0000_s1026" o:spt="202" type="#_x0000_t202" style="position:absolute;left:0pt;margin-left:-1.6pt;margin-top:1.9pt;height:34.5pt;width:149.25pt;z-index:251662336;mso-width-relative:page;mso-height-relative:page;" filled="f" stroked="f" coordsize="21600,21600" o:gfxdata="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">
                <v:fill on="f" focussize="0,0"/>
                <v:stroke on="f" weight="0.5pt"/>
                <v:imagedata o:title=""/>
                <o:lock v:ext="edit" aspectratio="f"/>
                <v:textbox>
                  <w:txbxContent>
                    <w:p>
                      <w:pPr>
                        <w:jc w:val="center"/>
                        <w:rPr>
                          <w:rFonts w:hint="eastAsia" w:ascii="方正小标宋简体" w:hAnsi="方正小标宋简体" w:eastAsia="方正小标宋简体" w:cs="方正小标宋简体"/>
                          <w:b/>
                          <w:bCs/>
                          <w:color w:val="000000" w:themeColor="text1"/>
                          <w:sz w:val="28"/>
                          <w:szCs w:val="36"/>
                          <w:lang w:val="en-US" w:eastAsia="zh-CN"/>
                          <w14:textFill>
                            <w14:solidFill>
                              <w14:schemeClr w14:val="tx1"/>
                            </w14:solidFill>
                          </w14:textFill>
                        </w:rPr>
                      </w:pPr>
                      <w:r>
                        <w:rPr>
                          <w:rFonts w:hint="eastAsia" w:ascii="方正小标宋简体" w:hAnsi="方正小标宋简体" w:eastAsia="方正小标宋简体" w:cs="方正小标宋简体"/>
                          <w:b/>
                          <w:bCs/>
                          <w:color w:val="000000" w:themeColor="text1"/>
                          <w:sz w:val="28"/>
                          <w:szCs w:val="36"/>
                          <w:lang w:val="en-US" w:eastAsia="zh-CN"/>
                          <w14:textFill>
                            <w14:solidFill>
                              <w14:schemeClr w14:val="tx1"/>
                            </w14:solidFill>
                          </w14:textFill>
                        </w:rPr>
                        <w:fldChar w:fldCharType="begin"/>
                      </w:r>
                      <w:r>
                        <w:rPr>
                          <w:rFonts w:hint="eastAsia" w:ascii="方正小标宋简体" w:hAnsi="方正小标宋简体" w:eastAsia="方正小标宋简体" w:cs="方正小标宋简体"/>
                          <w:b/>
                          <w:bCs/>
                          <w:color w:val="000000" w:themeColor="text1"/>
                          <w:sz w:val="28"/>
                          <w:szCs w:val="36"/>
                          <w:lang w:val="en-US" w:eastAsia="zh-CN"/>
                          <w14:textFill>
                            <w14:solidFill>
                              <w14:schemeClr w14:val="tx1"/>
                            </w14:solidFill>
                          </w14:textFill>
                        </w:rPr>
                        <w:instrText xml:space="preserve">Time \@ "yyyy年M月d日"</w:instrText>
                      </w:r>
                      <w:r>
                        <w:rPr>
                          <w:rFonts w:hint="eastAsia" w:ascii="方正小标宋简体" w:hAnsi="方正小标宋简体" w:eastAsia="方正小标宋简体" w:cs="方正小标宋简体"/>
                          <w:b/>
                          <w:bCs/>
                          <w:color w:val="000000" w:themeColor="text1"/>
                          <w:sz w:val="28"/>
                          <w:szCs w:val="36"/>
                          <w:lang w:val="en-US" w:eastAsia="zh-CN"/>
                          <w14:textFill>
                            <w14:solidFill>
                              <w14:schemeClr w14:val="tx1"/>
                            </w14:solidFill>
                          </w14:textFill>
                        </w:rPr>
                        <w:fldChar w:fldCharType="separate"/>
                      </w:r>
                      <w:r>
                        <w:rPr>
                          <w:rFonts w:hint="eastAsia" w:ascii="方正小标宋简体" w:hAnsi="方正小标宋简体" w:eastAsia="方正小标宋简体" w:cs="方正小标宋简体"/>
                          <w:b/>
                          <w:bCs/>
                          <w:color w:val="000000" w:themeColor="text1"/>
                          <w:sz w:val="28"/>
                          <w:szCs w:val="36"/>
                          <w:lang w:val="en-US" w:eastAsia="zh-CN"/>
                          <w14:textFill>
                            <w14:solidFill>
                              <w14:schemeClr w14:val="tx1"/>
                            </w14:solidFill>
                          </w14:textFill>
                        </w:rPr>
                        <w:t>2026年3月25日</w:t>
                      </w:r>
                      <w:r>
                        <w:rPr>
                          <w:rFonts w:hint="eastAsia" w:ascii="方正小标宋简体" w:hAnsi="方正小标宋简体" w:eastAsia="方正小标宋简体" w:cs="方正小标宋简体"/>
                          <w:b/>
                          <w:bCs/>
                          <w:color w:val="000000" w:themeColor="text1"/>
                          <w:sz w:val="28"/>
                          <w:szCs w:val="36"/>
                          <w:lang w:val="en-US" w:eastAsia="zh-CN"/>
                          <w14:textFill>
                            <w14:solidFill>
                              <w14:schemeClr w14:val="tx1"/>
                            </w14:solidFill>
                          </w14:textFill>
                        </w:rPr>
                        <w:fldChar w:fldCharType="end"/>
                      </w:r>
                    </w:p>
                  </w:txbxContent>
                </v:textbox>
              </v:shape>
            </w:pict>
          </mc:Fallback>
        </mc:AlternateContent>
      </w:r>
    </w:p>
    <w:p>
      <w:pPr>
        <w:bidi w:val="0"/>
        <w:rPr>
          <w:lang w:val="en-US" w:eastAsia="zh-CN"/>
        </w:rPr>
      </w:pPr>
    </w:p>
    <w:p>
      <w:pPr>
        <w:bidi w:val="0"/>
        <w:rPr>
          <w:lang w:val="en-US" w:eastAsia="zh-CN"/>
        </w:rPr>
      </w:pPr>
    </w:p>
    <w:p>
      <w:pPr>
        <w:jc w:val="left"/>
        <w:rPr>
          <w:rFonts w:hint="eastAsia"/>
        </w:rPr>
      </w:pPr>
    </w:p>
    <w:p>
      <w:pPr>
        <w:keepNext w:val="0"/>
        <w:keepLines w:val="0"/>
        <w:pageBreakBefore w:val="0"/>
        <w:widowControl w:val="0"/>
        <w:kinsoku/>
        <w:wordWrap/>
        <w:overflowPunct/>
        <w:topLinePunct w:val="0"/>
        <w:autoSpaceDE/>
        <w:autoSpaceDN/>
        <w:bidi w:val="0"/>
        <w:adjustRightInd/>
        <w:snapToGrid/>
        <w:spacing w:after="313" w:afterLines="100"/>
        <w:jc w:val="left"/>
        <w:textAlignment w:val="auto"/>
        <w:rPr>
          <w:rFonts w:hint="default" w:ascii="黑体" w:hAnsi="黑体" w:eastAsia="黑体" w:cs="黑体"/>
          <w:b/>
          <w:bCs/>
          <w:color w:val="EB6001"/>
          <w:kern w:val="0"/>
          <w:sz w:val="36"/>
          <w:szCs w:val="36"/>
          <w:lang w:val="en-US" w:eastAsia="zh-CN"/>
        </w:rPr>
      </w:pPr>
      <w:r>
        <w:rPr>
          <w:rFonts w:hint="eastAsia" w:ascii="黑体" w:hAnsi="黑体" w:eastAsia="黑体" w:cs="黑体"/>
          <w:b/>
          <w:bCs/>
          <w:color w:val="EB6001"/>
          <w:kern w:val="0"/>
          <w:sz w:val="36"/>
          <w:szCs w:val="36"/>
          <w:lang w:val="en-US" w:eastAsia="zh-CN"/>
        </w:rPr>
        <w:t>主要内容</w:t>
      </w:r>
    </w:p>
    <w:p>
      <w:pPr>
        <w:pStyle w:val="6"/>
        <w:keepNext w:val="0"/>
        <w:keepLines w:val="0"/>
        <w:pageBreakBefore w:val="0"/>
        <w:widowControl w:val="0"/>
        <w:tabs>
          <w:tab w:val="right" w:leader="dot" w:pos="8306"/>
          <w:tab w:val="clear" w:pos="10456"/>
        </w:tabs>
        <w:kinsoku/>
        <w:wordWrap/>
        <w:overflowPunct/>
        <w:topLinePunct w:val="0"/>
        <w:autoSpaceDE/>
        <w:autoSpaceDN/>
        <w:bidi w:val="0"/>
        <w:adjustRightInd/>
        <w:snapToGrid/>
        <w:spacing w:after="313" w:afterLines="100" w:line="360" w:lineRule="auto"/>
        <w:ind w:left="0" w:leftChars="0" w:firstLine="482" w:firstLineChars="200"/>
        <w:textAlignment w:val="auto"/>
        <w:rPr>
          <w:rFonts w:hint="eastAsia" w:ascii="仿宋" w:hAnsi="仿宋" w:eastAsia="仿宋" w:cs="仿宋"/>
          <w:color w:val="auto"/>
          <w:sz w:val="24"/>
          <w:szCs w:val="24"/>
          <w:lang w:val="en-US"/>
        </w:rPr>
      </w:pPr>
      <w:r>
        <w:rPr>
          <w:rFonts w:hint="eastAsia" w:ascii="仿宋" w:hAnsi="仿宋" w:eastAsia="仿宋" w:cs="仿宋"/>
          <w:color w:val="auto"/>
          <w:sz w:val="24"/>
          <w:szCs w:val="24"/>
          <w:lang w:val="en-US"/>
        </w:rPr>
        <w:t>随着美以与伊朗军事对抗的全面升级，伊朗封锁了霍尔木兹海峡这一全球能源咽喉，</w:t>
      </w:r>
      <w:r>
        <w:rPr>
          <w:rFonts w:hint="eastAsia" w:ascii="仿宋" w:hAnsi="仿宋" w:eastAsia="仿宋" w:cs="仿宋"/>
          <w:color w:val="auto"/>
          <w:sz w:val="24"/>
          <w:szCs w:val="24"/>
          <w:lang w:val="en-US" w:eastAsia="zh-CN"/>
        </w:rPr>
        <w:t>原油的</w:t>
      </w:r>
      <w:r>
        <w:rPr>
          <w:rFonts w:hint="eastAsia" w:ascii="仿宋" w:hAnsi="仿宋" w:eastAsia="仿宋" w:cs="仿宋"/>
          <w:color w:val="auto"/>
          <w:sz w:val="24"/>
          <w:szCs w:val="24"/>
          <w:lang w:val="en-US"/>
        </w:rPr>
        <w:t>地缘风险溢价急剧飙升</w:t>
      </w:r>
      <w:r>
        <w:rPr>
          <w:rFonts w:hint="eastAsia" w:ascii="仿宋" w:hAnsi="仿宋" w:eastAsia="仿宋" w:cs="仿宋"/>
          <w:color w:val="auto"/>
          <w:sz w:val="24"/>
          <w:szCs w:val="24"/>
          <w:lang w:val="en-US" w:eastAsia="zh-CN"/>
        </w:rPr>
        <w:t>。</w:t>
      </w:r>
      <w:r>
        <w:rPr>
          <w:rFonts w:hint="eastAsia" w:ascii="仿宋" w:hAnsi="仿宋" w:eastAsia="仿宋" w:cs="仿宋"/>
          <w:color w:val="auto"/>
          <w:sz w:val="24"/>
          <w:szCs w:val="24"/>
          <w:lang w:val="en-US"/>
        </w:rPr>
        <w:t>截至目前，Brent原油期货主力合约创下两年新高后在100美元/桶附近波动。此轮上涨不仅是油价的独立行情，更将从成本端引发全产业链的剧烈重构，对下游化工品及终端行业形成深度冲击。</w:t>
      </w:r>
    </w:p>
    <w:p>
      <w:pPr>
        <w:pStyle w:val="6"/>
        <w:keepNext w:val="0"/>
        <w:keepLines w:val="0"/>
        <w:pageBreakBefore w:val="0"/>
        <w:widowControl w:val="0"/>
        <w:tabs>
          <w:tab w:val="right" w:leader="dot" w:pos="8306"/>
          <w:tab w:val="clear" w:pos="10456"/>
        </w:tabs>
        <w:kinsoku/>
        <w:wordWrap/>
        <w:overflowPunct/>
        <w:topLinePunct w:val="0"/>
        <w:autoSpaceDE/>
        <w:autoSpaceDN/>
        <w:bidi w:val="0"/>
        <w:adjustRightInd/>
        <w:snapToGrid/>
        <w:spacing w:after="313" w:afterLines="100" w:line="360" w:lineRule="auto"/>
        <w:ind w:left="0" w:leftChars="0" w:firstLine="482" w:firstLineChars="200"/>
        <w:textAlignment w:val="auto"/>
        <w:rPr>
          <w:rFonts w:hint="eastAsia" w:ascii="仿宋" w:hAnsi="仿宋" w:eastAsia="仿宋" w:cs="仿宋"/>
          <w:sz w:val="24"/>
          <w:szCs w:val="24"/>
        </w:rPr>
      </w:pPr>
      <w:r>
        <w:rPr>
          <w:rFonts w:hint="eastAsia" w:ascii="仿宋" w:hAnsi="仿宋" w:eastAsia="仿宋" w:cs="仿宋"/>
          <w:color w:val="auto"/>
          <w:sz w:val="24"/>
          <w:szCs w:val="24"/>
          <w:lang w:val="en-US"/>
        </w:rPr>
        <w:t>原油价格上涨对化工品期货的影响是成本驱动为主、预期传导为辅、裂解价差调节、替代效应制衡的复杂系统。</w:t>
      </w:r>
      <w:r>
        <w:rPr>
          <w:rFonts w:hint="eastAsia" w:ascii="仿宋" w:hAnsi="仿宋" w:eastAsia="仿宋" w:cs="仿宋"/>
          <w:color w:val="auto"/>
          <w:sz w:val="24"/>
          <w:szCs w:val="24"/>
          <w:lang w:val="en-US" w:eastAsia="zh-CN"/>
        </w:rPr>
        <w:t>在实际操作中，</w:t>
      </w:r>
      <w:r>
        <w:rPr>
          <w:rFonts w:hint="eastAsia" w:ascii="仿宋" w:hAnsi="仿宋" w:eastAsia="仿宋" w:cs="仿宋"/>
          <w:color w:val="auto"/>
          <w:sz w:val="24"/>
          <w:szCs w:val="24"/>
          <w:lang w:val="en-US"/>
        </w:rPr>
        <w:t>需动态跟踪原油-石脑油-化工品的三级价差结构，结合库存周期与产能周期判断传导效率，避免简单的成本加成线性外推。</w:t>
      </w:r>
      <w:r>
        <w:rPr>
          <w:rFonts w:hint="eastAsia" w:ascii="仿宋" w:hAnsi="仿宋" w:eastAsia="仿宋" w:cs="仿宋"/>
          <w:color w:val="auto"/>
          <w:sz w:val="24"/>
          <w:szCs w:val="24"/>
          <w:lang w:val="en-US"/>
        </w:rPr>
        <w:fldChar w:fldCharType="begin"/>
      </w:r>
      <w:r>
        <w:rPr>
          <w:rFonts w:hint="eastAsia" w:ascii="仿宋" w:hAnsi="仿宋" w:eastAsia="仿宋" w:cs="仿宋"/>
          <w:color w:val="auto"/>
          <w:sz w:val="24"/>
          <w:szCs w:val="24"/>
          <w:lang w:val="en-US"/>
        </w:rPr>
        <w:instrText xml:space="preserve">TOC \o "1-3" \h \u </w:instrText>
      </w:r>
      <w:r>
        <w:rPr>
          <w:rFonts w:hint="eastAsia" w:ascii="仿宋" w:hAnsi="仿宋" w:eastAsia="仿宋" w:cs="仿宋"/>
          <w:color w:val="auto"/>
          <w:sz w:val="24"/>
          <w:szCs w:val="24"/>
          <w:lang w:val="en-US"/>
        </w:rPr>
        <w:fldChar w:fldCharType="separate"/>
      </w:r>
    </w:p>
    <w:p>
      <w:pPr>
        <w:keepNext w:val="0"/>
        <w:keepLines w:val="0"/>
        <w:pageBreakBefore w:val="0"/>
        <w:widowControl w:val="0"/>
        <w:tabs>
          <w:tab w:val="left" w:pos="1778"/>
        </w:tabs>
        <w:kinsoku/>
        <w:wordWrap/>
        <w:overflowPunct/>
        <w:topLinePunct w:val="0"/>
        <w:autoSpaceDE/>
        <w:autoSpaceDN/>
        <w:bidi w:val="0"/>
        <w:adjustRightInd/>
        <w:snapToGrid/>
        <w:spacing w:after="313" w:afterLines="100" w:line="360" w:lineRule="auto"/>
        <w:jc w:val="left"/>
        <w:textAlignment w:val="auto"/>
        <w:rPr>
          <w:rFonts w:hint="eastAsia" w:ascii="仿宋" w:hAnsi="仿宋" w:eastAsia="仿宋" w:cs="仿宋"/>
          <w:color w:val="auto"/>
          <w:sz w:val="24"/>
          <w:szCs w:val="24"/>
        </w:rPr>
      </w:pPr>
      <w:r>
        <w:rPr>
          <w:rFonts w:hint="eastAsia" w:ascii="仿宋" w:hAnsi="仿宋" w:eastAsia="仿宋" w:cs="仿宋"/>
          <w:color w:val="auto"/>
          <w:sz w:val="24"/>
          <w:szCs w:val="24"/>
        </w:rPr>
        <w:fldChar w:fldCharType="end"/>
      </w:r>
    </w:p>
    <w:p>
      <w:pPr>
        <w:keepNext w:val="0"/>
        <w:keepLines w:val="0"/>
        <w:pageBreakBefore w:val="0"/>
        <w:widowControl w:val="0"/>
        <w:tabs>
          <w:tab w:val="left" w:pos="1778"/>
        </w:tabs>
        <w:kinsoku/>
        <w:wordWrap/>
        <w:overflowPunct/>
        <w:topLinePunct w:val="0"/>
        <w:autoSpaceDE/>
        <w:autoSpaceDN/>
        <w:bidi w:val="0"/>
        <w:adjustRightInd/>
        <w:snapToGrid/>
        <w:spacing w:after="313" w:afterLines="100" w:line="360" w:lineRule="auto"/>
        <w:jc w:val="left"/>
        <w:textAlignment w:val="auto"/>
        <w:rPr>
          <w:rFonts w:hint="eastAsia" w:ascii="仿宋" w:hAnsi="仿宋" w:eastAsia="仿宋" w:cs="仿宋"/>
          <w:color w:val="auto"/>
          <w:sz w:val="24"/>
          <w:szCs w:val="24"/>
        </w:rPr>
      </w:pPr>
    </w:p>
    <w:p>
      <w:pPr>
        <w:tabs>
          <w:tab w:val="left" w:pos="1778"/>
        </w:tabs>
        <w:bidi w:val="0"/>
        <w:jc w:val="left"/>
        <w:rPr>
          <w:rFonts w:hint="eastAsia"/>
          <w:lang w:val="en-US" w:eastAsia="zh-CN"/>
        </w:rPr>
        <w:sectPr>
          <w:headerReference r:id="rId3" w:type="default"/>
          <w:footerReference r:id="rId4" w:type="default"/>
          <w:pgSz w:w="11906" w:h="16838"/>
          <w:pgMar w:top="1440" w:right="1800" w:bottom="1440" w:left="1800" w:header="851" w:footer="992" w:gutter="0"/>
          <w:pgBorders>
            <w:top w:val="none" w:sz="0" w:space="0"/>
            <w:left w:val="none" w:sz="0" w:space="0"/>
            <w:bottom w:val="none" w:sz="0" w:space="0"/>
            <w:right w:val="none" w:sz="0" w:space="0"/>
          </w:pgBorders>
          <w:pgNumType w:fmt="decimal" w:start="1"/>
          <w:cols w:space="425" w:num="1"/>
          <w:docGrid w:type="lines" w:linePitch="312" w:charSpace="0"/>
        </w:sectPr>
      </w:pPr>
      <w:r>
        <w:rPr>
          <w:rFonts w:ascii="Times New Roman" w:hAnsi="Times New Roman"/>
          <w:color w:val="000000" w:themeColor="text1"/>
          <w14:textFill>
            <w14:solidFill>
              <w14:schemeClr w14:val="tx1"/>
            </w14:solidFill>
          </w14:textFill>
        </w:rPr>
        <w:drawing>
          <wp:anchor distT="0" distB="0" distL="0" distR="0" simplePos="0" relativeHeight="251665408" behindDoc="0" locked="0" layoutInCell="1" allowOverlap="1">
            <wp:simplePos x="0" y="0"/>
            <wp:positionH relativeFrom="column">
              <wp:posOffset>4245610</wp:posOffset>
            </wp:positionH>
            <wp:positionV relativeFrom="paragraph">
              <wp:posOffset>1234440</wp:posOffset>
            </wp:positionV>
            <wp:extent cx="1143000" cy="1137920"/>
            <wp:effectExtent l="0" t="0" r="0" b="5080"/>
            <wp:wrapNone/>
            <wp:docPr id="1855688616" name="图片 18556886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5688616" name="图片 1855688616"/>
                    <pic:cNvPicPr>
                      <a:picLocks noChangeAspect="1"/>
                    </pic:cNvPicPr>
                  </pic:nvPicPr>
                  <pic:blipFill>
                    <a:blip r:embed="rId7">
                      <a:extLst>
                        <a:ext uri="{28A0092B-C50C-407E-A947-70E740481C1C}">
                          <a14:useLocalDpi xmlns:a14="http://schemas.microsoft.com/office/drawing/2010/main" val="0"/>
                        </a:ext>
                      </a:extLst>
                    </a:blip>
                    <a:stretch>
                      <a:fillRect/>
                    </a:stretch>
                  </pic:blipFill>
                  <pic:spPr>
                    <a:xfrm>
                      <a:off x="0" y="0"/>
                      <a:ext cx="1166028" cy="1161174"/>
                    </a:xfrm>
                    <a:prstGeom prst="rect">
                      <a:avLst/>
                    </a:prstGeom>
                  </pic:spPr>
                </pic:pic>
              </a:graphicData>
            </a:graphic>
          </wp:anchor>
        </w:drawing>
      </w:r>
      <w:r>
        <mc:AlternateContent>
          <mc:Choice Requires="wps">
            <w:drawing>
              <wp:anchor distT="0" distB="0" distL="114300" distR="114300" simplePos="0" relativeHeight="251663360" behindDoc="0" locked="0" layoutInCell="1" allowOverlap="1">
                <wp:simplePos x="0" y="0"/>
                <wp:positionH relativeFrom="column">
                  <wp:posOffset>-336550</wp:posOffset>
                </wp:positionH>
                <wp:positionV relativeFrom="paragraph">
                  <wp:posOffset>683260</wp:posOffset>
                </wp:positionV>
                <wp:extent cx="6062980" cy="1951355"/>
                <wp:effectExtent l="0" t="0" r="13970" b="10795"/>
                <wp:wrapNone/>
                <wp:docPr id="3" name="文本框 3"/>
                <wp:cNvGraphicFramePr/>
                <a:graphic xmlns:a="http://schemas.openxmlformats.org/drawingml/2006/main">
                  <a:graphicData uri="http://schemas.microsoft.com/office/word/2010/wordprocessingShape">
                    <wps:wsp>
                      <wps:cNvSpPr txBox="1"/>
                      <wps:spPr>
                        <a:xfrm>
                          <a:off x="4347210" y="925195"/>
                          <a:ext cx="6062980" cy="1951355"/>
                        </a:xfrm>
                        <a:prstGeom prst="rect">
                          <a:avLst/>
                        </a:prstGeom>
                        <a:solidFill>
                          <a:schemeClr val="lt1"/>
                        </a:solidFill>
                        <a:ln w="6350">
                          <a:noFill/>
                        </a:ln>
                      </wps:spPr>
                      <wps:style>
                        <a:lnRef idx="0">
                          <a:schemeClr val="accent1"/>
                        </a:lnRef>
                        <a:fillRef idx="0">
                          <a:schemeClr val="accent1"/>
                        </a:fillRef>
                        <a:effectRef idx="0">
                          <a:schemeClr val="accent1"/>
                        </a:effectRef>
                        <a:fontRef idx="minor">
                          <a:schemeClr val="dk1"/>
                        </a:fontRef>
                      </wps:style>
                      <wps:txbx>
                        <w:txbxContent>
                          <w:p/>
                          <w:p>
                            <w:pPr>
                              <w:rPr>
                                <w:rFonts w:ascii="黑体" w:hAnsi="黑体" w:eastAsia="黑体" w:cs="黑体"/>
                                <w:b/>
                                <w:bCs/>
                                <w:color w:val="EB6001"/>
                                <w:kern w:val="0"/>
                                <w:sz w:val="36"/>
                                <w:szCs w:val="36"/>
                              </w:rPr>
                            </w:pPr>
                            <w:r>
                              <w:rPr>
                                <w:rFonts w:hint="eastAsia" w:ascii="黑体" w:hAnsi="黑体" w:eastAsia="黑体" w:cs="黑体"/>
                                <w:b/>
                                <w:bCs/>
                                <w:color w:val="EB6001"/>
                                <w:sz w:val="24"/>
                              </w:rPr>
                              <w:t>投资咨询部</w:t>
                            </w:r>
                            <w:r>
                              <w:rPr>
                                <w:rFonts w:hint="eastAsia" w:ascii="黑体" w:hAnsi="黑体" w:eastAsia="黑体" w:cs="黑体"/>
                                <w:b/>
                                <w:bCs/>
                                <w:color w:val="EB6001"/>
                                <w:kern w:val="0"/>
                                <w:sz w:val="36"/>
                                <w:szCs w:val="36"/>
                                <w:lang w:val="en-US" w:eastAsia="zh-CN"/>
                              </w:rPr>
                              <w:t xml:space="preserve">                                </w:t>
                            </w:r>
                            <w:r>
                              <w:rPr>
                                <w:rFonts w:hint="eastAsia" w:ascii="黑体" w:hAnsi="黑体" w:eastAsia="黑体" w:cs="黑体"/>
                                <w:b/>
                                <w:bCs/>
                                <w:color w:val="EB6001"/>
                                <w:sz w:val="24"/>
                              </w:rPr>
                              <w:t>山金期货官方微信号</w:t>
                            </w:r>
                          </w:p>
                          <w:p/>
                          <w:p>
                            <w:pPr>
                              <w:spacing w:line="360" w:lineRule="auto"/>
                              <w:rPr>
                                <w:rFonts w:hint="default" w:ascii="黑体" w:hAnsi="黑体" w:eastAsia="黑体" w:cs="黑体"/>
                                <w:lang w:val="en-US" w:eastAsia="zh-CN"/>
                              </w:rPr>
                            </w:pPr>
                            <w:r>
                              <w:rPr>
                                <w:rFonts w:hint="eastAsia" w:ascii="黑体" w:hAnsi="黑体" w:eastAsia="黑体" w:cs="黑体"/>
                              </w:rPr>
                              <w:t>作者∣</w:t>
                            </w:r>
                            <w:r>
                              <w:rPr>
                                <w:rFonts w:hint="eastAsia" w:ascii="黑体" w:hAnsi="黑体" w:eastAsia="黑体" w:cs="黑体"/>
                                <w:lang w:val="en-US" w:eastAsia="zh-CN"/>
                              </w:rPr>
                              <w:t>朱美侠</w:t>
                            </w:r>
                          </w:p>
                          <w:p>
                            <w:pPr>
                              <w:spacing w:line="360" w:lineRule="auto"/>
                              <w:rPr>
                                <w:rFonts w:hint="eastAsia" w:ascii="楷体" w:hAnsi="楷体" w:eastAsia="楷体" w:cs="楷体"/>
                                <w:lang w:val="en-US" w:eastAsia="zh-CN"/>
                              </w:rPr>
                            </w:pPr>
                            <w:r>
                              <w:rPr>
                                <w:rFonts w:hint="eastAsia" w:ascii="楷体" w:hAnsi="楷体" w:eastAsia="楷体" w:cs="楷体"/>
                              </w:rPr>
                              <w:t>从业资格号：F3049372</w:t>
                            </w:r>
                          </w:p>
                          <w:p>
                            <w:pPr>
                              <w:spacing w:line="360" w:lineRule="auto"/>
                              <w:rPr>
                                <w:rFonts w:hint="default" w:ascii="楷体" w:hAnsi="楷体" w:eastAsia="楷体" w:cs="楷体"/>
                                <w:lang w:val="en-US" w:eastAsia="zh-CN"/>
                              </w:rPr>
                            </w:pPr>
                            <w:r>
                              <w:rPr>
                                <w:rFonts w:hint="eastAsia" w:ascii="楷体" w:hAnsi="楷体" w:eastAsia="楷体" w:cs="楷体"/>
                              </w:rPr>
                              <w:t>交易咨询号：Z0015621</w:t>
                            </w:r>
                          </w:p>
                          <w:p>
                            <w:pPr>
                              <w:spacing w:line="360" w:lineRule="auto"/>
                              <w:rPr>
                                <w:rFonts w:ascii="楷体" w:hAnsi="楷体" w:eastAsia="楷体" w:cs="楷体"/>
                              </w:rPr>
                            </w:pPr>
                            <w:r>
                              <w:rPr>
                                <w:rFonts w:hint="eastAsia" w:ascii="楷体" w:hAnsi="楷体" w:eastAsia="楷体" w:cs="楷体"/>
                              </w:rPr>
                              <w:t>联系邮箱：</w:t>
                            </w:r>
                            <w:r>
                              <w:fldChar w:fldCharType="begin"/>
                            </w:r>
                            <w:r>
                              <w:instrText xml:space="preserve"> HYPERLINK "mailto:wangyunfei1@sd-gold.com" </w:instrText>
                            </w:r>
                            <w:r>
                              <w:fldChar w:fldCharType="separate"/>
                            </w:r>
                            <w:r>
                              <w:rPr>
                                <w:rFonts w:hint="eastAsia"/>
                                <w:lang w:val="en-US" w:eastAsia="zh-CN"/>
                              </w:rPr>
                              <w:t>zhumeixia</w:t>
                            </w:r>
                            <w:r>
                              <w:rPr>
                                <w:rStyle w:val="12"/>
                                <w:rFonts w:hint="eastAsia" w:ascii="楷体" w:hAnsi="楷体" w:eastAsia="楷体" w:cs="楷体"/>
                              </w:rPr>
                              <w:t>@sd-gold.com</w:t>
                            </w:r>
                            <w:r>
                              <w:rPr>
                                <w:rStyle w:val="12"/>
                                <w:rFonts w:hint="eastAsia" w:ascii="楷体" w:hAnsi="楷体" w:eastAsia="楷体" w:cs="楷体"/>
                              </w:rPr>
                              <w:fldChar w:fldCharType="end"/>
                            </w:r>
                          </w:p>
                          <w:p>
                            <w:pPr>
                              <w:jc w:val="left"/>
                              <w:rPr>
                                <w:rFonts w:ascii="楷体" w:hAnsi="楷体" w:eastAsia="楷体" w:cs="楷体"/>
                              </w:rPr>
                            </w:pP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id="_x0000_s1026" o:spid="_x0000_s1026" o:spt="202" type="#_x0000_t202" style="position:absolute;left:0pt;margin-left:-26.5pt;margin-top:53.8pt;height:153.65pt;width:477.4pt;z-index:251663360;mso-width-relative:page;mso-height-relative:page;" fillcolor="#FFFFFF [3201]" filled="t" stroked="f" coordsize="21600,21600" o:gfxdata="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">
                <v:fill on="t" focussize="0,0"/>
                <v:stroke on="f" weight="0.5pt"/>
                <v:imagedata o:title=""/>
                <o:lock v:ext="edit" aspectratio="f"/>
                <v:textbox>
                  <w:txbxContent>
                    <w:p/>
                    <w:p>
                      <w:pPr>
                        <w:rPr>
                          <w:rFonts w:ascii="黑体" w:hAnsi="黑体" w:eastAsia="黑体" w:cs="黑体"/>
                          <w:b/>
                          <w:bCs/>
                          <w:color w:val="EB6001"/>
                          <w:kern w:val="0"/>
                          <w:sz w:val="36"/>
                          <w:szCs w:val="36"/>
                        </w:rPr>
                      </w:pPr>
                      <w:r>
                        <w:rPr>
                          <w:rFonts w:hint="eastAsia" w:ascii="黑体" w:hAnsi="黑体" w:eastAsia="黑体" w:cs="黑体"/>
                          <w:b/>
                          <w:bCs/>
                          <w:color w:val="EB6001"/>
                          <w:sz w:val="24"/>
                        </w:rPr>
                        <w:t>投资咨询部</w:t>
                      </w:r>
                      <w:r>
                        <w:rPr>
                          <w:rFonts w:hint="eastAsia" w:ascii="黑体" w:hAnsi="黑体" w:eastAsia="黑体" w:cs="黑体"/>
                          <w:b/>
                          <w:bCs/>
                          <w:color w:val="EB6001"/>
                          <w:kern w:val="0"/>
                          <w:sz w:val="36"/>
                          <w:szCs w:val="36"/>
                          <w:lang w:val="en-US" w:eastAsia="zh-CN"/>
                        </w:rPr>
                        <w:t xml:space="preserve">                                </w:t>
                      </w:r>
                      <w:r>
                        <w:rPr>
                          <w:rFonts w:hint="eastAsia" w:ascii="黑体" w:hAnsi="黑体" w:eastAsia="黑体" w:cs="黑体"/>
                          <w:b/>
                          <w:bCs/>
                          <w:color w:val="EB6001"/>
                          <w:sz w:val="24"/>
                        </w:rPr>
                        <w:t>山金期货官方微信号</w:t>
                      </w:r>
                    </w:p>
                    <w:p/>
                    <w:p>
                      <w:pPr>
                        <w:spacing w:line="360" w:lineRule="auto"/>
                        <w:rPr>
                          <w:rFonts w:hint="default" w:ascii="黑体" w:hAnsi="黑体" w:eastAsia="黑体" w:cs="黑体"/>
                          <w:lang w:val="en-US" w:eastAsia="zh-CN"/>
                        </w:rPr>
                      </w:pPr>
                      <w:r>
                        <w:rPr>
                          <w:rFonts w:hint="eastAsia" w:ascii="黑体" w:hAnsi="黑体" w:eastAsia="黑体" w:cs="黑体"/>
                        </w:rPr>
                        <w:t>作者∣</w:t>
                      </w:r>
                      <w:r>
                        <w:rPr>
                          <w:rFonts w:hint="eastAsia" w:ascii="黑体" w:hAnsi="黑体" w:eastAsia="黑体" w:cs="黑体"/>
                          <w:lang w:val="en-US" w:eastAsia="zh-CN"/>
                        </w:rPr>
                        <w:t>朱美侠</w:t>
                      </w:r>
                    </w:p>
                    <w:p>
                      <w:pPr>
                        <w:spacing w:line="360" w:lineRule="auto"/>
                        <w:rPr>
                          <w:rFonts w:hint="eastAsia" w:ascii="楷体" w:hAnsi="楷体" w:eastAsia="楷体" w:cs="楷体"/>
                          <w:lang w:val="en-US" w:eastAsia="zh-CN"/>
                        </w:rPr>
                      </w:pPr>
                      <w:r>
                        <w:rPr>
                          <w:rFonts w:hint="eastAsia" w:ascii="楷体" w:hAnsi="楷体" w:eastAsia="楷体" w:cs="楷体"/>
                        </w:rPr>
                        <w:t>从业资格号：F3049372</w:t>
                      </w:r>
                    </w:p>
                    <w:p>
                      <w:pPr>
                        <w:spacing w:line="360" w:lineRule="auto"/>
                        <w:rPr>
                          <w:rFonts w:hint="default" w:ascii="楷体" w:hAnsi="楷体" w:eastAsia="楷体" w:cs="楷体"/>
                          <w:lang w:val="en-US" w:eastAsia="zh-CN"/>
                        </w:rPr>
                      </w:pPr>
                      <w:r>
                        <w:rPr>
                          <w:rFonts w:hint="eastAsia" w:ascii="楷体" w:hAnsi="楷体" w:eastAsia="楷体" w:cs="楷体"/>
                        </w:rPr>
                        <w:t>交易咨询号：Z0015621</w:t>
                      </w:r>
                    </w:p>
                    <w:p>
                      <w:pPr>
                        <w:spacing w:line="360" w:lineRule="auto"/>
                        <w:rPr>
                          <w:rFonts w:ascii="楷体" w:hAnsi="楷体" w:eastAsia="楷体" w:cs="楷体"/>
                        </w:rPr>
                      </w:pPr>
                      <w:r>
                        <w:rPr>
                          <w:rFonts w:hint="eastAsia" w:ascii="楷体" w:hAnsi="楷体" w:eastAsia="楷体" w:cs="楷体"/>
                        </w:rPr>
                        <w:t>联系邮箱：</w:t>
                      </w:r>
                      <w:r>
                        <w:fldChar w:fldCharType="begin"/>
                      </w:r>
                      <w:r>
                        <w:instrText xml:space="preserve"> HYPERLINK "mailto:wangyunfei1@sd-gold.com" </w:instrText>
                      </w:r>
                      <w:r>
                        <w:fldChar w:fldCharType="separate"/>
                      </w:r>
                      <w:r>
                        <w:rPr>
                          <w:rFonts w:hint="eastAsia"/>
                          <w:lang w:val="en-US" w:eastAsia="zh-CN"/>
                        </w:rPr>
                        <w:t>zhumeixia</w:t>
                      </w:r>
                      <w:r>
                        <w:rPr>
                          <w:rStyle w:val="12"/>
                          <w:rFonts w:hint="eastAsia" w:ascii="楷体" w:hAnsi="楷体" w:eastAsia="楷体" w:cs="楷体"/>
                        </w:rPr>
                        <w:t>@sd-gold.com</w:t>
                      </w:r>
                      <w:r>
                        <w:rPr>
                          <w:rStyle w:val="12"/>
                          <w:rFonts w:hint="eastAsia" w:ascii="楷体" w:hAnsi="楷体" w:eastAsia="楷体" w:cs="楷体"/>
                        </w:rPr>
                        <w:fldChar w:fldCharType="end"/>
                      </w:r>
                    </w:p>
                    <w:p>
                      <w:pPr>
                        <w:jc w:val="left"/>
                        <w:rPr>
                          <w:rFonts w:ascii="楷体" w:hAnsi="楷体" w:eastAsia="楷体" w:cs="楷体"/>
                        </w:rPr>
                      </w:pPr>
                    </w:p>
                  </w:txbxContent>
                </v:textbox>
              </v:shape>
            </w:pict>
          </mc:Fallback>
        </mc:AlternateContent>
      </w:r>
    </w:p>
    <w:p>
      <w:pPr>
        <w:keepNext w:val="0"/>
        <w:keepLines w:val="0"/>
        <w:pageBreakBefore w:val="0"/>
        <w:widowControl w:val="0"/>
        <w:kinsoku/>
        <w:wordWrap/>
        <w:overflowPunct/>
        <w:topLinePunct w:val="0"/>
        <w:autoSpaceDE/>
        <w:autoSpaceDN/>
        <w:bidi w:val="0"/>
        <w:adjustRightInd/>
        <w:snapToGrid/>
        <w:spacing w:after="313" w:afterLines="100" w:line="360" w:lineRule="auto"/>
        <w:ind w:left="-840" w:leftChars="-400" w:right="-840" w:rightChars="-400" w:firstLine="480" w:firstLineChars="200"/>
        <w:textAlignment w:val="auto"/>
        <w:rPr>
          <w:rFonts w:hint="eastAsia" w:ascii="仿宋" w:hAnsi="仿宋" w:eastAsia="仿宋" w:cs="仿宋"/>
          <w:b w:val="0"/>
          <w:bCs w:val="0"/>
          <w:color w:val="auto"/>
          <w:sz w:val="24"/>
          <w:szCs w:val="24"/>
          <w:lang w:val="en-US" w:eastAsia="zh-CN" w:bidi="en-US"/>
        </w:rPr>
      </w:pPr>
      <w:bookmarkStart w:id="0" w:name="_Toc13196"/>
      <w:r>
        <w:rPr>
          <w:rFonts w:hint="eastAsia" w:ascii="仿宋" w:hAnsi="仿宋" w:eastAsia="仿宋" w:cs="仿宋"/>
          <w:b w:val="0"/>
          <w:bCs w:val="0"/>
          <w:color w:val="auto"/>
          <w:sz w:val="24"/>
          <w:szCs w:val="24"/>
          <w:lang w:val="en-US" w:eastAsia="zh-CN" w:bidi="en-US"/>
        </w:rPr>
        <w:t>随着美以与伊朗军事对抗的全面升级，伊朗封锁了霍尔木兹海峡这一全球能源咽喉，地缘风险溢价急剧飙升，截至目前，Brent原油期货主力合约创下两年新高后在100美元/桶附近波动。此轮上涨不仅是油价的独立行情，更将从成本端引发全产业链的剧烈重构，对下游化工品及终端行业形成深度冲击。</w:t>
      </w:r>
    </w:p>
    <w:p>
      <w:pPr>
        <w:keepNext w:val="0"/>
        <w:keepLines w:val="0"/>
        <w:pageBreakBefore w:val="0"/>
        <w:widowControl w:val="0"/>
        <w:kinsoku/>
        <w:wordWrap/>
        <w:overflowPunct/>
        <w:topLinePunct w:val="0"/>
        <w:autoSpaceDE/>
        <w:autoSpaceDN/>
        <w:bidi w:val="0"/>
        <w:adjustRightInd/>
        <w:snapToGrid/>
        <w:spacing w:after="313" w:afterLines="100" w:line="360" w:lineRule="auto"/>
        <w:ind w:left="-840" w:leftChars="-400" w:right="-840" w:rightChars="-400" w:firstLine="562" w:firstLineChars="200"/>
        <w:textAlignment w:val="auto"/>
        <w:rPr>
          <w:rFonts w:hint="eastAsia" w:ascii="仿宋" w:hAnsi="仿宋" w:eastAsia="仿宋" w:cs="仿宋"/>
          <w:b/>
          <w:bCs/>
          <w:color w:val="auto"/>
          <w:sz w:val="28"/>
          <w:szCs w:val="28"/>
          <w:lang w:val="en-US" w:eastAsia="zh-CN" w:bidi="en-US"/>
        </w:rPr>
      </w:pPr>
      <w:r>
        <w:rPr>
          <w:rFonts w:hint="eastAsia" w:ascii="仿宋" w:hAnsi="仿宋" w:eastAsia="仿宋" w:cs="仿宋"/>
          <w:b/>
          <w:bCs/>
          <w:color w:val="auto"/>
          <w:sz w:val="28"/>
          <w:szCs w:val="28"/>
          <w:lang w:val="en-US" w:eastAsia="zh-CN" w:bidi="en-US"/>
        </w:rPr>
        <w:t>原油破百的驱动逻辑与未来行情展望</w:t>
      </w:r>
    </w:p>
    <w:p>
      <w:pPr>
        <w:keepNext w:val="0"/>
        <w:keepLines w:val="0"/>
        <w:pageBreakBefore w:val="0"/>
        <w:widowControl w:val="0"/>
        <w:kinsoku/>
        <w:wordWrap/>
        <w:overflowPunct/>
        <w:topLinePunct w:val="0"/>
        <w:autoSpaceDE/>
        <w:autoSpaceDN/>
        <w:bidi w:val="0"/>
        <w:adjustRightInd/>
        <w:snapToGrid/>
        <w:spacing w:after="313" w:afterLines="100" w:line="360" w:lineRule="auto"/>
        <w:ind w:left="-840" w:leftChars="-400" w:right="-840" w:rightChars="-400" w:firstLine="480" w:firstLineChars="200"/>
        <w:textAlignment w:val="auto"/>
        <w:rPr>
          <w:rFonts w:hint="eastAsia" w:ascii="仿宋" w:hAnsi="仿宋" w:eastAsia="仿宋" w:cs="仿宋"/>
          <w:b w:val="0"/>
          <w:bCs w:val="0"/>
          <w:color w:val="auto"/>
          <w:sz w:val="24"/>
          <w:szCs w:val="24"/>
          <w:lang w:val="en-US" w:eastAsia="zh-CN" w:bidi="en-US"/>
        </w:rPr>
      </w:pPr>
      <w:r>
        <w:rPr>
          <w:rFonts w:hint="eastAsia" w:ascii="仿宋" w:hAnsi="仿宋" w:eastAsia="仿宋" w:cs="仿宋"/>
          <w:b w:val="0"/>
          <w:bCs w:val="0"/>
          <w:color w:val="auto"/>
          <w:sz w:val="24"/>
          <w:szCs w:val="24"/>
          <w:lang w:val="en-US" w:eastAsia="zh-CN" w:bidi="en-US"/>
        </w:rPr>
        <w:t>当前油价突破100美元/桶，核心驱动来自市场对霍尔木兹海峡封锁及伊朗与中东多国原油出口全面停滞的极端担忧。美以伊军事行动的扩大化使得中东这一全球能源心脏面临实质性断供风险。霍尔木兹海峡近乎关闭已导致中东超过700万桶/日的原油生产被关停，而3月19日伊朗对沙特、科威特、阿联酋、卡塔尔能源设施的袭击，以及3月24日美以对伊朗能源设施的轰炸，标志着冲突已进入“能源基础设施战”阶段。这不仅意味着原油供给端的持续紧张，更带来了成品油和天然气的独立供给冲击，能化产业链面临的是“原料+中间品+燃料”的多重成本压力。下游制造业的利润空间正被进一步压缩。</w:t>
      </w:r>
    </w:p>
    <w:tbl>
      <w:tblPr>
        <w:tblStyle w:val="10"/>
        <w:tblW w:w="9779" w:type="dxa"/>
        <w:tblInd w:w="-635"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4747"/>
        <w:gridCol w:w="278"/>
        <w:gridCol w:w="4754"/>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4747" w:type="dxa"/>
            <w:tcBorders>
              <w:top w:val="nil"/>
              <w:left w:val="nil"/>
              <w:bottom w:val="single" w:color="ED7D31" w:themeColor="accent2" w:sz="12" w:space="0"/>
              <w:right w:val="nil"/>
            </w:tcBorders>
            <w:vAlign w:val="top"/>
          </w:tcPr>
          <w:p>
            <w:pPr>
              <w:keepNext w:val="0"/>
              <w:keepLines w:val="0"/>
              <w:pageBreakBefore w:val="0"/>
              <w:widowControl w:val="0"/>
              <w:kinsoku/>
              <w:wordWrap/>
              <w:overflowPunct/>
              <w:topLinePunct w:val="0"/>
              <w:autoSpaceDE/>
              <w:autoSpaceDN/>
              <w:bidi w:val="0"/>
              <w:adjustRightInd/>
              <w:snapToGrid/>
              <w:ind w:right="-840" w:rightChars="-400"/>
              <w:textAlignment w:val="auto"/>
              <w:rPr>
                <w:rFonts w:hint="default" w:ascii="仿宋" w:hAnsi="仿宋" w:eastAsia="仿宋" w:cs="仿宋"/>
                <w:b/>
                <w:bCs/>
                <w:color w:val="auto"/>
                <w:sz w:val="24"/>
                <w:szCs w:val="24"/>
                <w:vertAlign w:val="baseline"/>
                <w:lang w:val="en-US" w:eastAsia="zh-CN" w:bidi="en-US"/>
              </w:rPr>
            </w:pPr>
            <w:r>
              <w:rPr>
                <w:rFonts w:hint="eastAsia" w:ascii="仿宋" w:hAnsi="仿宋" w:eastAsia="仿宋" w:cs="仿宋"/>
                <w:b/>
                <w:bCs/>
                <w:color w:val="auto"/>
                <w:sz w:val="24"/>
                <w:szCs w:val="24"/>
                <w:vertAlign w:val="baseline"/>
                <w:lang w:val="en-US" w:eastAsia="zh-CN" w:bidi="en-US"/>
              </w:rPr>
              <w:t>图1：布伦特原油主力K线图</w:t>
            </w:r>
          </w:p>
        </w:tc>
        <w:tc>
          <w:tcPr>
            <w:tcW w:w="278" w:type="dxa"/>
            <w:tcBorders>
              <w:top w:val="nil"/>
              <w:left w:val="nil"/>
              <w:bottom w:val="nil"/>
              <w:right w:val="nil"/>
            </w:tcBorders>
            <w:vAlign w:val="top"/>
          </w:tcPr>
          <w:p>
            <w:pPr>
              <w:keepNext w:val="0"/>
              <w:keepLines w:val="0"/>
              <w:pageBreakBefore w:val="0"/>
              <w:widowControl w:val="0"/>
              <w:kinsoku/>
              <w:wordWrap/>
              <w:overflowPunct/>
              <w:topLinePunct w:val="0"/>
              <w:autoSpaceDE/>
              <w:autoSpaceDN/>
              <w:bidi w:val="0"/>
              <w:adjustRightInd/>
              <w:snapToGrid/>
              <w:ind w:right="-840" w:rightChars="-400"/>
              <w:textAlignment w:val="auto"/>
              <w:rPr>
                <w:rFonts w:hint="eastAsia" w:ascii="仿宋" w:hAnsi="仿宋" w:eastAsia="仿宋" w:cs="仿宋"/>
                <w:b/>
                <w:bCs/>
                <w:color w:val="auto"/>
                <w:sz w:val="24"/>
                <w:szCs w:val="24"/>
                <w:vertAlign w:val="baseline"/>
                <w:lang w:val="en-US" w:eastAsia="zh-CN" w:bidi="en-US"/>
              </w:rPr>
            </w:pPr>
          </w:p>
        </w:tc>
        <w:tc>
          <w:tcPr>
            <w:tcW w:w="4754" w:type="dxa"/>
            <w:tcBorders>
              <w:top w:val="nil"/>
              <w:left w:val="nil"/>
              <w:bottom w:val="single" w:color="ED7D31" w:themeColor="accent2" w:sz="12" w:space="0"/>
              <w:right w:val="nil"/>
            </w:tcBorders>
            <w:vAlign w:val="top"/>
          </w:tcPr>
          <w:p>
            <w:pPr>
              <w:keepNext w:val="0"/>
              <w:keepLines w:val="0"/>
              <w:pageBreakBefore w:val="0"/>
              <w:widowControl w:val="0"/>
              <w:kinsoku/>
              <w:wordWrap/>
              <w:overflowPunct/>
              <w:topLinePunct w:val="0"/>
              <w:autoSpaceDE/>
              <w:autoSpaceDN/>
              <w:bidi w:val="0"/>
              <w:adjustRightInd/>
              <w:snapToGrid/>
              <w:ind w:right="-840" w:rightChars="-400"/>
              <w:textAlignment w:val="auto"/>
              <w:rPr>
                <w:rFonts w:hint="default" w:ascii="仿宋" w:hAnsi="仿宋" w:eastAsia="仿宋" w:cs="仿宋"/>
                <w:b/>
                <w:bCs/>
                <w:color w:val="auto"/>
                <w:sz w:val="24"/>
                <w:szCs w:val="24"/>
                <w:vertAlign w:val="baseline"/>
                <w:lang w:val="en-US" w:eastAsia="zh-CN" w:bidi="en-US"/>
              </w:rPr>
            </w:pPr>
            <w:r>
              <w:rPr>
                <w:rFonts w:hint="eastAsia" w:ascii="仿宋" w:hAnsi="仿宋" w:eastAsia="仿宋" w:cs="仿宋"/>
                <w:b/>
                <w:bCs/>
                <w:color w:val="auto"/>
                <w:sz w:val="24"/>
                <w:szCs w:val="24"/>
                <w:vertAlign w:val="baseline"/>
                <w:lang w:val="en-US" w:eastAsia="zh-CN" w:bidi="en-US"/>
              </w:rPr>
              <w:t>图2：布伦特原油的期限结构</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cantSplit/>
          <w:trHeight w:val="4409" w:hRule="atLeast"/>
        </w:trPr>
        <w:tc>
          <w:tcPr>
            <w:tcW w:w="4747" w:type="dxa"/>
            <w:tcBorders>
              <w:top w:val="single" w:color="ED7D31" w:themeColor="accent2" w:sz="12" w:space="0"/>
              <w:left w:val="nil"/>
              <w:bottom w:val="single" w:color="ED7D31" w:themeColor="accent2" w:sz="12" w:space="0"/>
              <w:right w:val="nil"/>
            </w:tcBorders>
            <w:vAlign w:val="top"/>
          </w:tcPr>
          <w:p>
            <w:pPr>
              <w:keepNext w:val="0"/>
              <w:keepLines w:val="0"/>
              <w:pageBreakBefore w:val="0"/>
              <w:widowControl w:val="0"/>
              <w:kinsoku/>
              <w:wordWrap/>
              <w:overflowPunct/>
              <w:topLinePunct w:val="0"/>
              <w:autoSpaceDE/>
              <w:autoSpaceDN/>
              <w:bidi w:val="0"/>
              <w:adjustRightInd/>
              <w:snapToGrid/>
              <w:spacing w:line="240" w:lineRule="atLeast"/>
              <w:ind w:right="-840" w:rightChars="-400"/>
              <w:textAlignment w:val="auto"/>
              <w:rPr>
                <w:rFonts w:hint="eastAsia" w:ascii="仿宋" w:hAnsi="仿宋" w:eastAsia="仿宋" w:cs="仿宋"/>
                <w:b/>
                <w:bCs/>
                <w:color w:val="auto"/>
                <w:sz w:val="20"/>
                <w:szCs w:val="20"/>
                <w:vertAlign w:val="baseline"/>
                <w:lang w:val="en-US" w:eastAsia="zh-CN" w:bidi="en-US"/>
              </w:rPr>
            </w:pPr>
            <w:r>
              <w:drawing>
                <wp:inline distT="0" distB="0" distL="114300" distR="114300">
                  <wp:extent cx="2933065" cy="2886075"/>
                  <wp:effectExtent l="0" t="0" r="635" b="9525"/>
                  <wp:docPr id="13"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图片 5"/>
                          <pic:cNvPicPr>
                            <a:picLocks noChangeAspect="1"/>
                          </pic:cNvPicPr>
                        </pic:nvPicPr>
                        <pic:blipFill>
                          <a:blip r:embed="rId8"/>
                          <a:stretch>
                            <a:fillRect/>
                          </a:stretch>
                        </pic:blipFill>
                        <pic:spPr>
                          <a:xfrm>
                            <a:off x="0" y="0"/>
                            <a:ext cx="2933065" cy="2886075"/>
                          </a:xfrm>
                          <a:prstGeom prst="rect">
                            <a:avLst/>
                          </a:prstGeom>
                          <a:noFill/>
                          <a:ln>
                            <a:noFill/>
                          </a:ln>
                        </pic:spPr>
                      </pic:pic>
                    </a:graphicData>
                  </a:graphic>
                </wp:inline>
              </w:drawing>
            </w:r>
          </w:p>
        </w:tc>
        <w:tc>
          <w:tcPr>
            <w:tcW w:w="278" w:type="dxa"/>
            <w:tcBorders>
              <w:top w:val="nil"/>
              <w:left w:val="nil"/>
              <w:bottom w:val="nil"/>
              <w:right w:val="nil"/>
            </w:tcBorders>
            <w:vAlign w:val="top"/>
          </w:tcPr>
          <w:p>
            <w:pPr>
              <w:keepNext w:val="0"/>
              <w:keepLines w:val="0"/>
              <w:pageBreakBefore w:val="0"/>
              <w:widowControl w:val="0"/>
              <w:kinsoku/>
              <w:wordWrap/>
              <w:overflowPunct/>
              <w:topLinePunct w:val="0"/>
              <w:autoSpaceDE/>
              <w:autoSpaceDN/>
              <w:bidi w:val="0"/>
              <w:adjustRightInd/>
              <w:snapToGrid/>
              <w:spacing w:line="240" w:lineRule="atLeast"/>
              <w:ind w:right="-840" w:rightChars="-400"/>
              <w:textAlignment w:val="auto"/>
              <w:rPr>
                <w:rFonts w:hint="eastAsia" w:ascii="仿宋" w:hAnsi="仿宋" w:eastAsia="仿宋" w:cs="仿宋"/>
                <w:b/>
                <w:bCs/>
                <w:color w:val="auto"/>
                <w:sz w:val="20"/>
                <w:szCs w:val="20"/>
                <w:vertAlign w:val="baseline"/>
                <w:lang w:val="en-US" w:eastAsia="zh-CN" w:bidi="en-US"/>
              </w:rPr>
            </w:pPr>
          </w:p>
        </w:tc>
        <w:tc>
          <w:tcPr>
            <w:tcW w:w="4754" w:type="dxa"/>
            <w:tcBorders>
              <w:top w:val="single" w:color="ED7D31" w:themeColor="accent2" w:sz="12" w:space="0"/>
              <w:left w:val="nil"/>
              <w:bottom w:val="single" w:color="ED7D31" w:themeColor="accent2" w:sz="12" w:space="0"/>
              <w:right w:val="nil"/>
            </w:tcBorders>
            <w:vAlign w:val="top"/>
          </w:tcPr>
          <w:p>
            <w:pPr>
              <w:keepNext w:val="0"/>
              <w:keepLines w:val="0"/>
              <w:pageBreakBefore w:val="0"/>
              <w:widowControl w:val="0"/>
              <w:kinsoku/>
              <w:wordWrap/>
              <w:overflowPunct/>
              <w:topLinePunct w:val="0"/>
              <w:autoSpaceDE/>
              <w:autoSpaceDN/>
              <w:bidi w:val="0"/>
              <w:adjustRightInd/>
              <w:snapToGrid/>
              <w:ind w:right="-840" w:rightChars="-400"/>
              <w:jc w:val="both"/>
              <w:textAlignment w:val="auto"/>
              <w:rPr>
                <w:rFonts w:hint="eastAsia" w:ascii="仿宋" w:hAnsi="仿宋" w:eastAsia="仿宋" w:cs="仿宋"/>
                <w:b/>
                <w:bCs/>
                <w:color w:val="auto"/>
                <w:sz w:val="28"/>
                <w:szCs w:val="28"/>
                <w:vertAlign w:val="baseline"/>
                <w:lang w:val="en-US" w:eastAsia="zh-CN" w:bidi="en-US"/>
              </w:rPr>
            </w:pPr>
            <w:r>
              <w:drawing>
                <wp:inline distT="0" distB="0" distL="114300" distR="114300">
                  <wp:extent cx="2832735" cy="2895600"/>
                  <wp:effectExtent l="0" t="0" r="5715" b="0"/>
                  <wp:docPr id="15"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图片 2"/>
                          <pic:cNvPicPr>
                            <a:picLocks noChangeAspect="1"/>
                          </pic:cNvPicPr>
                        </pic:nvPicPr>
                        <pic:blipFill>
                          <a:blip r:embed="rId9"/>
                          <a:stretch>
                            <a:fillRect/>
                          </a:stretch>
                        </pic:blipFill>
                        <pic:spPr>
                          <a:xfrm>
                            <a:off x="0" y="0"/>
                            <a:ext cx="2832735" cy="2895600"/>
                          </a:xfrm>
                          <a:prstGeom prst="rect">
                            <a:avLst/>
                          </a:prstGeom>
                          <a:noFill/>
                          <a:ln>
                            <a:noFill/>
                          </a:ln>
                        </pic:spPr>
                      </pic:pic>
                    </a:graphicData>
                  </a:graphic>
                </wp:inline>
              </w:drawing>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4747" w:type="dxa"/>
            <w:tcBorders>
              <w:top w:val="single" w:color="ED7D31" w:themeColor="accent2" w:sz="12" w:space="0"/>
              <w:left w:val="nil"/>
              <w:bottom w:val="nil"/>
              <w:right w:val="nil"/>
            </w:tcBorders>
            <w:vAlign w:val="top"/>
          </w:tcPr>
          <w:p>
            <w:pPr>
              <w:keepNext w:val="0"/>
              <w:keepLines w:val="0"/>
              <w:pageBreakBefore w:val="0"/>
              <w:widowControl w:val="0"/>
              <w:kinsoku/>
              <w:wordWrap/>
              <w:overflowPunct/>
              <w:topLinePunct w:val="0"/>
              <w:autoSpaceDE/>
              <w:autoSpaceDN/>
              <w:bidi w:val="0"/>
              <w:adjustRightInd/>
              <w:snapToGrid/>
              <w:ind w:right="-840" w:rightChars="-400"/>
              <w:textAlignment w:val="auto"/>
              <w:rPr>
                <w:rFonts w:hint="default" w:ascii="仿宋" w:hAnsi="仿宋" w:eastAsia="仿宋" w:cs="仿宋"/>
                <w:b/>
                <w:bCs/>
                <w:color w:val="auto"/>
                <w:spacing w:val="0"/>
                <w:w w:val="100"/>
                <w:sz w:val="28"/>
                <w:szCs w:val="28"/>
                <w:vertAlign w:val="baseline"/>
                <w:lang w:val="en-US" w:eastAsia="zh-CN" w:bidi="en-US"/>
              </w:rPr>
            </w:pPr>
            <w:r>
              <w:rPr>
                <w:rFonts w:hint="eastAsia" w:ascii="仿宋" w:hAnsi="仿宋" w:eastAsia="仿宋" w:cs="仿宋"/>
                <w:b w:val="0"/>
                <w:bCs w:val="0"/>
                <w:color w:val="auto"/>
                <w:spacing w:val="0"/>
                <w:w w:val="100"/>
                <w:sz w:val="21"/>
                <w:szCs w:val="21"/>
                <w:vertAlign w:val="baseline"/>
                <w:lang w:val="en-US" w:eastAsia="zh-CN" w:bidi="en-US"/>
              </w:rPr>
              <w:t>数据来源：文华财经、山金期货</w:t>
            </w:r>
          </w:p>
        </w:tc>
        <w:tc>
          <w:tcPr>
            <w:tcW w:w="278" w:type="dxa"/>
            <w:tcBorders>
              <w:top w:val="nil"/>
              <w:left w:val="nil"/>
              <w:bottom w:val="nil"/>
              <w:right w:val="nil"/>
            </w:tcBorders>
            <w:vAlign w:val="top"/>
          </w:tcPr>
          <w:p>
            <w:pPr>
              <w:keepNext w:val="0"/>
              <w:keepLines w:val="0"/>
              <w:pageBreakBefore w:val="0"/>
              <w:widowControl w:val="0"/>
              <w:kinsoku/>
              <w:wordWrap/>
              <w:overflowPunct/>
              <w:topLinePunct w:val="0"/>
              <w:autoSpaceDE/>
              <w:autoSpaceDN/>
              <w:bidi w:val="0"/>
              <w:adjustRightInd/>
              <w:snapToGrid/>
              <w:ind w:right="-840" w:rightChars="-400"/>
              <w:textAlignment w:val="auto"/>
              <w:rPr>
                <w:rFonts w:hint="eastAsia" w:ascii="仿宋" w:hAnsi="仿宋" w:eastAsia="仿宋" w:cs="仿宋"/>
                <w:b/>
                <w:bCs/>
                <w:color w:val="auto"/>
                <w:spacing w:val="0"/>
                <w:w w:val="100"/>
                <w:sz w:val="28"/>
                <w:szCs w:val="28"/>
                <w:vertAlign w:val="baseline"/>
                <w:lang w:val="en-US" w:eastAsia="zh-CN" w:bidi="en-US"/>
              </w:rPr>
            </w:pPr>
          </w:p>
        </w:tc>
        <w:tc>
          <w:tcPr>
            <w:tcW w:w="4754" w:type="dxa"/>
            <w:tcBorders>
              <w:top w:val="single" w:color="ED7D31" w:themeColor="accent2" w:sz="12" w:space="0"/>
              <w:left w:val="nil"/>
              <w:bottom w:val="nil"/>
              <w:right w:val="nil"/>
            </w:tcBorders>
            <w:vAlign w:val="top"/>
          </w:tcPr>
          <w:p>
            <w:pPr>
              <w:keepNext w:val="0"/>
              <w:keepLines w:val="0"/>
              <w:pageBreakBefore w:val="0"/>
              <w:widowControl w:val="0"/>
              <w:kinsoku/>
              <w:wordWrap/>
              <w:overflowPunct/>
              <w:topLinePunct w:val="0"/>
              <w:autoSpaceDE/>
              <w:autoSpaceDN/>
              <w:bidi w:val="0"/>
              <w:adjustRightInd/>
              <w:snapToGrid/>
              <w:ind w:right="-840" w:rightChars="-400"/>
              <w:textAlignment w:val="auto"/>
              <w:rPr>
                <w:rFonts w:hint="eastAsia" w:ascii="仿宋" w:hAnsi="仿宋" w:eastAsia="仿宋" w:cs="仿宋"/>
                <w:b/>
                <w:bCs/>
                <w:color w:val="auto"/>
                <w:spacing w:val="0"/>
                <w:w w:val="100"/>
                <w:sz w:val="28"/>
                <w:szCs w:val="28"/>
                <w:vertAlign w:val="baseline"/>
                <w:lang w:val="en-US" w:eastAsia="zh-CN" w:bidi="en-US"/>
              </w:rPr>
            </w:pPr>
            <w:r>
              <w:rPr>
                <w:rFonts w:hint="eastAsia" w:ascii="仿宋" w:hAnsi="仿宋" w:eastAsia="仿宋" w:cs="仿宋"/>
                <w:b w:val="0"/>
                <w:bCs w:val="0"/>
                <w:color w:val="auto"/>
                <w:spacing w:val="0"/>
                <w:w w:val="100"/>
                <w:sz w:val="21"/>
                <w:szCs w:val="21"/>
                <w:vertAlign w:val="baseline"/>
                <w:lang w:val="en-US" w:eastAsia="zh-CN" w:bidi="en-US"/>
              </w:rPr>
              <w:t>数据来源：iFind、山金期货</w:t>
            </w:r>
          </w:p>
        </w:tc>
      </w:tr>
    </w:tbl>
    <w:p>
      <w:pPr>
        <w:keepNext w:val="0"/>
        <w:keepLines w:val="0"/>
        <w:pageBreakBefore w:val="0"/>
        <w:widowControl w:val="0"/>
        <w:kinsoku/>
        <w:wordWrap/>
        <w:overflowPunct/>
        <w:topLinePunct w:val="0"/>
        <w:autoSpaceDE/>
        <w:autoSpaceDN/>
        <w:bidi w:val="0"/>
        <w:adjustRightInd/>
        <w:snapToGrid/>
        <w:spacing w:after="313" w:afterLines="100" w:line="360" w:lineRule="auto"/>
        <w:ind w:left="-840" w:leftChars="-400" w:right="-840" w:rightChars="-400" w:firstLine="480" w:firstLineChars="200"/>
        <w:textAlignment w:val="auto"/>
        <w:rPr>
          <w:rFonts w:hint="eastAsia" w:ascii="仿宋" w:hAnsi="仿宋" w:eastAsia="仿宋" w:cs="仿宋"/>
          <w:b w:val="0"/>
          <w:bCs w:val="0"/>
          <w:color w:val="auto"/>
          <w:sz w:val="24"/>
          <w:szCs w:val="24"/>
          <w:lang w:val="en-US" w:eastAsia="zh-CN" w:bidi="en-US"/>
        </w:rPr>
      </w:pPr>
      <w:r>
        <w:rPr>
          <w:rFonts w:hint="eastAsia" w:ascii="仿宋" w:hAnsi="仿宋" w:eastAsia="仿宋" w:cs="仿宋"/>
          <w:b w:val="0"/>
          <w:bCs w:val="0"/>
          <w:color w:val="auto"/>
          <w:sz w:val="24"/>
          <w:szCs w:val="24"/>
          <w:lang w:val="en-US" w:eastAsia="zh-CN" w:bidi="en-US"/>
        </w:rPr>
        <w:t>虽然特朗普说，美伊正在进行谈判，但双方目前分歧很大，远不是特朗普所说的“可能已相当接近达成协议”。短期达成协议的概率很低。另外，即使能达成协议，那些受损的油气生产设施也非短期可以修复。近期，国际能源署表示，此轮原油供应冲击超过以往任何一次。</w:t>
      </w:r>
    </w:p>
    <w:p>
      <w:pPr>
        <w:keepNext w:val="0"/>
        <w:keepLines w:val="0"/>
        <w:pageBreakBefore w:val="0"/>
        <w:widowControl w:val="0"/>
        <w:kinsoku/>
        <w:wordWrap/>
        <w:overflowPunct/>
        <w:topLinePunct w:val="0"/>
        <w:autoSpaceDE/>
        <w:autoSpaceDN/>
        <w:bidi w:val="0"/>
        <w:adjustRightInd/>
        <w:snapToGrid/>
        <w:spacing w:after="313" w:afterLines="100" w:line="360" w:lineRule="auto"/>
        <w:ind w:left="-840" w:leftChars="-400" w:right="-840" w:rightChars="-400" w:firstLine="480" w:firstLineChars="200"/>
        <w:textAlignment w:val="auto"/>
        <w:rPr>
          <w:rFonts w:hint="default" w:ascii="仿宋" w:hAnsi="仿宋" w:eastAsia="仿宋" w:cs="仿宋"/>
          <w:b w:val="0"/>
          <w:bCs w:val="0"/>
          <w:color w:val="auto"/>
          <w:sz w:val="24"/>
          <w:szCs w:val="24"/>
          <w:lang w:val="en-US" w:eastAsia="zh-CN" w:bidi="en-US"/>
        </w:rPr>
      </w:pPr>
      <w:r>
        <w:rPr>
          <w:rFonts w:hint="eastAsia" w:ascii="仿宋" w:hAnsi="仿宋" w:eastAsia="仿宋" w:cs="仿宋"/>
          <w:b w:val="0"/>
          <w:bCs w:val="0"/>
          <w:color w:val="auto"/>
          <w:sz w:val="24"/>
          <w:szCs w:val="24"/>
          <w:lang w:val="en-US" w:eastAsia="zh-CN" w:bidi="en-US"/>
        </w:rPr>
        <w:t>从基本面看，全球原油库存处于历史低位，霍尔木兹海峡的封锁直接导致全球20%的原油供应中断，供给弹性严重不足。当前市场所处的环境是低库存、低供应，高油价暂时还没有强烈的影响到全球宏观经济及增长预期，因而全球原油需求维持稳定。我们判断，只要地缘冲突未见实质性缓和，霍尔木兹海峡还没有实质性的自由航行，布伦特原油价格将在900美元上方获得强力支撑。如果后期受到某些因素的扰动，布伦特原油价格突破近期高点119.5美元/桶并非不可能。</w:t>
      </w:r>
    </w:p>
    <w:p>
      <w:pPr>
        <w:keepNext w:val="0"/>
        <w:keepLines w:val="0"/>
        <w:pageBreakBefore w:val="0"/>
        <w:widowControl w:val="0"/>
        <w:kinsoku/>
        <w:wordWrap/>
        <w:overflowPunct/>
        <w:topLinePunct w:val="0"/>
        <w:autoSpaceDE/>
        <w:autoSpaceDN/>
        <w:bidi w:val="0"/>
        <w:adjustRightInd/>
        <w:snapToGrid/>
        <w:spacing w:after="313" w:afterLines="100"/>
        <w:ind w:left="-840" w:leftChars="-400" w:right="-840" w:rightChars="-400" w:firstLine="562" w:firstLineChars="200"/>
        <w:textAlignment w:val="auto"/>
        <w:rPr>
          <w:rFonts w:hint="default" w:ascii="仿宋" w:hAnsi="仿宋" w:eastAsia="仿宋" w:cs="仿宋"/>
          <w:b/>
          <w:bCs/>
          <w:color w:val="auto"/>
          <w:sz w:val="28"/>
          <w:szCs w:val="28"/>
          <w:lang w:val="en-US" w:eastAsia="zh-CN" w:bidi="en-US"/>
        </w:rPr>
      </w:pPr>
      <w:r>
        <w:rPr>
          <w:rFonts w:hint="eastAsia" w:ascii="仿宋" w:hAnsi="仿宋" w:eastAsia="仿宋" w:cs="仿宋"/>
          <w:b/>
          <w:bCs/>
          <w:color w:val="auto"/>
          <w:sz w:val="28"/>
          <w:szCs w:val="28"/>
          <w:lang w:val="en-US" w:eastAsia="zh-CN" w:bidi="en-US"/>
        </w:rPr>
        <w:t>化工品价格传导：品种分化与成本重构</w:t>
      </w:r>
    </w:p>
    <w:p>
      <w:pPr>
        <w:keepNext w:val="0"/>
        <w:keepLines w:val="0"/>
        <w:pageBreakBefore w:val="0"/>
        <w:widowControl w:val="0"/>
        <w:kinsoku/>
        <w:wordWrap/>
        <w:overflowPunct/>
        <w:topLinePunct w:val="0"/>
        <w:autoSpaceDE/>
        <w:autoSpaceDN/>
        <w:bidi w:val="0"/>
        <w:adjustRightInd/>
        <w:snapToGrid/>
        <w:spacing w:after="313" w:afterLines="100" w:line="360" w:lineRule="auto"/>
        <w:ind w:left="-840" w:leftChars="-400" w:right="-840" w:rightChars="-400" w:firstLine="480" w:firstLineChars="200"/>
        <w:textAlignment w:val="auto"/>
        <w:rPr>
          <w:rFonts w:hint="default" w:ascii="仿宋" w:hAnsi="仿宋" w:eastAsia="仿宋" w:cs="仿宋"/>
          <w:b w:val="0"/>
          <w:bCs w:val="0"/>
          <w:color w:val="auto"/>
          <w:sz w:val="24"/>
          <w:szCs w:val="24"/>
          <w:lang w:val="en-US" w:eastAsia="zh-CN" w:bidi="en-US"/>
        </w:rPr>
      </w:pPr>
      <w:r>
        <w:rPr>
          <w:rFonts w:hint="default" w:ascii="仿宋" w:hAnsi="仿宋" w:eastAsia="仿宋" w:cs="仿宋"/>
          <w:b w:val="0"/>
          <w:bCs w:val="0"/>
          <w:color w:val="auto"/>
          <w:sz w:val="24"/>
          <w:szCs w:val="24"/>
          <w:lang w:val="en-US" w:eastAsia="zh-CN" w:bidi="en-US"/>
        </w:rPr>
        <w:t>原油作为石化产业链的源头，其价格变动沿着“原油—石脑油—中间体—合成材料—制品”的链条向下传导。原油飙升，下游化工品价格普遍跟涨，但品种间分化显著。</w:t>
      </w:r>
    </w:p>
    <w:p>
      <w:pPr>
        <w:keepNext w:val="0"/>
        <w:keepLines w:val="0"/>
        <w:pageBreakBefore w:val="0"/>
        <w:widowControl w:val="0"/>
        <w:kinsoku/>
        <w:wordWrap/>
        <w:overflowPunct/>
        <w:topLinePunct w:val="0"/>
        <w:autoSpaceDE/>
        <w:autoSpaceDN/>
        <w:bidi w:val="0"/>
        <w:adjustRightInd/>
        <w:snapToGrid/>
        <w:spacing w:after="313" w:afterLines="100" w:line="360" w:lineRule="auto"/>
        <w:ind w:left="-840" w:leftChars="-400" w:right="-840" w:rightChars="-400" w:firstLine="480" w:firstLineChars="200"/>
        <w:textAlignment w:val="auto"/>
        <w:rPr>
          <w:rFonts w:hint="default" w:ascii="仿宋" w:hAnsi="仿宋" w:eastAsia="仿宋" w:cs="仿宋"/>
          <w:b w:val="0"/>
          <w:bCs w:val="0"/>
          <w:color w:val="auto"/>
          <w:sz w:val="24"/>
          <w:szCs w:val="24"/>
          <w:lang w:val="en-US" w:eastAsia="zh-CN" w:bidi="en-US"/>
        </w:rPr>
      </w:pPr>
      <w:r>
        <w:rPr>
          <w:rFonts w:hint="default" w:ascii="仿宋" w:hAnsi="仿宋" w:eastAsia="仿宋" w:cs="仿宋"/>
          <w:b w:val="0"/>
          <w:bCs w:val="0"/>
          <w:color w:val="auto"/>
          <w:sz w:val="24"/>
          <w:szCs w:val="24"/>
          <w:lang w:val="en-US" w:eastAsia="zh-CN" w:bidi="en-US"/>
        </w:rPr>
        <w:t>石脑油与烯烃链：石脑油作为直接下游，价格跟随原油强势上涨，但裂解价差被急剧压缩。乙烯、丙烯等基础原料价格上调，导致下游塑料（PE、PP）飙涨，现在呈现是一种“高成本、低利润”局面固化。</w:t>
      </w:r>
    </w:p>
    <w:p>
      <w:pPr>
        <w:keepNext w:val="0"/>
        <w:keepLines w:val="0"/>
        <w:pageBreakBefore w:val="0"/>
        <w:widowControl w:val="0"/>
        <w:kinsoku/>
        <w:wordWrap/>
        <w:overflowPunct/>
        <w:topLinePunct w:val="0"/>
        <w:autoSpaceDE/>
        <w:autoSpaceDN/>
        <w:bidi w:val="0"/>
        <w:adjustRightInd/>
        <w:snapToGrid/>
        <w:spacing w:after="313" w:afterLines="100" w:line="360" w:lineRule="auto"/>
        <w:ind w:left="-840" w:leftChars="-400" w:right="-840" w:rightChars="-400" w:firstLine="480" w:firstLineChars="200"/>
        <w:textAlignment w:val="auto"/>
        <w:rPr>
          <w:rFonts w:hint="default" w:ascii="仿宋" w:hAnsi="仿宋" w:eastAsia="仿宋" w:cs="仿宋"/>
          <w:b w:val="0"/>
          <w:bCs w:val="0"/>
          <w:color w:val="auto"/>
          <w:sz w:val="24"/>
          <w:szCs w:val="24"/>
          <w:lang w:val="en-US" w:eastAsia="zh-CN" w:bidi="en-US"/>
        </w:rPr>
      </w:pPr>
      <w:r>
        <w:rPr>
          <w:rFonts w:hint="default" w:ascii="仿宋" w:hAnsi="仿宋" w:eastAsia="仿宋" w:cs="仿宋"/>
          <w:b w:val="0"/>
          <w:bCs w:val="0"/>
          <w:color w:val="auto"/>
          <w:sz w:val="24"/>
          <w:szCs w:val="24"/>
          <w:lang w:val="en-US" w:eastAsia="zh-CN" w:bidi="en-US"/>
        </w:rPr>
        <w:t>芳烃链（PX-PTA-聚酯）：这一链条受冲击最为直接。PX价格随原油大涨，带动PTA价格被动上行。然而，终端纺织服装订单并未同步爆发，导致PTA加工费被压缩至盈亏平衡线附近，部分装置甚至面临亏损停车风险。</w:t>
      </w:r>
    </w:p>
    <w:p>
      <w:pPr>
        <w:keepNext w:val="0"/>
        <w:keepLines w:val="0"/>
        <w:pageBreakBefore w:val="0"/>
        <w:widowControl w:val="0"/>
        <w:kinsoku/>
        <w:wordWrap/>
        <w:overflowPunct/>
        <w:topLinePunct w:val="0"/>
        <w:autoSpaceDE/>
        <w:autoSpaceDN/>
        <w:bidi w:val="0"/>
        <w:adjustRightInd/>
        <w:snapToGrid/>
        <w:spacing w:after="313" w:afterLines="100" w:line="360" w:lineRule="auto"/>
        <w:ind w:left="-840" w:leftChars="-400" w:right="-840" w:rightChars="-400" w:firstLine="480" w:firstLineChars="200"/>
        <w:textAlignment w:val="auto"/>
        <w:rPr>
          <w:rFonts w:hint="default" w:ascii="仿宋" w:hAnsi="仿宋" w:eastAsia="仿宋" w:cs="仿宋"/>
          <w:b w:val="0"/>
          <w:bCs w:val="0"/>
          <w:color w:val="auto"/>
          <w:sz w:val="24"/>
          <w:szCs w:val="24"/>
          <w:lang w:val="en-US" w:eastAsia="zh-CN" w:bidi="en-US"/>
        </w:rPr>
      </w:pPr>
      <w:r>
        <w:rPr>
          <w:rFonts w:hint="default" w:ascii="仿宋" w:hAnsi="仿宋" w:eastAsia="仿宋" w:cs="仿宋"/>
          <w:b w:val="0"/>
          <w:bCs w:val="0"/>
          <w:color w:val="auto"/>
          <w:sz w:val="24"/>
          <w:szCs w:val="24"/>
          <w:lang w:val="en-US" w:eastAsia="zh-CN" w:bidi="en-US"/>
        </w:rPr>
        <w:t>煤化工与油煤价差：油价破百使得油制化工品成本远高于煤制路线，理论上利好煤化工企业。但在整体宏观情绪压制下，煤化工产品跟涨乏力，油煤价差虽走阔，但难以转化为实际利润。而卡塔尔LNG设施遇袭构成了新的黑天鹅，直接威胁欧亚天然气供应。这导致以天然气为原料的国际甲醇、尿素等气头化工品面临成本飙升压力，部分抵消了油价高企对煤化工的相对利好，全球气头化工品价格中枢被迫重构。</w:t>
      </w:r>
    </w:p>
    <w:p>
      <w:pPr>
        <w:keepNext w:val="0"/>
        <w:keepLines w:val="0"/>
        <w:pageBreakBefore w:val="0"/>
        <w:widowControl w:val="0"/>
        <w:kinsoku/>
        <w:wordWrap/>
        <w:overflowPunct/>
        <w:topLinePunct w:val="0"/>
        <w:autoSpaceDE/>
        <w:autoSpaceDN/>
        <w:bidi w:val="0"/>
        <w:adjustRightInd/>
        <w:snapToGrid/>
        <w:spacing w:after="313" w:afterLines="100"/>
        <w:ind w:left="-840" w:leftChars="-400" w:right="-840" w:rightChars="-400" w:firstLine="562" w:firstLineChars="200"/>
        <w:textAlignment w:val="auto"/>
        <w:rPr>
          <w:rFonts w:hint="default" w:ascii="仿宋" w:hAnsi="仿宋" w:eastAsia="仿宋" w:cs="仿宋"/>
          <w:b/>
          <w:bCs/>
          <w:color w:val="auto"/>
          <w:sz w:val="28"/>
          <w:szCs w:val="28"/>
          <w:lang w:val="en-US" w:eastAsia="zh-CN" w:bidi="en-US"/>
        </w:rPr>
      </w:pPr>
      <w:r>
        <w:rPr>
          <w:rFonts w:hint="eastAsia" w:ascii="仿宋" w:hAnsi="仿宋" w:eastAsia="仿宋" w:cs="仿宋"/>
          <w:b/>
          <w:bCs/>
          <w:color w:val="auto"/>
          <w:sz w:val="28"/>
          <w:szCs w:val="28"/>
          <w:lang w:val="en-US" w:eastAsia="zh-CN" w:bidi="en-US"/>
        </w:rPr>
        <w:t>核心传导机制详解</w:t>
      </w:r>
    </w:p>
    <w:p>
      <w:pPr>
        <w:keepNext w:val="0"/>
        <w:keepLines w:val="0"/>
        <w:pageBreakBefore w:val="0"/>
        <w:widowControl w:val="0"/>
        <w:numPr>
          <w:ilvl w:val="0"/>
          <w:numId w:val="1"/>
        </w:numPr>
        <w:kinsoku/>
        <w:wordWrap/>
        <w:overflowPunct/>
        <w:topLinePunct w:val="0"/>
        <w:autoSpaceDE/>
        <w:autoSpaceDN/>
        <w:bidi w:val="0"/>
        <w:adjustRightInd/>
        <w:snapToGrid/>
        <w:spacing w:after="313" w:afterLines="100" w:line="360" w:lineRule="auto"/>
        <w:ind w:left="-840" w:leftChars="-400" w:right="-840" w:rightChars="-400" w:firstLine="480" w:firstLineChars="200"/>
        <w:textAlignment w:val="auto"/>
        <w:rPr>
          <w:rFonts w:hint="eastAsia" w:ascii="仿宋" w:hAnsi="仿宋" w:eastAsia="仿宋" w:cs="仿宋"/>
          <w:b w:val="0"/>
          <w:bCs w:val="0"/>
          <w:color w:val="auto"/>
          <w:sz w:val="24"/>
          <w:szCs w:val="24"/>
          <w:lang w:val="en-US" w:eastAsia="zh-CN" w:bidi="en-US"/>
        </w:rPr>
      </w:pPr>
      <w:r>
        <w:rPr>
          <w:rFonts w:hint="eastAsia" w:ascii="仿宋" w:hAnsi="仿宋" w:eastAsia="仿宋" w:cs="仿宋"/>
          <w:b w:val="0"/>
          <w:bCs w:val="0"/>
          <w:color w:val="auto"/>
          <w:sz w:val="24"/>
          <w:szCs w:val="24"/>
          <w:lang w:val="en-US" w:eastAsia="zh-CN" w:bidi="en-US"/>
        </w:rPr>
        <w:t>传导路径</w:t>
      </w:r>
    </w:p>
    <w:p>
      <w:pPr>
        <w:keepNext w:val="0"/>
        <w:keepLines w:val="0"/>
        <w:pageBreakBefore w:val="0"/>
        <w:widowControl w:val="0"/>
        <w:numPr>
          <w:numId w:val="0"/>
        </w:numPr>
        <w:kinsoku/>
        <w:wordWrap/>
        <w:overflowPunct/>
        <w:topLinePunct w:val="0"/>
        <w:autoSpaceDE/>
        <w:autoSpaceDN/>
        <w:bidi w:val="0"/>
        <w:adjustRightInd/>
        <w:snapToGrid/>
        <w:spacing w:after="313" w:afterLines="100" w:line="360" w:lineRule="auto"/>
        <w:ind w:right="-840" w:rightChars="-400"/>
        <w:jc w:val="both"/>
        <w:textAlignment w:val="auto"/>
        <w:rPr>
          <w:rFonts w:hint="default" w:ascii="仿宋" w:hAnsi="仿宋" w:eastAsia="仿宋" w:cs="仿宋"/>
          <w:b w:val="0"/>
          <w:bCs w:val="0"/>
          <w:color w:val="auto"/>
          <w:sz w:val="24"/>
          <w:szCs w:val="24"/>
          <w:lang w:val="en-US" w:eastAsia="zh-CN" w:bidi="en-US"/>
        </w:rPr>
      </w:pPr>
    </w:p>
    <w:p>
      <w:pPr>
        <w:keepNext w:val="0"/>
        <w:keepLines w:val="0"/>
        <w:pageBreakBefore w:val="0"/>
        <w:widowControl w:val="0"/>
        <w:numPr>
          <w:numId w:val="0"/>
        </w:numPr>
        <w:kinsoku/>
        <w:wordWrap/>
        <w:overflowPunct/>
        <w:topLinePunct w:val="0"/>
        <w:autoSpaceDE/>
        <w:autoSpaceDN/>
        <w:bidi w:val="0"/>
        <w:adjustRightInd/>
        <w:snapToGrid/>
        <w:spacing w:after="313" w:afterLines="100" w:line="360" w:lineRule="auto"/>
        <w:ind w:right="-840" w:rightChars="-400"/>
        <w:jc w:val="both"/>
        <w:textAlignment w:val="auto"/>
        <w:rPr>
          <w:rFonts w:hint="default" w:ascii="仿宋" w:hAnsi="仿宋" w:eastAsia="仿宋" w:cs="仿宋"/>
          <w:b w:val="0"/>
          <w:bCs w:val="0"/>
          <w:color w:val="auto"/>
          <w:sz w:val="24"/>
          <w:szCs w:val="24"/>
          <w:lang w:val="en-US" w:eastAsia="zh-CN" w:bidi="en-US"/>
        </w:rPr>
      </w:pPr>
    </w:p>
    <w:tbl>
      <w:tblPr>
        <w:tblStyle w:val="10"/>
        <w:tblW w:w="5932"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5932"/>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5932" w:type="dxa"/>
            <w:tcBorders>
              <w:top w:val="nil"/>
              <w:left w:val="nil"/>
              <w:bottom w:val="single" w:color="ED7D31" w:themeColor="accent2" w:sz="12" w:space="0"/>
              <w:right w:val="nil"/>
            </w:tcBorders>
            <w:vAlign w:val="top"/>
          </w:tcPr>
          <w:p>
            <w:pPr>
              <w:keepNext w:val="0"/>
              <w:keepLines w:val="0"/>
              <w:pageBreakBefore w:val="0"/>
              <w:widowControl w:val="0"/>
              <w:kinsoku/>
              <w:wordWrap/>
              <w:overflowPunct/>
              <w:topLinePunct w:val="0"/>
              <w:autoSpaceDE/>
              <w:autoSpaceDN/>
              <w:bidi w:val="0"/>
              <w:adjustRightInd/>
              <w:snapToGrid/>
              <w:ind w:right="-840" w:rightChars="-400"/>
              <w:textAlignment w:val="auto"/>
              <w:rPr>
                <w:rFonts w:hint="default" w:ascii="仿宋" w:hAnsi="仿宋" w:eastAsia="仿宋" w:cs="仿宋"/>
                <w:b/>
                <w:bCs/>
                <w:color w:val="auto"/>
                <w:sz w:val="24"/>
                <w:szCs w:val="24"/>
                <w:vertAlign w:val="baseline"/>
                <w:lang w:val="en-US" w:eastAsia="zh-CN" w:bidi="en-US"/>
              </w:rPr>
            </w:pPr>
            <w:r>
              <w:rPr>
                <w:rFonts w:hint="eastAsia" w:ascii="仿宋" w:hAnsi="仿宋" w:eastAsia="仿宋" w:cs="仿宋"/>
                <w:b/>
                <w:bCs/>
                <w:color w:val="auto"/>
                <w:sz w:val="24"/>
                <w:szCs w:val="24"/>
                <w:vertAlign w:val="baseline"/>
                <w:lang w:val="en-US" w:eastAsia="zh-CN" w:bidi="en-US"/>
              </w:rPr>
              <w:t>图3：原油价格上涨对化工品价格影响的传导路径</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5932" w:type="dxa"/>
            <w:tcBorders>
              <w:top w:val="single" w:color="ED7D31" w:themeColor="accent2" w:sz="12" w:space="0"/>
              <w:left w:val="nil"/>
              <w:bottom w:val="single" w:color="ED7D31" w:themeColor="accent2" w:sz="12" w:space="0"/>
              <w:right w:val="nil"/>
            </w:tcBorders>
            <w:vAlign w:val="top"/>
          </w:tcPr>
          <w:p>
            <w:pPr>
              <w:keepNext w:val="0"/>
              <w:keepLines w:val="0"/>
              <w:pageBreakBefore w:val="0"/>
              <w:widowControl w:val="0"/>
              <w:kinsoku/>
              <w:wordWrap/>
              <w:overflowPunct/>
              <w:topLinePunct w:val="0"/>
              <w:autoSpaceDE/>
              <w:autoSpaceDN/>
              <w:bidi w:val="0"/>
              <w:adjustRightInd/>
              <w:snapToGrid/>
              <w:ind w:right="-840" w:rightChars="-400"/>
              <w:textAlignment w:val="auto"/>
              <w:rPr>
                <w:rFonts w:hint="eastAsia" w:ascii="仿宋" w:hAnsi="仿宋" w:eastAsia="仿宋" w:cs="仿宋"/>
                <w:b/>
                <w:bCs/>
                <w:color w:val="auto"/>
                <w:sz w:val="28"/>
                <w:szCs w:val="28"/>
                <w:vertAlign w:val="baseline"/>
                <w:lang w:val="en-US" w:eastAsia="zh-CN" w:bidi="en-US"/>
              </w:rPr>
            </w:pPr>
            <w:r>
              <w:drawing>
                <wp:inline distT="0" distB="0" distL="114300" distR="114300">
                  <wp:extent cx="3638550" cy="2276475"/>
                  <wp:effectExtent l="0" t="0" r="0" b="9525"/>
                  <wp:docPr id="4"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3"/>
                          <pic:cNvPicPr>
                            <a:picLocks noChangeAspect="1"/>
                          </pic:cNvPicPr>
                        </pic:nvPicPr>
                        <pic:blipFill>
                          <a:blip r:embed="rId10"/>
                          <a:stretch>
                            <a:fillRect/>
                          </a:stretch>
                        </pic:blipFill>
                        <pic:spPr>
                          <a:xfrm>
                            <a:off x="0" y="0"/>
                            <a:ext cx="3638550" cy="2276475"/>
                          </a:xfrm>
                          <a:prstGeom prst="rect">
                            <a:avLst/>
                          </a:prstGeom>
                          <a:noFill/>
                          <a:ln>
                            <a:noFill/>
                          </a:ln>
                        </pic:spPr>
                      </pic:pic>
                    </a:graphicData>
                  </a:graphic>
                </wp:inline>
              </w:drawing>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721" w:hRule="atLeast"/>
          <w:jc w:val="center"/>
        </w:trPr>
        <w:tc>
          <w:tcPr>
            <w:tcW w:w="5932" w:type="dxa"/>
            <w:tcBorders>
              <w:top w:val="single" w:color="ED7D31" w:themeColor="accent2" w:sz="12" w:space="0"/>
              <w:left w:val="nil"/>
              <w:bottom w:val="nil"/>
              <w:right w:val="nil"/>
            </w:tcBorders>
            <w:vAlign w:val="top"/>
          </w:tcPr>
          <w:p>
            <w:pPr>
              <w:keepNext w:val="0"/>
              <w:keepLines w:val="0"/>
              <w:pageBreakBefore w:val="0"/>
              <w:widowControl w:val="0"/>
              <w:kinsoku/>
              <w:wordWrap/>
              <w:overflowPunct/>
              <w:topLinePunct w:val="0"/>
              <w:autoSpaceDE/>
              <w:autoSpaceDN/>
              <w:bidi w:val="0"/>
              <w:adjustRightInd/>
              <w:snapToGrid/>
              <w:ind w:right="-840" w:rightChars="-400"/>
              <w:textAlignment w:val="auto"/>
              <w:rPr>
                <w:rFonts w:hint="default" w:ascii="仿宋" w:hAnsi="仿宋" w:eastAsia="仿宋" w:cs="仿宋"/>
                <w:b/>
                <w:bCs/>
                <w:color w:val="auto"/>
                <w:spacing w:val="0"/>
                <w:w w:val="100"/>
                <w:sz w:val="28"/>
                <w:szCs w:val="28"/>
                <w:vertAlign w:val="baseline"/>
                <w:lang w:val="en-US" w:eastAsia="zh-CN" w:bidi="en-US"/>
              </w:rPr>
            </w:pPr>
            <w:r>
              <w:rPr>
                <w:rFonts w:hint="eastAsia" w:ascii="仿宋" w:hAnsi="仿宋" w:eastAsia="仿宋" w:cs="仿宋"/>
                <w:b w:val="0"/>
                <w:bCs w:val="0"/>
                <w:color w:val="auto"/>
                <w:spacing w:val="0"/>
                <w:w w:val="100"/>
                <w:sz w:val="21"/>
                <w:szCs w:val="21"/>
                <w:vertAlign w:val="baseline"/>
                <w:lang w:val="en-US" w:eastAsia="zh-CN" w:bidi="en-US"/>
              </w:rPr>
              <w:t>数据来源：iFind、山金期货</w:t>
            </w:r>
          </w:p>
        </w:tc>
      </w:tr>
    </w:tbl>
    <w:p>
      <w:pPr>
        <w:keepNext w:val="0"/>
        <w:keepLines w:val="0"/>
        <w:pageBreakBefore w:val="0"/>
        <w:widowControl w:val="0"/>
        <w:kinsoku/>
        <w:wordWrap/>
        <w:overflowPunct/>
        <w:topLinePunct w:val="0"/>
        <w:autoSpaceDE/>
        <w:autoSpaceDN/>
        <w:bidi w:val="0"/>
        <w:adjustRightInd/>
        <w:snapToGrid/>
        <w:spacing w:after="313" w:afterLines="100" w:line="360" w:lineRule="auto"/>
        <w:ind w:left="-840" w:leftChars="-400" w:right="-840" w:rightChars="-400" w:firstLine="480" w:firstLineChars="200"/>
        <w:textAlignment w:val="auto"/>
        <w:rPr>
          <w:rFonts w:hint="default" w:ascii="仿宋" w:hAnsi="仿宋" w:eastAsia="仿宋" w:cs="仿宋"/>
          <w:b w:val="0"/>
          <w:bCs w:val="0"/>
          <w:color w:val="auto"/>
          <w:sz w:val="24"/>
          <w:szCs w:val="24"/>
          <w:lang w:val="en-US" w:eastAsia="zh-CN" w:bidi="en-US"/>
        </w:rPr>
      </w:pPr>
      <w:r>
        <w:rPr>
          <w:rFonts w:hint="eastAsia" w:ascii="仿宋" w:hAnsi="仿宋" w:eastAsia="仿宋" w:cs="仿宋"/>
          <w:b w:val="0"/>
          <w:bCs w:val="0"/>
          <w:color w:val="auto"/>
          <w:sz w:val="24"/>
          <w:szCs w:val="24"/>
          <w:lang w:val="en-US" w:eastAsia="zh-CN" w:bidi="en-US"/>
        </w:rPr>
        <w:t>2.传到机制</w:t>
      </w:r>
    </w:p>
    <w:p>
      <w:pPr>
        <w:keepNext w:val="0"/>
        <w:keepLines w:val="0"/>
        <w:pageBreakBefore w:val="0"/>
        <w:widowControl w:val="0"/>
        <w:kinsoku/>
        <w:wordWrap/>
        <w:overflowPunct/>
        <w:topLinePunct w:val="0"/>
        <w:autoSpaceDE/>
        <w:autoSpaceDN/>
        <w:bidi w:val="0"/>
        <w:adjustRightInd/>
        <w:snapToGrid/>
        <w:spacing w:after="313" w:afterLines="100" w:line="360" w:lineRule="auto"/>
        <w:ind w:left="-840" w:leftChars="-400" w:right="-840" w:rightChars="-400" w:firstLine="480" w:firstLineChars="200"/>
        <w:textAlignment w:val="auto"/>
        <w:rPr>
          <w:rFonts w:hint="default" w:ascii="仿宋" w:hAnsi="仿宋" w:eastAsia="仿宋" w:cs="仿宋"/>
          <w:b w:val="0"/>
          <w:bCs w:val="0"/>
          <w:color w:val="auto"/>
          <w:sz w:val="24"/>
          <w:szCs w:val="24"/>
          <w:lang w:val="en-US" w:eastAsia="zh-CN" w:bidi="en-US"/>
        </w:rPr>
      </w:pPr>
      <w:r>
        <w:rPr>
          <w:rFonts w:hint="eastAsia" w:ascii="仿宋" w:hAnsi="仿宋" w:eastAsia="仿宋" w:cs="仿宋"/>
          <w:b w:val="0"/>
          <w:bCs w:val="0"/>
          <w:color w:val="auto"/>
          <w:sz w:val="24"/>
          <w:szCs w:val="24"/>
          <w:lang w:val="en-US" w:eastAsia="zh-CN" w:bidi="en-US"/>
        </w:rPr>
        <w:t>（1）成本推动型影响（最直接）</w:t>
      </w:r>
    </w:p>
    <w:p>
      <w:pPr>
        <w:pStyle w:val="3"/>
        <w:ind w:firstLine="220" w:firstLineChars="100"/>
        <w:rPr>
          <w:rFonts w:hint="eastAsia" w:eastAsia="宋体"/>
          <w:sz w:val="22"/>
          <w:szCs w:val="32"/>
          <w:lang w:eastAsia="zh-CN"/>
        </w:rPr>
      </w:pPr>
      <w:r>
        <w:rPr>
          <w:sz w:val="22"/>
          <w:szCs w:val="32"/>
        </w:rPr>
        <w:t xml:space="preserve">表 </w:t>
      </w:r>
      <w:r>
        <w:rPr>
          <w:sz w:val="22"/>
          <w:szCs w:val="32"/>
        </w:rPr>
        <w:fldChar w:fldCharType="begin"/>
      </w:r>
      <w:r>
        <w:rPr>
          <w:sz w:val="22"/>
          <w:szCs w:val="32"/>
        </w:rPr>
        <w:instrText xml:space="preserve"> SEQ 表 \* ARABIC </w:instrText>
      </w:r>
      <w:r>
        <w:rPr>
          <w:sz w:val="22"/>
          <w:szCs w:val="32"/>
        </w:rPr>
        <w:fldChar w:fldCharType="separate"/>
      </w:r>
      <w:r>
        <w:rPr>
          <w:sz w:val="22"/>
          <w:szCs w:val="32"/>
        </w:rPr>
        <w:t>1</w:t>
      </w:r>
      <w:r>
        <w:rPr>
          <w:sz w:val="22"/>
          <w:szCs w:val="32"/>
        </w:rPr>
        <w:fldChar w:fldCharType="end"/>
      </w:r>
      <w:r>
        <w:rPr>
          <w:rFonts w:hint="eastAsia"/>
          <w:sz w:val="22"/>
          <w:szCs w:val="32"/>
          <w:lang w:eastAsia="zh-CN"/>
        </w:rPr>
        <w:t>：成本推动型的传导机制</w:t>
      </w:r>
    </w:p>
    <w:tbl>
      <w:tblPr>
        <w:tblStyle w:val="9"/>
        <w:tblW w:w="7860"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Layout w:type="autofit"/>
        <w:tblCellMar>
          <w:top w:w="0" w:type="dxa"/>
          <w:left w:w="108" w:type="dxa"/>
          <w:bottom w:w="0" w:type="dxa"/>
          <w:right w:w="108" w:type="dxa"/>
        </w:tblCellMar>
      </w:tblPr>
      <w:tblGrid>
        <w:gridCol w:w="1350"/>
        <w:gridCol w:w="1275"/>
        <w:gridCol w:w="5235"/>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8" w:type="dxa"/>
            <w:bottom w:w="0" w:type="dxa"/>
            <w:right w:w="108" w:type="dxa"/>
          </w:tblCellMar>
        </w:tblPrEx>
        <w:trPr>
          <w:trHeight w:val="270" w:hRule="atLeast"/>
          <w:jc w:val="center"/>
        </w:trPr>
        <w:tc>
          <w:tcPr>
            <w:tcW w:w="1350" w:type="dxa"/>
            <w:tcBorders>
              <w:tl2br w:val="nil"/>
              <w:tr2bl w:val="nil"/>
            </w:tcBorders>
            <w:shd w:val="clear" w:color="auto" w:fill="auto"/>
            <w:vAlign w:val="center"/>
          </w:tcPr>
          <w:p>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产业链</w:t>
            </w:r>
          </w:p>
        </w:tc>
        <w:tc>
          <w:tcPr>
            <w:tcW w:w="1275" w:type="dxa"/>
            <w:tcBorders>
              <w:tl2br w:val="nil"/>
              <w:tr2bl w:val="nil"/>
            </w:tcBorders>
            <w:shd w:val="clear" w:color="auto" w:fill="auto"/>
            <w:vAlign w:val="center"/>
          </w:tcPr>
          <w:p>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关键品种</w:t>
            </w:r>
          </w:p>
        </w:tc>
        <w:tc>
          <w:tcPr>
            <w:tcW w:w="5235" w:type="dxa"/>
            <w:tcBorders>
              <w:tl2br w:val="nil"/>
              <w:tr2bl w:val="nil"/>
            </w:tcBorders>
            <w:shd w:val="clear" w:color="auto" w:fill="auto"/>
            <w:vAlign w:val="center"/>
          </w:tcPr>
          <w:p>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传导逻辑</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8" w:type="dxa"/>
            <w:bottom w:w="0" w:type="dxa"/>
            <w:right w:w="108" w:type="dxa"/>
          </w:tblCellMar>
        </w:tblPrEx>
        <w:trPr>
          <w:trHeight w:val="540" w:hRule="atLeast"/>
          <w:jc w:val="center"/>
        </w:trPr>
        <w:tc>
          <w:tcPr>
            <w:tcW w:w="1350" w:type="dxa"/>
            <w:tcBorders>
              <w:tl2br w:val="nil"/>
              <w:tr2bl w:val="nil"/>
            </w:tcBorders>
            <w:shd w:val="clear" w:color="auto" w:fill="auto"/>
            <w:vAlign w:val="center"/>
          </w:tcPr>
          <w:p>
            <w:pPr>
              <w:keepNext w:val="0"/>
              <w:keepLines w:val="0"/>
              <w:widowControl/>
              <w:suppressLineNumbers w:val="0"/>
              <w:jc w:val="lef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烯烃链</w:t>
            </w:r>
          </w:p>
        </w:tc>
        <w:tc>
          <w:tcPr>
            <w:tcW w:w="1275" w:type="dxa"/>
            <w:tcBorders>
              <w:tl2br w:val="nil"/>
              <w:tr2bl w:val="nil"/>
            </w:tcBorders>
            <w:shd w:val="clear" w:color="auto" w:fill="auto"/>
            <w:vAlign w:val="center"/>
          </w:tcPr>
          <w:p>
            <w:pPr>
              <w:keepNext w:val="0"/>
              <w:keepLines w:val="0"/>
              <w:widowControl/>
              <w:suppressLineNumbers w:val="0"/>
              <w:jc w:val="lef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LLDPE、PP、PVC、EG</w:t>
            </w:r>
          </w:p>
        </w:tc>
        <w:tc>
          <w:tcPr>
            <w:tcW w:w="5235" w:type="dxa"/>
            <w:tcBorders>
              <w:tl2br w:val="nil"/>
              <w:tr2bl w:val="nil"/>
            </w:tcBorders>
            <w:shd w:val="clear" w:color="auto" w:fill="auto"/>
            <w:vAlign w:val="center"/>
          </w:tcPr>
          <w:p>
            <w:pPr>
              <w:keepNext w:val="0"/>
              <w:keepLines w:val="0"/>
              <w:widowControl/>
              <w:suppressLineNumbers w:val="0"/>
              <w:jc w:val="lef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石脑油→乙烯/丙烯→聚烯烃，原油每涨\$10/桶，乙烯成本约增加\$80-100/吨</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40" w:hRule="atLeast"/>
          <w:jc w:val="center"/>
        </w:trPr>
        <w:tc>
          <w:tcPr>
            <w:tcW w:w="1350" w:type="dxa"/>
            <w:tcBorders>
              <w:tl2br w:val="nil"/>
              <w:tr2bl w:val="nil"/>
            </w:tcBorders>
            <w:shd w:val="clear" w:color="auto" w:fill="auto"/>
            <w:vAlign w:val="center"/>
          </w:tcPr>
          <w:p>
            <w:pPr>
              <w:keepNext w:val="0"/>
              <w:keepLines w:val="0"/>
              <w:widowControl/>
              <w:suppressLineNumbers w:val="0"/>
              <w:jc w:val="lef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芳烃链</w:t>
            </w:r>
          </w:p>
        </w:tc>
        <w:tc>
          <w:tcPr>
            <w:tcW w:w="1275" w:type="dxa"/>
            <w:tcBorders>
              <w:tl2br w:val="nil"/>
              <w:tr2bl w:val="nil"/>
            </w:tcBorders>
            <w:shd w:val="clear" w:color="auto" w:fill="auto"/>
            <w:vAlign w:val="center"/>
          </w:tcPr>
          <w:p>
            <w:pPr>
              <w:keepNext w:val="0"/>
              <w:keepLines w:val="0"/>
              <w:widowControl/>
              <w:suppressLineNumbers w:val="0"/>
              <w:jc w:val="lef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PTA、苯乙烯、纯苯</w:t>
            </w:r>
          </w:p>
        </w:tc>
        <w:tc>
          <w:tcPr>
            <w:tcW w:w="5235" w:type="dxa"/>
            <w:tcBorders>
              <w:tl2br w:val="nil"/>
              <w:tr2bl w:val="nil"/>
            </w:tcBorders>
            <w:shd w:val="clear" w:color="auto" w:fill="auto"/>
            <w:vAlign w:val="center"/>
          </w:tcPr>
          <w:p>
            <w:pPr>
              <w:keepNext w:val="0"/>
              <w:keepLines w:val="0"/>
              <w:widowControl/>
              <w:suppressLineNumbers w:val="0"/>
              <w:jc w:val="lef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石脑油→混芳→PX→PTA，PX与原油相关性高达0.85+</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40" w:hRule="atLeast"/>
          <w:jc w:val="center"/>
        </w:trPr>
        <w:tc>
          <w:tcPr>
            <w:tcW w:w="1350" w:type="dxa"/>
            <w:tcBorders>
              <w:tl2br w:val="nil"/>
              <w:tr2bl w:val="nil"/>
            </w:tcBorders>
            <w:shd w:val="clear" w:color="auto" w:fill="auto"/>
            <w:vAlign w:val="center"/>
          </w:tcPr>
          <w:p>
            <w:pPr>
              <w:keepNext w:val="0"/>
              <w:keepLines w:val="0"/>
              <w:widowControl/>
              <w:suppressLineNumbers w:val="0"/>
              <w:jc w:val="lef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合成橡胶</w:t>
            </w:r>
          </w:p>
        </w:tc>
        <w:tc>
          <w:tcPr>
            <w:tcW w:w="1275" w:type="dxa"/>
            <w:tcBorders>
              <w:tl2br w:val="nil"/>
              <w:tr2bl w:val="nil"/>
            </w:tcBorders>
            <w:shd w:val="clear" w:color="auto" w:fill="auto"/>
            <w:vAlign w:val="center"/>
          </w:tcPr>
          <w:p>
            <w:pPr>
              <w:keepNext w:val="0"/>
              <w:keepLines w:val="0"/>
              <w:widowControl/>
              <w:suppressLineNumbers w:val="0"/>
              <w:jc w:val="lef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丁二烯橡胶、SBR</w:t>
            </w:r>
          </w:p>
        </w:tc>
        <w:tc>
          <w:tcPr>
            <w:tcW w:w="5235" w:type="dxa"/>
            <w:tcBorders>
              <w:tl2br w:val="nil"/>
              <w:tr2bl w:val="nil"/>
            </w:tcBorders>
            <w:shd w:val="clear" w:color="auto" w:fill="auto"/>
            <w:vAlign w:val="center"/>
          </w:tcPr>
          <w:p>
            <w:pPr>
              <w:keepNext w:val="0"/>
              <w:keepLines w:val="0"/>
              <w:widowControl/>
              <w:suppressLineNumbers w:val="0"/>
              <w:jc w:val="lef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石脑油→丁二烯，成本占比超60%</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8" w:type="dxa"/>
            <w:bottom w:w="0" w:type="dxa"/>
            <w:right w:w="108" w:type="dxa"/>
          </w:tblCellMar>
        </w:tblPrEx>
        <w:trPr>
          <w:trHeight w:val="270" w:hRule="atLeast"/>
          <w:jc w:val="center"/>
        </w:trPr>
        <w:tc>
          <w:tcPr>
            <w:tcW w:w="1350" w:type="dxa"/>
            <w:tcBorders>
              <w:tl2br w:val="nil"/>
              <w:tr2bl w:val="nil"/>
            </w:tcBorders>
            <w:shd w:val="clear" w:color="auto" w:fill="auto"/>
            <w:vAlign w:val="center"/>
          </w:tcPr>
          <w:p>
            <w:pPr>
              <w:keepNext w:val="0"/>
              <w:keepLines w:val="0"/>
              <w:widowControl/>
              <w:suppressLineNumbers w:val="0"/>
              <w:jc w:val="lef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甲醇下游</w:t>
            </w:r>
          </w:p>
        </w:tc>
        <w:tc>
          <w:tcPr>
            <w:tcW w:w="1275" w:type="dxa"/>
            <w:tcBorders>
              <w:tl2br w:val="nil"/>
              <w:tr2bl w:val="nil"/>
            </w:tcBorders>
            <w:shd w:val="clear" w:color="auto" w:fill="auto"/>
            <w:vAlign w:val="center"/>
          </w:tcPr>
          <w:p>
            <w:pPr>
              <w:keepNext w:val="0"/>
              <w:keepLines w:val="0"/>
              <w:widowControl/>
              <w:suppressLineNumbers w:val="0"/>
              <w:jc w:val="lef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MTO制烯烃</w:t>
            </w:r>
          </w:p>
        </w:tc>
        <w:tc>
          <w:tcPr>
            <w:tcW w:w="5235" w:type="dxa"/>
            <w:tcBorders>
              <w:tl2br w:val="nil"/>
              <w:tr2bl w:val="nil"/>
            </w:tcBorders>
            <w:shd w:val="clear" w:color="auto" w:fill="auto"/>
            <w:vAlign w:val="center"/>
          </w:tcPr>
          <w:p>
            <w:pPr>
              <w:keepNext w:val="0"/>
              <w:keepLines w:val="0"/>
              <w:widowControl/>
              <w:suppressLineNumbers w:val="0"/>
              <w:jc w:val="lef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外采甲醇MTO装置成本敏感性极高</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8" w:type="dxa"/>
            <w:bottom w:w="0" w:type="dxa"/>
            <w:right w:w="108" w:type="dxa"/>
          </w:tblCellMar>
        </w:tblPrEx>
        <w:trPr>
          <w:trHeight w:val="687" w:hRule="atLeast"/>
          <w:jc w:val="center"/>
        </w:trPr>
        <w:tc>
          <w:tcPr>
            <w:tcW w:w="1350" w:type="dxa"/>
            <w:tcBorders>
              <w:left w:val="nil"/>
              <w:bottom w:val="nil"/>
              <w:right w:val="nil"/>
            </w:tcBorders>
            <w:shd w:val="clear" w:color="auto" w:fill="auto"/>
            <w:vAlign w:val="center"/>
          </w:tcPr>
          <w:p>
            <w:pPr>
              <w:keepNext w:val="0"/>
              <w:keepLines w:val="0"/>
              <w:widowControl/>
              <w:suppressLineNumbers w:val="0"/>
              <w:jc w:val="left"/>
              <w:textAlignment w:val="center"/>
              <w:rPr>
                <w:rFonts w:hint="eastAsia" w:ascii="宋体" w:hAnsi="宋体" w:eastAsia="宋体" w:cs="宋体"/>
                <w:i w:val="0"/>
                <w:iCs w:val="0"/>
                <w:color w:val="000000"/>
                <w:kern w:val="0"/>
                <w:sz w:val="22"/>
                <w:szCs w:val="22"/>
                <w:u w:val="none"/>
                <w:lang w:val="en-US" w:eastAsia="zh-CN" w:bidi="ar"/>
              </w:rPr>
            </w:pPr>
          </w:p>
        </w:tc>
        <w:tc>
          <w:tcPr>
            <w:tcW w:w="1275" w:type="dxa"/>
            <w:tcBorders>
              <w:left w:val="nil"/>
              <w:bottom w:val="nil"/>
              <w:right w:val="nil"/>
            </w:tcBorders>
            <w:shd w:val="clear" w:color="auto" w:fill="auto"/>
            <w:vAlign w:val="center"/>
          </w:tcPr>
          <w:p>
            <w:pPr>
              <w:keepNext w:val="0"/>
              <w:keepLines w:val="0"/>
              <w:widowControl/>
              <w:suppressLineNumbers w:val="0"/>
              <w:jc w:val="left"/>
              <w:textAlignment w:val="center"/>
              <w:rPr>
                <w:rFonts w:hint="eastAsia" w:ascii="宋体" w:hAnsi="宋体" w:eastAsia="宋体" w:cs="宋体"/>
                <w:i w:val="0"/>
                <w:iCs w:val="0"/>
                <w:color w:val="000000"/>
                <w:kern w:val="0"/>
                <w:sz w:val="22"/>
                <w:szCs w:val="22"/>
                <w:u w:val="none"/>
                <w:lang w:val="en-US" w:eastAsia="zh-CN" w:bidi="ar"/>
              </w:rPr>
            </w:pPr>
          </w:p>
        </w:tc>
        <w:tc>
          <w:tcPr>
            <w:tcW w:w="5235" w:type="dxa"/>
            <w:tcBorders>
              <w:left w:val="nil"/>
              <w:bottom w:val="nil"/>
              <w:right w:val="nil"/>
            </w:tcBorders>
            <w:shd w:val="clear" w:color="auto" w:fill="auto"/>
            <w:vAlign w:val="top"/>
          </w:tcPr>
          <w:p>
            <w:pPr>
              <w:keepNext w:val="0"/>
              <w:keepLines w:val="0"/>
              <w:widowControl/>
              <w:suppressLineNumbers w:val="0"/>
              <w:jc w:val="right"/>
              <w:textAlignment w:val="center"/>
              <w:rPr>
                <w:rFonts w:hint="default" w:ascii="宋体" w:hAnsi="宋体" w:eastAsia="宋体" w:cs="宋体"/>
                <w:i w:val="0"/>
                <w:iCs w:val="0"/>
                <w:color w:val="000000"/>
                <w:kern w:val="0"/>
                <w:sz w:val="22"/>
                <w:szCs w:val="22"/>
                <w:u w:val="none"/>
                <w:lang w:val="en-US" w:eastAsia="zh-CN" w:bidi="ar"/>
              </w:rPr>
            </w:pPr>
            <w:r>
              <w:rPr>
                <w:rFonts w:hint="eastAsia" w:ascii="仿宋" w:hAnsi="仿宋" w:eastAsia="仿宋" w:cs="仿宋"/>
                <w:i w:val="0"/>
                <w:iCs w:val="0"/>
                <w:color w:val="000000"/>
                <w:kern w:val="0"/>
                <w:sz w:val="22"/>
                <w:szCs w:val="22"/>
                <w:u w:val="none"/>
                <w:lang w:val="en-US" w:eastAsia="zh-CN" w:bidi="ar"/>
              </w:rPr>
              <w:t>来源：山金期货</w:t>
            </w:r>
          </w:p>
        </w:tc>
      </w:tr>
    </w:tbl>
    <w:p>
      <w:pPr>
        <w:keepNext w:val="0"/>
        <w:keepLines w:val="0"/>
        <w:pageBreakBefore w:val="0"/>
        <w:widowControl w:val="0"/>
        <w:kinsoku/>
        <w:wordWrap/>
        <w:overflowPunct/>
        <w:topLinePunct w:val="0"/>
        <w:autoSpaceDE/>
        <w:autoSpaceDN/>
        <w:bidi w:val="0"/>
        <w:adjustRightInd/>
        <w:snapToGrid/>
        <w:spacing w:after="313" w:afterLines="100" w:line="360" w:lineRule="auto"/>
        <w:ind w:left="-840" w:leftChars="-400" w:right="-840" w:rightChars="-400" w:firstLine="480" w:firstLineChars="200"/>
        <w:textAlignment w:val="auto"/>
        <w:rPr>
          <w:rFonts w:hint="default" w:ascii="仿宋" w:hAnsi="仿宋" w:eastAsia="仿宋" w:cs="仿宋"/>
          <w:b w:val="0"/>
          <w:bCs w:val="0"/>
          <w:color w:val="auto"/>
          <w:sz w:val="24"/>
          <w:szCs w:val="24"/>
          <w:lang w:val="en-US" w:eastAsia="zh-CN" w:bidi="en-US"/>
        </w:rPr>
      </w:pPr>
      <w:r>
        <w:rPr>
          <w:rFonts w:hint="default" w:ascii="仿宋" w:hAnsi="仿宋" w:eastAsia="仿宋" w:cs="仿宋"/>
          <w:b w:val="0"/>
          <w:bCs w:val="0"/>
          <w:color w:val="auto"/>
          <w:sz w:val="24"/>
          <w:szCs w:val="24"/>
          <w:lang w:val="en-US" w:eastAsia="zh-CN" w:bidi="en-US"/>
        </w:rPr>
        <w:t>关键公式：石脑油价格 ≈ 原油价格 × 换算系数（约7.5-8.5）+ 加工费</w:t>
      </w:r>
    </w:p>
    <w:p>
      <w:pPr>
        <w:keepNext w:val="0"/>
        <w:keepLines w:val="0"/>
        <w:pageBreakBefore w:val="0"/>
        <w:widowControl w:val="0"/>
        <w:kinsoku/>
        <w:wordWrap/>
        <w:overflowPunct/>
        <w:topLinePunct w:val="0"/>
        <w:autoSpaceDE/>
        <w:autoSpaceDN/>
        <w:bidi w:val="0"/>
        <w:adjustRightInd/>
        <w:snapToGrid/>
        <w:spacing w:after="313" w:afterLines="100" w:line="360" w:lineRule="auto"/>
        <w:ind w:left="-840" w:leftChars="-400" w:right="-840" w:rightChars="-400" w:firstLine="480" w:firstLineChars="200"/>
        <w:textAlignment w:val="auto"/>
        <w:rPr>
          <w:rFonts w:hint="default" w:ascii="仿宋" w:hAnsi="仿宋" w:eastAsia="仿宋" w:cs="仿宋"/>
          <w:b w:val="0"/>
          <w:bCs w:val="0"/>
          <w:color w:val="auto"/>
          <w:sz w:val="24"/>
          <w:szCs w:val="24"/>
          <w:lang w:val="en-US" w:eastAsia="zh-CN" w:bidi="en-US"/>
        </w:rPr>
      </w:pPr>
      <w:r>
        <w:rPr>
          <w:rFonts w:hint="default" w:ascii="仿宋" w:hAnsi="仿宋" w:eastAsia="仿宋" w:cs="仿宋"/>
          <w:b w:val="0"/>
          <w:bCs w:val="0"/>
          <w:color w:val="auto"/>
          <w:sz w:val="24"/>
          <w:szCs w:val="24"/>
          <w:lang w:val="en-US" w:eastAsia="zh-CN" w:bidi="en-US"/>
        </w:rPr>
        <w:t>（2）裂解价差的调节作用</w:t>
      </w:r>
    </w:p>
    <w:p>
      <w:pPr>
        <w:keepNext w:val="0"/>
        <w:keepLines w:val="0"/>
        <w:pageBreakBefore w:val="0"/>
        <w:widowControl w:val="0"/>
        <w:kinsoku/>
        <w:wordWrap/>
        <w:overflowPunct/>
        <w:topLinePunct w:val="0"/>
        <w:autoSpaceDE/>
        <w:autoSpaceDN/>
        <w:bidi w:val="0"/>
        <w:adjustRightInd/>
        <w:snapToGrid/>
        <w:spacing w:after="313" w:afterLines="100" w:line="360" w:lineRule="auto"/>
        <w:ind w:left="-840" w:leftChars="-400" w:right="-840" w:rightChars="-400" w:firstLine="480" w:firstLineChars="200"/>
        <w:textAlignment w:val="auto"/>
        <w:rPr>
          <w:rFonts w:hint="default" w:ascii="仿宋" w:hAnsi="仿宋" w:eastAsia="仿宋" w:cs="仿宋"/>
          <w:b w:val="0"/>
          <w:bCs w:val="0"/>
          <w:color w:val="auto"/>
          <w:sz w:val="24"/>
          <w:szCs w:val="24"/>
          <w:lang w:val="en-US" w:eastAsia="zh-CN" w:bidi="en-US"/>
        </w:rPr>
      </w:pPr>
      <w:r>
        <w:rPr>
          <w:rFonts w:hint="default" w:ascii="仿宋" w:hAnsi="仿宋" w:eastAsia="仿宋" w:cs="仿宋"/>
          <w:b w:val="0"/>
          <w:bCs w:val="0"/>
          <w:color w:val="auto"/>
          <w:sz w:val="24"/>
          <w:szCs w:val="24"/>
          <w:lang w:val="en-US" w:eastAsia="zh-CN" w:bidi="en-US"/>
        </w:rPr>
        <w:t>原油上涨并不必然导致化工品同比例上涨，核心看裂解价差：</w:t>
      </w:r>
    </w:p>
    <w:p>
      <w:pPr>
        <w:keepNext w:val="0"/>
        <w:keepLines w:val="0"/>
        <w:pageBreakBefore w:val="0"/>
        <w:widowControl w:val="0"/>
        <w:kinsoku/>
        <w:wordWrap/>
        <w:overflowPunct/>
        <w:topLinePunct w:val="0"/>
        <w:autoSpaceDE/>
        <w:autoSpaceDN/>
        <w:bidi w:val="0"/>
        <w:adjustRightInd/>
        <w:snapToGrid/>
        <w:spacing w:after="313" w:afterLines="100" w:line="360" w:lineRule="auto"/>
        <w:ind w:left="-840" w:leftChars="-400" w:right="-840" w:rightChars="-400" w:firstLine="480" w:firstLineChars="200"/>
        <w:textAlignment w:val="auto"/>
        <w:rPr>
          <w:rFonts w:hint="default" w:ascii="仿宋" w:hAnsi="仿宋" w:eastAsia="仿宋" w:cs="仿宋"/>
          <w:b w:val="0"/>
          <w:bCs w:val="0"/>
          <w:color w:val="auto"/>
          <w:sz w:val="24"/>
          <w:szCs w:val="24"/>
          <w:lang w:val="en-US" w:eastAsia="zh-CN" w:bidi="en-US"/>
        </w:rPr>
      </w:pPr>
      <w:r>
        <w:rPr>
          <w:rFonts w:hint="default" w:ascii="仿宋" w:hAnsi="仿宋" w:eastAsia="仿宋" w:cs="仿宋"/>
          <w:b w:val="0"/>
          <w:bCs w:val="0"/>
          <w:color w:val="auto"/>
          <w:sz w:val="24"/>
          <w:szCs w:val="24"/>
          <w:lang w:val="en-US" w:eastAsia="zh-CN" w:bidi="en-US"/>
        </w:rPr>
        <w:t>价差扩大：炼厂利润好，开工率高，化工原料供应充足→化工品涨幅受限</w:t>
      </w:r>
    </w:p>
    <w:p>
      <w:pPr>
        <w:keepNext w:val="0"/>
        <w:keepLines w:val="0"/>
        <w:pageBreakBefore w:val="0"/>
        <w:widowControl w:val="0"/>
        <w:kinsoku/>
        <w:wordWrap/>
        <w:overflowPunct/>
        <w:topLinePunct w:val="0"/>
        <w:autoSpaceDE/>
        <w:autoSpaceDN/>
        <w:bidi w:val="0"/>
        <w:adjustRightInd/>
        <w:snapToGrid/>
        <w:spacing w:after="313" w:afterLines="100" w:line="360" w:lineRule="auto"/>
        <w:ind w:left="-840" w:leftChars="-400" w:right="-840" w:rightChars="-400" w:firstLine="480" w:firstLineChars="200"/>
        <w:textAlignment w:val="auto"/>
        <w:rPr>
          <w:rFonts w:hint="default" w:ascii="仿宋" w:hAnsi="仿宋" w:eastAsia="仿宋" w:cs="仿宋"/>
          <w:b w:val="0"/>
          <w:bCs w:val="0"/>
          <w:color w:val="auto"/>
          <w:sz w:val="24"/>
          <w:szCs w:val="24"/>
          <w:lang w:val="en-US" w:eastAsia="zh-CN" w:bidi="en-US"/>
        </w:rPr>
      </w:pPr>
      <w:r>
        <w:rPr>
          <w:rFonts w:hint="default" w:ascii="仿宋" w:hAnsi="仿宋" w:eastAsia="仿宋" w:cs="仿宋"/>
          <w:b w:val="0"/>
          <w:bCs w:val="0"/>
          <w:color w:val="auto"/>
          <w:sz w:val="24"/>
          <w:szCs w:val="24"/>
          <w:lang w:val="en-US" w:eastAsia="zh-CN" w:bidi="en-US"/>
        </w:rPr>
        <w:t>价差收窄：炼厂利润压缩，可能降负荷或转向燃料生产→化工原料供应收紧→化工品涨幅扩大</w:t>
      </w:r>
    </w:p>
    <w:p>
      <w:pPr>
        <w:keepNext w:val="0"/>
        <w:keepLines w:val="0"/>
        <w:pageBreakBefore w:val="0"/>
        <w:widowControl w:val="0"/>
        <w:kinsoku/>
        <w:wordWrap/>
        <w:overflowPunct/>
        <w:topLinePunct w:val="0"/>
        <w:autoSpaceDE/>
        <w:autoSpaceDN/>
        <w:bidi w:val="0"/>
        <w:adjustRightInd/>
        <w:snapToGrid/>
        <w:spacing w:after="313" w:afterLines="100" w:line="360" w:lineRule="auto"/>
        <w:ind w:left="-840" w:leftChars="-400" w:right="-840" w:rightChars="-400" w:firstLine="480" w:firstLineChars="200"/>
        <w:textAlignment w:val="auto"/>
        <w:rPr>
          <w:rFonts w:hint="default" w:ascii="仿宋" w:hAnsi="仿宋" w:eastAsia="仿宋" w:cs="仿宋"/>
          <w:b w:val="0"/>
          <w:bCs w:val="0"/>
          <w:color w:val="auto"/>
          <w:sz w:val="24"/>
          <w:szCs w:val="24"/>
          <w:lang w:val="en-US" w:eastAsia="zh-CN" w:bidi="en-US"/>
        </w:rPr>
      </w:pPr>
      <w:r>
        <w:rPr>
          <w:rFonts w:hint="default" w:ascii="仿宋" w:hAnsi="仿宋" w:eastAsia="仿宋" w:cs="仿宋"/>
          <w:b w:val="0"/>
          <w:bCs w:val="0"/>
          <w:color w:val="auto"/>
          <w:sz w:val="24"/>
          <w:szCs w:val="24"/>
          <w:lang w:val="en-US" w:eastAsia="zh-CN" w:bidi="en-US"/>
        </w:rPr>
        <w:t>（3）替代效应与边际定价</w:t>
      </w:r>
    </w:p>
    <w:p>
      <w:pPr>
        <w:pStyle w:val="3"/>
        <w:ind w:firstLine="1100" w:firstLineChars="500"/>
        <w:rPr>
          <w:rFonts w:hint="eastAsia" w:eastAsia="宋体"/>
          <w:sz w:val="22"/>
          <w:szCs w:val="32"/>
          <w:lang w:eastAsia="zh-CN"/>
        </w:rPr>
      </w:pPr>
      <w:r>
        <w:rPr>
          <w:sz w:val="22"/>
          <w:szCs w:val="32"/>
        </w:rPr>
        <w:t xml:space="preserve">表 </w:t>
      </w:r>
      <w:r>
        <w:rPr>
          <w:sz w:val="22"/>
          <w:szCs w:val="32"/>
        </w:rPr>
        <w:fldChar w:fldCharType="begin"/>
      </w:r>
      <w:r>
        <w:rPr>
          <w:sz w:val="22"/>
          <w:szCs w:val="32"/>
        </w:rPr>
        <w:instrText xml:space="preserve"> SEQ 表 \* ARABIC </w:instrText>
      </w:r>
      <w:r>
        <w:rPr>
          <w:sz w:val="22"/>
          <w:szCs w:val="32"/>
        </w:rPr>
        <w:fldChar w:fldCharType="separate"/>
      </w:r>
      <w:r>
        <w:rPr>
          <w:sz w:val="22"/>
          <w:szCs w:val="32"/>
        </w:rPr>
        <w:t>2</w:t>
      </w:r>
      <w:r>
        <w:rPr>
          <w:sz w:val="22"/>
          <w:szCs w:val="32"/>
        </w:rPr>
        <w:fldChar w:fldCharType="end"/>
      </w:r>
      <w:r>
        <w:rPr>
          <w:rFonts w:hint="eastAsia"/>
          <w:sz w:val="22"/>
          <w:szCs w:val="32"/>
          <w:lang w:eastAsia="zh-CN"/>
        </w:rPr>
        <w:t>：原油价格上涨的替代效应与边际定价</w:t>
      </w:r>
    </w:p>
    <w:tbl>
      <w:tblPr>
        <w:tblStyle w:val="9"/>
        <w:tblW w:w="6240"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Layout w:type="autofit"/>
        <w:tblCellMar>
          <w:top w:w="0" w:type="dxa"/>
          <w:left w:w="108" w:type="dxa"/>
          <w:bottom w:w="0" w:type="dxa"/>
          <w:right w:w="108" w:type="dxa"/>
        </w:tblCellMar>
      </w:tblPr>
      <w:tblGrid>
        <w:gridCol w:w="2160"/>
        <w:gridCol w:w="1251"/>
        <w:gridCol w:w="2829"/>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8" w:type="dxa"/>
            <w:bottom w:w="0" w:type="dxa"/>
            <w:right w:w="108" w:type="dxa"/>
          </w:tblCellMar>
        </w:tblPrEx>
        <w:trPr>
          <w:trHeight w:val="270" w:hRule="atLeast"/>
          <w:jc w:val="center"/>
        </w:trPr>
        <w:tc>
          <w:tcPr>
            <w:tcW w:w="2160" w:type="dxa"/>
            <w:tcBorders>
              <w:tl2br w:val="nil"/>
              <w:tr2bl w:val="nil"/>
            </w:tcBorders>
            <w:shd w:val="clear" w:color="auto" w:fill="auto"/>
            <w:vAlign w:val="center"/>
          </w:tcPr>
          <w:p>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情景</w:t>
            </w:r>
          </w:p>
        </w:tc>
        <w:tc>
          <w:tcPr>
            <w:tcW w:w="1251" w:type="dxa"/>
            <w:tcBorders>
              <w:tl2br w:val="nil"/>
              <w:tr2bl w:val="nil"/>
            </w:tcBorders>
            <w:shd w:val="clear" w:color="auto" w:fill="auto"/>
            <w:vAlign w:val="center"/>
          </w:tcPr>
          <w:p>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影响方向</w:t>
            </w:r>
          </w:p>
        </w:tc>
        <w:tc>
          <w:tcPr>
            <w:tcW w:w="2829" w:type="dxa"/>
            <w:tcBorders>
              <w:tl2br w:val="nil"/>
              <w:tr2bl w:val="nil"/>
            </w:tcBorders>
            <w:shd w:val="clear" w:color="auto" w:fill="auto"/>
            <w:vAlign w:val="center"/>
          </w:tcPr>
          <w:p>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典型品种</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810" w:hRule="atLeast"/>
          <w:jc w:val="center"/>
        </w:trPr>
        <w:tc>
          <w:tcPr>
            <w:tcW w:w="2160" w:type="dxa"/>
            <w:tcBorders>
              <w:tl2br w:val="nil"/>
              <w:tr2bl w:val="nil"/>
            </w:tcBorders>
            <w:shd w:val="clear" w:color="auto" w:fill="auto"/>
            <w:vAlign w:val="center"/>
          </w:tcPr>
          <w:p>
            <w:pPr>
              <w:keepNext w:val="0"/>
              <w:keepLines w:val="0"/>
              <w:widowControl/>
              <w:suppressLineNumbers w:val="0"/>
              <w:jc w:val="lef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原油涨→煤制产品经济性凸显</w:t>
            </w:r>
          </w:p>
        </w:tc>
        <w:tc>
          <w:tcPr>
            <w:tcW w:w="1251" w:type="dxa"/>
            <w:tcBorders>
              <w:tl2br w:val="nil"/>
              <w:tr2bl w:val="nil"/>
            </w:tcBorders>
            <w:shd w:val="clear" w:color="auto" w:fill="auto"/>
            <w:vAlign w:val="center"/>
          </w:tcPr>
          <w:p>
            <w:pPr>
              <w:keepNext w:val="0"/>
              <w:keepLines w:val="0"/>
              <w:widowControl/>
              <w:suppressLineNumbers w:val="0"/>
              <w:jc w:val="lef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压制油头化工品涨幅</w:t>
            </w:r>
          </w:p>
        </w:tc>
        <w:tc>
          <w:tcPr>
            <w:tcW w:w="2829" w:type="dxa"/>
            <w:tcBorders>
              <w:tl2br w:val="nil"/>
              <w:tr2bl w:val="nil"/>
            </w:tcBorders>
            <w:shd w:val="clear" w:color="auto" w:fill="auto"/>
            <w:vAlign w:val="center"/>
          </w:tcPr>
          <w:p>
            <w:pPr>
              <w:keepNext w:val="0"/>
              <w:keepLines w:val="0"/>
              <w:widowControl/>
              <w:suppressLineNumbers w:val="0"/>
              <w:jc w:val="lef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煤制甲醇vs天然气制甲醇、煤制烯烃vs石脑油裂解</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810" w:hRule="atLeast"/>
          <w:jc w:val="center"/>
        </w:trPr>
        <w:tc>
          <w:tcPr>
            <w:tcW w:w="2160" w:type="dxa"/>
            <w:tcBorders>
              <w:tl2br w:val="nil"/>
              <w:tr2bl w:val="nil"/>
            </w:tcBorders>
            <w:shd w:val="clear" w:color="auto" w:fill="auto"/>
            <w:vAlign w:val="center"/>
          </w:tcPr>
          <w:p>
            <w:pPr>
              <w:keepNext w:val="0"/>
              <w:keepLines w:val="0"/>
              <w:widowControl/>
              <w:suppressLineNumbers w:val="0"/>
              <w:jc w:val="lef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原油涨→生物乙醇/生物柴油替代</w:t>
            </w:r>
          </w:p>
        </w:tc>
        <w:tc>
          <w:tcPr>
            <w:tcW w:w="1251" w:type="dxa"/>
            <w:tcBorders>
              <w:tl2br w:val="nil"/>
              <w:tr2bl w:val="nil"/>
            </w:tcBorders>
            <w:shd w:val="clear" w:color="auto" w:fill="auto"/>
            <w:vAlign w:val="center"/>
          </w:tcPr>
          <w:p>
            <w:pPr>
              <w:keepNext w:val="0"/>
              <w:keepLines w:val="0"/>
              <w:widowControl/>
              <w:suppressLineNumbers w:val="0"/>
              <w:jc w:val="lef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影响农产品期货联动</w:t>
            </w:r>
          </w:p>
        </w:tc>
        <w:tc>
          <w:tcPr>
            <w:tcW w:w="2829" w:type="dxa"/>
            <w:tcBorders>
              <w:tl2br w:val="nil"/>
              <w:tr2bl w:val="nil"/>
            </w:tcBorders>
            <w:shd w:val="clear" w:color="auto" w:fill="auto"/>
            <w:vAlign w:val="center"/>
          </w:tcPr>
          <w:p>
            <w:pPr>
              <w:keepNext w:val="0"/>
              <w:keepLines w:val="0"/>
              <w:widowControl/>
              <w:suppressLineNumbers w:val="0"/>
              <w:jc w:val="lef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玉米、棕榈油与能源价格相关性上升</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8" w:type="dxa"/>
            <w:bottom w:w="0" w:type="dxa"/>
            <w:right w:w="108" w:type="dxa"/>
          </w:tblCellMar>
        </w:tblPrEx>
        <w:trPr>
          <w:trHeight w:val="810" w:hRule="atLeast"/>
          <w:jc w:val="center"/>
        </w:trPr>
        <w:tc>
          <w:tcPr>
            <w:tcW w:w="2160" w:type="dxa"/>
            <w:tcBorders>
              <w:left w:val="nil"/>
              <w:bottom w:val="nil"/>
              <w:right w:val="nil"/>
            </w:tcBorders>
            <w:shd w:val="clear" w:color="auto" w:fill="auto"/>
            <w:vAlign w:val="center"/>
          </w:tcPr>
          <w:p>
            <w:pPr>
              <w:keepNext w:val="0"/>
              <w:keepLines w:val="0"/>
              <w:widowControl/>
              <w:suppressLineNumbers w:val="0"/>
              <w:jc w:val="left"/>
              <w:textAlignment w:val="center"/>
              <w:rPr>
                <w:rFonts w:hint="eastAsia" w:ascii="宋体" w:hAnsi="宋体" w:eastAsia="宋体" w:cs="宋体"/>
                <w:i w:val="0"/>
                <w:iCs w:val="0"/>
                <w:color w:val="000000"/>
                <w:kern w:val="0"/>
                <w:sz w:val="22"/>
                <w:szCs w:val="22"/>
                <w:u w:val="none"/>
                <w:lang w:val="en-US" w:eastAsia="zh-CN" w:bidi="ar"/>
              </w:rPr>
            </w:pPr>
          </w:p>
        </w:tc>
        <w:tc>
          <w:tcPr>
            <w:tcW w:w="1251" w:type="dxa"/>
            <w:tcBorders>
              <w:left w:val="nil"/>
              <w:bottom w:val="nil"/>
              <w:right w:val="nil"/>
            </w:tcBorders>
            <w:shd w:val="clear" w:color="auto" w:fill="auto"/>
            <w:vAlign w:val="center"/>
          </w:tcPr>
          <w:p>
            <w:pPr>
              <w:keepNext w:val="0"/>
              <w:keepLines w:val="0"/>
              <w:widowControl/>
              <w:suppressLineNumbers w:val="0"/>
              <w:jc w:val="left"/>
              <w:textAlignment w:val="center"/>
              <w:rPr>
                <w:rFonts w:hint="eastAsia" w:ascii="宋体" w:hAnsi="宋体" w:eastAsia="宋体" w:cs="宋体"/>
                <w:i w:val="0"/>
                <w:iCs w:val="0"/>
                <w:color w:val="000000"/>
                <w:kern w:val="0"/>
                <w:sz w:val="22"/>
                <w:szCs w:val="22"/>
                <w:u w:val="none"/>
                <w:lang w:val="en-US" w:eastAsia="zh-CN" w:bidi="ar"/>
              </w:rPr>
            </w:pPr>
          </w:p>
        </w:tc>
        <w:tc>
          <w:tcPr>
            <w:tcW w:w="2829" w:type="dxa"/>
            <w:tcBorders>
              <w:left w:val="nil"/>
              <w:bottom w:val="nil"/>
              <w:right w:val="nil"/>
            </w:tcBorders>
            <w:shd w:val="clear" w:color="auto" w:fill="auto"/>
            <w:vAlign w:val="top"/>
          </w:tcPr>
          <w:p>
            <w:pPr>
              <w:keepNext w:val="0"/>
              <w:keepLines w:val="0"/>
              <w:widowControl/>
              <w:suppressLineNumbers w:val="0"/>
              <w:jc w:val="right"/>
              <w:textAlignment w:val="center"/>
              <w:rPr>
                <w:rFonts w:hint="default" w:ascii="宋体" w:hAnsi="宋体" w:eastAsia="宋体" w:cs="宋体"/>
                <w:i w:val="0"/>
                <w:iCs w:val="0"/>
                <w:color w:val="000000"/>
                <w:kern w:val="0"/>
                <w:sz w:val="22"/>
                <w:szCs w:val="22"/>
                <w:u w:val="none"/>
                <w:lang w:val="en-US" w:eastAsia="zh-CN" w:bidi="ar"/>
              </w:rPr>
            </w:pPr>
            <w:r>
              <w:rPr>
                <w:rFonts w:hint="eastAsia" w:ascii="仿宋" w:hAnsi="仿宋" w:eastAsia="仿宋" w:cs="仿宋"/>
                <w:i w:val="0"/>
                <w:iCs w:val="0"/>
                <w:color w:val="000000"/>
                <w:kern w:val="0"/>
                <w:sz w:val="22"/>
                <w:szCs w:val="22"/>
                <w:u w:val="none"/>
                <w:lang w:val="en-US" w:eastAsia="zh-CN" w:bidi="ar"/>
              </w:rPr>
              <w:t>来源：山金期货</w:t>
            </w:r>
          </w:p>
        </w:tc>
      </w:tr>
    </w:tbl>
    <w:p>
      <w:pPr>
        <w:keepNext w:val="0"/>
        <w:keepLines w:val="0"/>
        <w:pageBreakBefore w:val="0"/>
        <w:widowControl w:val="0"/>
        <w:kinsoku/>
        <w:wordWrap/>
        <w:overflowPunct/>
        <w:topLinePunct w:val="0"/>
        <w:autoSpaceDE/>
        <w:autoSpaceDN/>
        <w:bidi w:val="0"/>
        <w:adjustRightInd/>
        <w:snapToGrid/>
        <w:spacing w:after="313" w:afterLines="100" w:line="360" w:lineRule="auto"/>
        <w:ind w:left="-840" w:leftChars="-400" w:right="-840" w:rightChars="-400" w:firstLine="480" w:firstLineChars="200"/>
        <w:textAlignment w:val="auto"/>
        <w:rPr>
          <w:rFonts w:hint="default" w:ascii="仿宋" w:hAnsi="仿宋" w:eastAsia="仿宋" w:cs="仿宋"/>
          <w:b w:val="0"/>
          <w:bCs w:val="0"/>
          <w:color w:val="auto"/>
          <w:sz w:val="24"/>
          <w:szCs w:val="24"/>
          <w:lang w:val="en-US" w:eastAsia="zh-CN" w:bidi="en-US"/>
        </w:rPr>
      </w:pPr>
      <w:r>
        <w:rPr>
          <w:rFonts w:hint="default" w:ascii="仿宋" w:hAnsi="仿宋" w:eastAsia="仿宋" w:cs="仿宋"/>
          <w:b w:val="0"/>
          <w:bCs w:val="0"/>
          <w:color w:val="auto"/>
          <w:sz w:val="24"/>
          <w:szCs w:val="24"/>
          <w:lang w:val="en-US" w:eastAsia="zh-CN" w:bidi="en-US"/>
        </w:rPr>
        <w:t>3.不同化工品的敏感度分析</w:t>
      </w:r>
    </w:p>
    <w:p>
      <w:pPr>
        <w:keepNext w:val="0"/>
        <w:keepLines w:val="0"/>
        <w:pageBreakBefore w:val="0"/>
        <w:widowControl w:val="0"/>
        <w:kinsoku/>
        <w:wordWrap/>
        <w:overflowPunct/>
        <w:topLinePunct w:val="0"/>
        <w:autoSpaceDE/>
        <w:autoSpaceDN/>
        <w:bidi w:val="0"/>
        <w:adjustRightInd/>
        <w:snapToGrid/>
        <w:spacing w:after="313" w:afterLines="100" w:line="360" w:lineRule="auto"/>
        <w:ind w:left="-840" w:leftChars="-400" w:right="-840" w:rightChars="-400" w:firstLine="480" w:firstLineChars="200"/>
        <w:textAlignment w:val="auto"/>
        <w:rPr>
          <w:rFonts w:hint="default" w:ascii="仿宋" w:hAnsi="仿宋" w:eastAsia="仿宋" w:cs="仿宋"/>
          <w:b w:val="0"/>
          <w:bCs w:val="0"/>
          <w:color w:val="auto"/>
          <w:sz w:val="24"/>
          <w:szCs w:val="24"/>
          <w:lang w:val="en-US" w:eastAsia="zh-CN" w:bidi="en-US"/>
        </w:rPr>
      </w:pPr>
      <w:r>
        <w:rPr>
          <w:rFonts w:hint="default" w:ascii="仿宋" w:hAnsi="仿宋" w:eastAsia="仿宋" w:cs="仿宋"/>
          <w:b w:val="0"/>
          <w:bCs w:val="0"/>
          <w:color w:val="auto"/>
          <w:sz w:val="24"/>
          <w:szCs w:val="24"/>
          <w:lang w:val="en-US" w:eastAsia="zh-CN" w:bidi="en-US"/>
        </w:rPr>
        <w:t>（1）高敏感度（相关系数&gt;0.7）</w:t>
      </w:r>
    </w:p>
    <w:p>
      <w:pPr>
        <w:keepNext w:val="0"/>
        <w:keepLines w:val="0"/>
        <w:pageBreakBefore w:val="0"/>
        <w:widowControl w:val="0"/>
        <w:kinsoku/>
        <w:wordWrap/>
        <w:overflowPunct/>
        <w:topLinePunct w:val="0"/>
        <w:autoSpaceDE/>
        <w:autoSpaceDN/>
        <w:bidi w:val="0"/>
        <w:adjustRightInd/>
        <w:snapToGrid/>
        <w:spacing w:after="313" w:afterLines="100" w:line="360" w:lineRule="auto"/>
        <w:ind w:left="-840" w:leftChars="-400" w:right="-840" w:rightChars="-400" w:firstLine="480" w:firstLineChars="200"/>
        <w:textAlignment w:val="auto"/>
        <w:rPr>
          <w:rFonts w:hint="default" w:ascii="仿宋" w:hAnsi="仿宋" w:eastAsia="仿宋" w:cs="仿宋"/>
          <w:b w:val="0"/>
          <w:bCs w:val="0"/>
          <w:color w:val="auto"/>
          <w:sz w:val="24"/>
          <w:szCs w:val="24"/>
          <w:lang w:val="en-US" w:eastAsia="zh-CN" w:bidi="en-US"/>
        </w:rPr>
      </w:pPr>
      <w:r>
        <w:rPr>
          <w:rFonts w:hint="default" w:ascii="仿宋" w:hAnsi="仿宋" w:eastAsia="仿宋" w:cs="仿宋"/>
          <w:b w:val="0"/>
          <w:bCs w:val="0"/>
          <w:color w:val="auto"/>
          <w:sz w:val="24"/>
          <w:szCs w:val="24"/>
          <w:lang w:val="en-US" w:eastAsia="zh-CN" w:bidi="en-US"/>
        </w:rPr>
        <w:t>PTA/乙二醇：PX直接来自石脑油，成本传导最顺畅</w:t>
      </w:r>
    </w:p>
    <w:p>
      <w:pPr>
        <w:keepNext w:val="0"/>
        <w:keepLines w:val="0"/>
        <w:pageBreakBefore w:val="0"/>
        <w:widowControl w:val="0"/>
        <w:kinsoku/>
        <w:wordWrap/>
        <w:overflowPunct/>
        <w:topLinePunct w:val="0"/>
        <w:autoSpaceDE/>
        <w:autoSpaceDN/>
        <w:bidi w:val="0"/>
        <w:adjustRightInd/>
        <w:snapToGrid/>
        <w:spacing w:after="313" w:afterLines="100" w:line="360" w:lineRule="auto"/>
        <w:ind w:left="-840" w:leftChars="-400" w:right="-840" w:rightChars="-400" w:firstLine="480" w:firstLineChars="200"/>
        <w:textAlignment w:val="auto"/>
        <w:rPr>
          <w:rFonts w:hint="default" w:ascii="仿宋" w:hAnsi="仿宋" w:eastAsia="仿宋" w:cs="仿宋"/>
          <w:b w:val="0"/>
          <w:bCs w:val="0"/>
          <w:color w:val="auto"/>
          <w:sz w:val="24"/>
          <w:szCs w:val="24"/>
          <w:lang w:val="en-US" w:eastAsia="zh-CN" w:bidi="en-US"/>
        </w:rPr>
      </w:pPr>
      <w:r>
        <w:rPr>
          <w:rFonts w:hint="default" w:ascii="仿宋" w:hAnsi="仿宋" w:eastAsia="仿宋" w:cs="仿宋"/>
          <w:b w:val="0"/>
          <w:bCs w:val="0"/>
          <w:color w:val="auto"/>
          <w:sz w:val="24"/>
          <w:szCs w:val="24"/>
          <w:lang w:val="en-US" w:eastAsia="zh-CN" w:bidi="en-US"/>
        </w:rPr>
        <w:t>聚烯烃（LLDPE/PP）：乙烯/丙烯为原油直接下游</w:t>
      </w:r>
    </w:p>
    <w:p>
      <w:pPr>
        <w:keepNext w:val="0"/>
        <w:keepLines w:val="0"/>
        <w:pageBreakBefore w:val="0"/>
        <w:widowControl w:val="0"/>
        <w:kinsoku/>
        <w:wordWrap/>
        <w:overflowPunct/>
        <w:topLinePunct w:val="0"/>
        <w:autoSpaceDE/>
        <w:autoSpaceDN/>
        <w:bidi w:val="0"/>
        <w:adjustRightInd/>
        <w:snapToGrid/>
        <w:spacing w:after="313" w:afterLines="100" w:line="360" w:lineRule="auto"/>
        <w:ind w:left="-840" w:leftChars="-400" w:right="-840" w:rightChars="-400" w:firstLine="480" w:firstLineChars="200"/>
        <w:textAlignment w:val="auto"/>
        <w:rPr>
          <w:rFonts w:hint="default" w:ascii="仿宋" w:hAnsi="仿宋" w:eastAsia="仿宋" w:cs="仿宋"/>
          <w:b w:val="0"/>
          <w:bCs w:val="0"/>
          <w:color w:val="auto"/>
          <w:sz w:val="24"/>
          <w:szCs w:val="24"/>
          <w:lang w:val="en-US" w:eastAsia="zh-CN" w:bidi="en-US"/>
        </w:rPr>
      </w:pPr>
      <w:r>
        <w:rPr>
          <w:rFonts w:hint="default" w:ascii="仿宋" w:hAnsi="仿宋" w:eastAsia="仿宋" w:cs="仿宋"/>
          <w:b w:val="0"/>
          <w:bCs w:val="0"/>
          <w:color w:val="auto"/>
          <w:sz w:val="24"/>
          <w:szCs w:val="24"/>
          <w:lang w:val="en-US" w:eastAsia="zh-CN" w:bidi="en-US"/>
        </w:rPr>
        <w:t>苯乙烯：纯苯成本占比超70%</w:t>
      </w:r>
    </w:p>
    <w:p>
      <w:pPr>
        <w:keepNext w:val="0"/>
        <w:keepLines w:val="0"/>
        <w:pageBreakBefore w:val="0"/>
        <w:widowControl w:val="0"/>
        <w:kinsoku/>
        <w:wordWrap/>
        <w:overflowPunct/>
        <w:topLinePunct w:val="0"/>
        <w:autoSpaceDE/>
        <w:autoSpaceDN/>
        <w:bidi w:val="0"/>
        <w:adjustRightInd/>
        <w:snapToGrid/>
        <w:spacing w:after="313" w:afterLines="100" w:line="360" w:lineRule="auto"/>
        <w:ind w:left="-840" w:leftChars="-400" w:right="-840" w:rightChars="-400" w:firstLine="480" w:firstLineChars="200"/>
        <w:textAlignment w:val="auto"/>
        <w:rPr>
          <w:rFonts w:hint="default" w:ascii="仿宋" w:hAnsi="仿宋" w:eastAsia="仿宋" w:cs="仿宋"/>
          <w:b w:val="0"/>
          <w:bCs w:val="0"/>
          <w:color w:val="auto"/>
          <w:sz w:val="24"/>
          <w:szCs w:val="24"/>
          <w:lang w:val="en-US" w:eastAsia="zh-CN" w:bidi="en-US"/>
        </w:rPr>
      </w:pPr>
      <w:r>
        <w:rPr>
          <w:rFonts w:hint="default" w:ascii="仿宋" w:hAnsi="仿宋" w:eastAsia="仿宋" w:cs="仿宋"/>
          <w:b w:val="0"/>
          <w:bCs w:val="0"/>
          <w:color w:val="auto"/>
          <w:sz w:val="24"/>
          <w:szCs w:val="24"/>
          <w:lang w:val="en-US" w:eastAsia="zh-CN" w:bidi="en-US"/>
        </w:rPr>
        <w:t>（2）中敏感度（相关系数0.4-0.7）</w:t>
      </w:r>
    </w:p>
    <w:p>
      <w:pPr>
        <w:keepNext w:val="0"/>
        <w:keepLines w:val="0"/>
        <w:pageBreakBefore w:val="0"/>
        <w:widowControl w:val="0"/>
        <w:kinsoku/>
        <w:wordWrap/>
        <w:overflowPunct/>
        <w:topLinePunct w:val="0"/>
        <w:autoSpaceDE/>
        <w:autoSpaceDN/>
        <w:bidi w:val="0"/>
        <w:adjustRightInd/>
        <w:snapToGrid/>
        <w:spacing w:after="313" w:afterLines="100" w:line="360" w:lineRule="auto"/>
        <w:ind w:left="-840" w:leftChars="-400" w:right="-840" w:rightChars="-400" w:firstLine="480" w:firstLineChars="200"/>
        <w:textAlignment w:val="auto"/>
        <w:rPr>
          <w:rFonts w:hint="default" w:ascii="仿宋" w:hAnsi="仿宋" w:eastAsia="仿宋" w:cs="仿宋"/>
          <w:b w:val="0"/>
          <w:bCs w:val="0"/>
          <w:color w:val="auto"/>
          <w:sz w:val="24"/>
          <w:szCs w:val="24"/>
          <w:lang w:val="en-US" w:eastAsia="zh-CN" w:bidi="en-US"/>
        </w:rPr>
      </w:pPr>
      <w:r>
        <w:rPr>
          <w:rFonts w:hint="default" w:ascii="仿宋" w:hAnsi="仿宋" w:eastAsia="仿宋" w:cs="仿宋"/>
          <w:b w:val="0"/>
          <w:bCs w:val="0"/>
          <w:color w:val="auto"/>
          <w:sz w:val="24"/>
          <w:szCs w:val="24"/>
          <w:lang w:val="en-US" w:eastAsia="zh-CN" w:bidi="en-US"/>
        </w:rPr>
        <w:t>甲醇：天然气/煤炭定价为主，但MTO需求端与原油联动</w:t>
      </w:r>
    </w:p>
    <w:p>
      <w:pPr>
        <w:keepNext w:val="0"/>
        <w:keepLines w:val="0"/>
        <w:pageBreakBefore w:val="0"/>
        <w:widowControl w:val="0"/>
        <w:kinsoku/>
        <w:wordWrap/>
        <w:overflowPunct/>
        <w:topLinePunct w:val="0"/>
        <w:autoSpaceDE/>
        <w:autoSpaceDN/>
        <w:bidi w:val="0"/>
        <w:adjustRightInd/>
        <w:snapToGrid/>
        <w:spacing w:after="313" w:afterLines="100" w:line="360" w:lineRule="auto"/>
        <w:ind w:left="-840" w:leftChars="-400" w:right="-840" w:rightChars="-400" w:firstLine="480" w:firstLineChars="200"/>
        <w:textAlignment w:val="auto"/>
        <w:rPr>
          <w:rFonts w:hint="default" w:ascii="仿宋" w:hAnsi="仿宋" w:eastAsia="仿宋" w:cs="仿宋"/>
          <w:b w:val="0"/>
          <w:bCs w:val="0"/>
          <w:color w:val="auto"/>
          <w:sz w:val="24"/>
          <w:szCs w:val="24"/>
          <w:lang w:val="en-US" w:eastAsia="zh-CN" w:bidi="en-US"/>
        </w:rPr>
      </w:pPr>
      <w:r>
        <w:rPr>
          <w:rFonts w:hint="default" w:ascii="仿宋" w:hAnsi="仿宋" w:eastAsia="仿宋" w:cs="仿宋"/>
          <w:b w:val="0"/>
          <w:bCs w:val="0"/>
          <w:color w:val="auto"/>
          <w:sz w:val="24"/>
          <w:szCs w:val="24"/>
          <w:lang w:val="en-US" w:eastAsia="zh-CN" w:bidi="en-US"/>
        </w:rPr>
        <w:t>PVC：电石法为主（中国），但乙烯法成本锚定原油</w:t>
      </w:r>
    </w:p>
    <w:p>
      <w:pPr>
        <w:keepNext w:val="0"/>
        <w:keepLines w:val="0"/>
        <w:pageBreakBefore w:val="0"/>
        <w:widowControl w:val="0"/>
        <w:kinsoku/>
        <w:wordWrap/>
        <w:overflowPunct/>
        <w:topLinePunct w:val="0"/>
        <w:autoSpaceDE/>
        <w:autoSpaceDN/>
        <w:bidi w:val="0"/>
        <w:adjustRightInd/>
        <w:snapToGrid/>
        <w:spacing w:after="313" w:afterLines="100" w:line="360" w:lineRule="auto"/>
        <w:ind w:left="-840" w:leftChars="-400" w:right="-840" w:rightChars="-400" w:firstLine="480" w:firstLineChars="200"/>
        <w:textAlignment w:val="auto"/>
        <w:rPr>
          <w:rFonts w:hint="default" w:ascii="仿宋" w:hAnsi="仿宋" w:eastAsia="仿宋" w:cs="仿宋"/>
          <w:b w:val="0"/>
          <w:bCs w:val="0"/>
          <w:color w:val="auto"/>
          <w:sz w:val="24"/>
          <w:szCs w:val="24"/>
          <w:lang w:val="en-US" w:eastAsia="zh-CN" w:bidi="en-US"/>
        </w:rPr>
      </w:pPr>
      <w:r>
        <w:rPr>
          <w:rFonts w:hint="default" w:ascii="仿宋" w:hAnsi="仿宋" w:eastAsia="仿宋" w:cs="仿宋"/>
          <w:b w:val="0"/>
          <w:bCs w:val="0"/>
          <w:color w:val="auto"/>
          <w:sz w:val="24"/>
          <w:szCs w:val="24"/>
          <w:lang w:val="en-US" w:eastAsia="zh-CN" w:bidi="en-US"/>
        </w:rPr>
        <w:t>合成橡胶：丁二烯与原油联动，但下游轮胎需求独立</w:t>
      </w:r>
    </w:p>
    <w:p>
      <w:pPr>
        <w:keepNext w:val="0"/>
        <w:keepLines w:val="0"/>
        <w:pageBreakBefore w:val="0"/>
        <w:widowControl w:val="0"/>
        <w:kinsoku/>
        <w:wordWrap/>
        <w:overflowPunct/>
        <w:topLinePunct w:val="0"/>
        <w:autoSpaceDE/>
        <w:autoSpaceDN/>
        <w:bidi w:val="0"/>
        <w:adjustRightInd/>
        <w:snapToGrid/>
        <w:spacing w:after="313" w:afterLines="100" w:line="360" w:lineRule="auto"/>
        <w:ind w:left="-840" w:leftChars="-400" w:right="-840" w:rightChars="-400" w:firstLine="480" w:firstLineChars="200"/>
        <w:textAlignment w:val="auto"/>
        <w:rPr>
          <w:rFonts w:hint="default" w:ascii="仿宋" w:hAnsi="仿宋" w:eastAsia="仿宋" w:cs="仿宋"/>
          <w:b w:val="0"/>
          <w:bCs w:val="0"/>
          <w:color w:val="auto"/>
          <w:sz w:val="24"/>
          <w:szCs w:val="24"/>
          <w:lang w:val="en-US" w:eastAsia="zh-CN" w:bidi="en-US"/>
        </w:rPr>
      </w:pPr>
      <w:r>
        <w:rPr>
          <w:rFonts w:hint="default" w:ascii="仿宋" w:hAnsi="仿宋" w:eastAsia="仿宋" w:cs="仿宋"/>
          <w:b w:val="0"/>
          <w:bCs w:val="0"/>
          <w:color w:val="auto"/>
          <w:sz w:val="24"/>
          <w:szCs w:val="24"/>
          <w:lang w:val="en-US" w:eastAsia="zh-CN" w:bidi="en-US"/>
        </w:rPr>
        <w:t>（3）低敏感度（相关系数&lt;0.4）</w:t>
      </w:r>
    </w:p>
    <w:p>
      <w:pPr>
        <w:keepNext w:val="0"/>
        <w:keepLines w:val="0"/>
        <w:pageBreakBefore w:val="0"/>
        <w:widowControl w:val="0"/>
        <w:kinsoku/>
        <w:wordWrap/>
        <w:overflowPunct/>
        <w:topLinePunct w:val="0"/>
        <w:autoSpaceDE/>
        <w:autoSpaceDN/>
        <w:bidi w:val="0"/>
        <w:adjustRightInd/>
        <w:snapToGrid/>
        <w:spacing w:after="313" w:afterLines="100" w:line="360" w:lineRule="auto"/>
        <w:ind w:left="-840" w:leftChars="-400" w:right="-840" w:rightChars="-400" w:firstLine="480" w:firstLineChars="200"/>
        <w:textAlignment w:val="auto"/>
        <w:rPr>
          <w:rFonts w:hint="default" w:ascii="仿宋" w:hAnsi="仿宋" w:eastAsia="仿宋" w:cs="仿宋"/>
          <w:b w:val="0"/>
          <w:bCs w:val="0"/>
          <w:color w:val="auto"/>
          <w:sz w:val="24"/>
          <w:szCs w:val="24"/>
          <w:lang w:val="en-US" w:eastAsia="zh-CN" w:bidi="en-US"/>
        </w:rPr>
      </w:pPr>
      <w:r>
        <w:rPr>
          <w:rFonts w:hint="default" w:ascii="仿宋" w:hAnsi="仿宋" w:eastAsia="仿宋" w:cs="仿宋"/>
          <w:b w:val="0"/>
          <w:bCs w:val="0"/>
          <w:color w:val="auto"/>
          <w:sz w:val="24"/>
          <w:szCs w:val="24"/>
          <w:lang w:val="en-US" w:eastAsia="zh-CN" w:bidi="en-US"/>
        </w:rPr>
        <w:t>尿素：煤炭成本主导，农业需求周期独立</w:t>
      </w:r>
    </w:p>
    <w:p>
      <w:pPr>
        <w:keepNext w:val="0"/>
        <w:keepLines w:val="0"/>
        <w:pageBreakBefore w:val="0"/>
        <w:widowControl w:val="0"/>
        <w:kinsoku/>
        <w:wordWrap/>
        <w:overflowPunct/>
        <w:topLinePunct w:val="0"/>
        <w:autoSpaceDE/>
        <w:autoSpaceDN/>
        <w:bidi w:val="0"/>
        <w:adjustRightInd/>
        <w:snapToGrid/>
        <w:spacing w:after="313" w:afterLines="100" w:line="360" w:lineRule="auto"/>
        <w:ind w:left="-840" w:leftChars="-400" w:right="-840" w:rightChars="-400" w:firstLine="480" w:firstLineChars="200"/>
        <w:textAlignment w:val="auto"/>
        <w:rPr>
          <w:rFonts w:hint="default" w:ascii="仿宋" w:hAnsi="仿宋" w:eastAsia="仿宋" w:cs="仿宋"/>
          <w:b w:val="0"/>
          <w:bCs w:val="0"/>
          <w:color w:val="auto"/>
          <w:sz w:val="24"/>
          <w:szCs w:val="24"/>
          <w:lang w:val="en-US" w:eastAsia="zh-CN" w:bidi="en-US"/>
        </w:rPr>
      </w:pPr>
      <w:r>
        <w:rPr>
          <w:rFonts w:hint="default" w:ascii="仿宋" w:hAnsi="仿宋" w:eastAsia="仿宋" w:cs="仿宋"/>
          <w:b w:val="0"/>
          <w:bCs w:val="0"/>
          <w:color w:val="auto"/>
          <w:sz w:val="24"/>
          <w:szCs w:val="24"/>
          <w:lang w:val="en-US" w:eastAsia="zh-CN" w:bidi="en-US"/>
        </w:rPr>
        <w:t>纯碱：矿产原料，能源成本占比相对低</w:t>
      </w:r>
    </w:p>
    <w:p>
      <w:pPr>
        <w:keepNext w:val="0"/>
        <w:keepLines w:val="0"/>
        <w:pageBreakBefore w:val="0"/>
        <w:widowControl w:val="0"/>
        <w:kinsoku/>
        <w:wordWrap/>
        <w:overflowPunct/>
        <w:topLinePunct w:val="0"/>
        <w:autoSpaceDE/>
        <w:autoSpaceDN/>
        <w:bidi w:val="0"/>
        <w:adjustRightInd/>
        <w:snapToGrid/>
        <w:spacing w:after="313" w:afterLines="100" w:line="360" w:lineRule="auto"/>
        <w:ind w:left="-840" w:leftChars="-400" w:right="-840" w:rightChars="-400" w:firstLine="480" w:firstLineChars="200"/>
        <w:textAlignment w:val="auto"/>
        <w:rPr>
          <w:rFonts w:hint="default" w:ascii="仿宋" w:hAnsi="仿宋" w:eastAsia="仿宋" w:cs="仿宋"/>
          <w:b w:val="0"/>
          <w:bCs w:val="0"/>
          <w:color w:val="auto"/>
          <w:sz w:val="24"/>
          <w:szCs w:val="24"/>
          <w:lang w:val="en-US" w:eastAsia="zh-CN" w:bidi="en-US"/>
        </w:rPr>
      </w:pPr>
      <w:r>
        <w:rPr>
          <w:rFonts w:hint="default" w:ascii="仿宋" w:hAnsi="仿宋" w:eastAsia="仿宋" w:cs="仿宋"/>
          <w:b w:val="0"/>
          <w:bCs w:val="0"/>
          <w:color w:val="auto"/>
          <w:sz w:val="24"/>
          <w:szCs w:val="24"/>
          <w:lang w:val="en-US" w:eastAsia="zh-CN" w:bidi="en-US"/>
        </w:rPr>
        <w:t>玻璃/建材类化工品：需求端房地产周期主导</w:t>
      </w:r>
    </w:p>
    <w:p>
      <w:pPr>
        <w:keepNext w:val="0"/>
        <w:keepLines w:val="0"/>
        <w:pageBreakBefore w:val="0"/>
        <w:widowControl w:val="0"/>
        <w:kinsoku/>
        <w:wordWrap/>
        <w:overflowPunct/>
        <w:topLinePunct w:val="0"/>
        <w:autoSpaceDE/>
        <w:autoSpaceDN/>
        <w:bidi w:val="0"/>
        <w:adjustRightInd/>
        <w:snapToGrid/>
        <w:spacing w:after="313" w:afterLines="100" w:line="360" w:lineRule="auto"/>
        <w:ind w:left="-840" w:leftChars="-400" w:right="-840" w:rightChars="-400" w:firstLine="480" w:firstLineChars="200"/>
        <w:textAlignment w:val="auto"/>
        <w:rPr>
          <w:rFonts w:hint="default" w:ascii="仿宋" w:hAnsi="仿宋" w:eastAsia="仿宋" w:cs="仿宋"/>
          <w:b w:val="0"/>
          <w:bCs w:val="0"/>
          <w:color w:val="auto"/>
          <w:sz w:val="24"/>
          <w:szCs w:val="24"/>
          <w:lang w:val="en-US" w:eastAsia="zh-CN" w:bidi="en-US"/>
        </w:rPr>
      </w:pPr>
      <w:r>
        <w:rPr>
          <w:rFonts w:hint="default" w:ascii="仿宋" w:hAnsi="仿宋" w:eastAsia="仿宋" w:cs="仿宋"/>
          <w:b w:val="0"/>
          <w:bCs w:val="0"/>
          <w:color w:val="auto"/>
          <w:sz w:val="24"/>
          <w:szCs w:val="24"/>
          <w:lang w:val="en-US" w:eastAsia="zh-CN" w:bidi="en-US"/>
        </w:rPr>
        <w:t>原油价格上涨对化工品期货的影响是成本驱动为主、预期传导为辅、裂解价差调节、替代效应制衡的复杂系统。</w:t>
      </w:r>
      <w:r>
        <w:rPr>
          <w:rFonts w:hint="eastAsia" w:ascii="仿宋" w:hAnsi="仿宋" w:eastAsia="仿宋" w:cs="仿宋"/>
          <w:b w:val="0"/>
          <w:bCs w:val="0"/>
          <w:color w:val="auto"/>
          <w:sz w:val="24"/>
          <w:szCs w:val="24"/>
          <w:lang w:val="en-US" w:eastAsia="zh-CN" w:bidi="en-US"/>
        </w:rPr>
        <w:t>在实际操作中，</w:t>
      </w:r>
      <w:r>
        <w:rPr>
          <w:rFonts w:hint="default" w:ascii="仿宋" w:hAnsi="仿宋" w:eastAsia="仿宋" w:cs="仿宋"/>
          <w:b w:val="0"/>
          <w:bCs w:val="0"/>
          <w:color w:val="auto"/>
          <w:sz w:val="24"/>
          <w:szCs w:val="24"/>
          <w:lang w:val="en-US" w:eastAsia="zh-CN" w:bidi="en-US"/>
        </w:rPr>
        <w:t>需动态跟踪原油-石脑油-化工品的三级价差结构，结合库存周期与产能周期判断传导效率，避免简单的成本加成线性外推。</w:t>
      </w:r>
      <w:bookmarkStart w:id="2" w:name="_GoBack"/>
      <w:bookmarkEnd w:id="2"/>
    </w:p>
    <w:p>
      <w:pPr>
        <w:keepNext w:val="0"/>
        <w:keepLines w:val="0"/>
        <w:pageBreakBefore w:val="0"/>
        <w:widowControl w:val="0"/>
        <w:kinsoku/>
        <w:wordWrap/>
        <w:overflowPunct/>
        <w:topLinePunct w:val="0"/>
        <w:autoSpaceDE/>
        <w:autoSpaceDN/>
        <w:bidi w:val="0"/>
        <w:adjustRightInd/>
        <w:snapToGrid/>
        <w:spacing w:after="313" w:afterLines="100" w:line="360" w:lineRule="auto"/>
        <w:ind w:right="-840" w:rightChars="-400"/>
        <w:textAlignment w:val="auto"/>
        <w:rPr>
          <w:rFonts w:hint="default" w:ascii="仿宋" w:hAnsi="仿宋" w:eastAsia="仿宋" w:cs="仿宋"/>
          <w:b w:val="0"/>
          <w:bCs w:val="0"/>
          <w:color w:val="auto"/>
          <w:sz w:val="24"/>
          <w:szCs w:val="24"/>
          <w:lang w:val="en-US" w:eastAsia="zh-CN" w:bidi="en-US"/>
        </w:rPr>
      </w:pPr>
    </w:p>
    <w:p>
      <w:pPr>
        <w:keepNext w:val="0"/>
        <w:keepLines w:val="0"/>
        <w:pageBreakBefore w:val="0"/>
        <w:widowControl w:val="0"/>
        <w:kinsoku/>
        <w:wordWrap/>
        <w:overflowPunct/>
        <w:topLinePunct w:val="0"/>
        <w:autoSpaceDE/>
        <w:autoSpaceDN/>
        <w:bidi w:val="0"/>
        <w:adjustRightInd/>
        <w:snapToGrid/>
        <w:spacing w:after="313" w:afterLines="100"/>
        <w:ind w:left="-840" w:leftChars="-400" w:right="-840" w:rightChars="-400" w:firstLine="480" w:firstLineChars="200"/>
        <w:textAlignment w:val="auto"/>
        <w:rPr>
          <w:rFonts w:hint="default" w:ascii="仿宋" w:hAnsi="仿宋" w:eastAsia="仿宋" w:cs="仿宋"/>
          <w:b w:val="0"/>
          <w:bCs w:val="0"/>
          <w:color w:val="auto"/>
          <w:sz w:val="24"/>
          <w:szCs w:val="24"/>
          <w:lang w:val="en-US" w:eastAsia="zh-CN" w:bidi="en-US"/>
        </w:rPr>
      </w:pPr>
      <w:r>
        <w:rPr>
          <w:rFonts w:hint="eastAsia" w:ascii="仿宋" w:hAnsi="仿宋" w:eastAsia="仿宋" w:cs="仿宋"/>
          <w:b w:val="0"/>
          <w:bCs w:val="0"/>
          <w:color w:val="auto"/>
          <w:sz w:val="24"/>
          <w:szCs w:val="24"/>
          <w:lang w:val="en-US" w:eastAsia="zh-CN" w:bidi="en-US"/>
        </w:rPr>
        <w:t>风险提示</w:t>
      </w:r>
    </w:p>
    <w:p>
      <w:pPr>
        <w:keepNext w:val="0"/>
        <w:keepLines w:val="0"/>
        <w:pageBreakBefore w:val="0"/>
        <w:widowControl w:val="0"/>
        <w:numPr>
          <w:ilvl w:val="0"/>
          <w:numId w:val="2"/>
        </w:numPr>
        <w:kinsoku/>
        <w:wordWrap/>
        <w:overflowPunct/>
        <w:topLinePunct w:val="0"/>
        <w:autoSpaceDE/>
        <w:autoSpaceDN/>
        <w:bidi w:val="0"/>
        <w:adjustRightInd/>
        <w:snapToGrid/>
        <w:spacing w:after="313" w:afterLines="100"/>
        <w:ind w:left="-840" w:leftChars="-400" w:right="-840" w:rightChars="-400" w:firstLine="480" w:firstLineChars="200"/>
        <w:textAlignment w:val="auto"/>
        <w:rPr>
          <w:rFonts w:hint="default" w:ascii="仿宋" w:hAnsi="仿宋" w:eastAsia="仿宋" w:cs="仿宋"/>
          <w:b w:val="0"/>
          <w:bCs w:val="0"/>
          <w:color w:val="auto"/>
          <w:sz w:val="24"/>
          <w:szCs w:val="24"/>
          <w:lang w:val="en-US" w:eastAsia="zh-CN" w:bidi="en-US"/>
        </w:rPr>
      </w:pPr>
      <w:r>
        <w:rPr>
          <w:rFonts w:hint="eastAsia" w:ascii="仿宋" w:hAnsi="仿宋" w:eastAsia="仿宋" w:cs="仿宋"/>
          <w:b w:val="0"/>
          <w:bCs w:val="0"/>
          <w:color w:val="auto"/>
          <w:sz w:val="24"/>
          <w:szCs w:val="24"/>
          <w:lang w:val="en-US" w:eastAsia="zh-CN" w:bidi="en-US"/>
        </w:rPr>
        <w:t>政策的约束削减原油价格上涨的传导作用；</w:t>
      </w:r>
    </w:p>
    <w:p>
      <w:pPr>
        <w:keepNext w:val="0"/>
        <w:keepLines w:val="0"/>
        <w:pageBreakBefore w:val="0"/>
        <w:widowControl w:val="0"/>
        <w:numPr>
          <w:ilvl w:val="0"/>
          <w:numId w:val="2"/>
        </w:numPr>
        <w:kinsoku/>
        <w:wordWrap/>
        <w:overflowPunct/>
        <w:topLinePunct w:val="0"/>
        <w:autoSpaceDE/>
        <w:autoSpaceDN/>
        <w:bidi w:val="0"/>
        <w:adjustRightInd/>
        <w:snapToGrid/>
        <w:spacing w:after="313" w:afterLines="100"/>
        <w:ind w:left="-840" w:leftChars="-400" w:right="-840" w:rightChars="-400" w:firstLine="480" w:firstLineChars="200"/>
        <w:textAlignment w:val="auto"/>
        <w:rPr>
          <w:rFonts w:hint="default" w:ascii="仿宋" w:hAnsi="仿宋" w:eastAsia="仿宋" w:cs="仿宋"/>
          <w:b w:val="0"/>
          <w:bCs w:val="0"/>
          <w:color w:val="auto"/>
          <w:sz w:val="24"/>
          <w:szCs w:val="24"/>
          <w:lang w:val="en-US" w:eastAsia="zh-CN" w:bidi="en-US"/>
        </w:rPr>
      </w:pPr>
      <w:r>
        <w:rPr>
          <w:rFonts w:hint="eastAsia" w:ascii="仿宋" w:hAnsi="仿宋" w:eastAsia="仿宋" w:cs="仿宋"/>
          <w:b w:val="0"/>
          <w:bCs w:val="0"/>
          <w:color w:val="auto"/>
          <w:sz w:val="24"/>
          <w:szCs w:val="24"/>
          <w:lang w:val="en-US" w:eastAsia="zh-CN" w:bidi="en-US"/>
        </w:rPr>
        <w:t>市场的预期的变化</w:t>
      </w:r>
    </w:p>
    <w:p>
      <w:pPr>
        <w:rPr>
          <w:rFonts w:hint="eastAsia" w:ascii="微软雅黑" w:hAnsi="微软雅黑" w:eastAsia="微软雅黑"/>
          <w:b/>
          <w:bCs/>
          <w:sz w:val="28"/>
          <w:szCs w:val="28"/>
          <w:lang w:bidi="en-US"/>
          <w14:textFill>
            <w14:gradFill>
              <w14:gsLst>
                <w14:gs w14:pos="0">
                  <w14:srgbClr w14:val="FE4444"/>
                </w14:gs>
                <w14:gs w14:pos="100000">
                  <w14:srgbClr w14:val="832B2B"/>
                </w14:gs>
              </w14:gsLst>
              <w14:lin w14:ang="0" w14:scaled="0"/>
            </w14:gradFill>
          </w14:textFill>
        </w:rPr>
      </w:pPr>
      <w:r>
        <w:rPr>
          <w:rFonts w:hint="eastAsia" w:ascii="微软雅黑" w:hAnsi="微软雅黑" w:eastAsia="微软雅黑"/>
          <w:b/>
          <w:bCs/>
          <w:sz w:val="28"/>
          <w:szCs w:val="28"/>
          <w:lang w:bidi="en-US"/>
          <w14:textFill>
            <w14:gradFill>
              <w14:gsLst>
                <w14:gs w14:pos="0">
                  <w14:srgbClr w14:val="FE4444"/>
                </w14:gs>
                <w14:gs w14:pos="100000">
                  <w14:srgbClr w14:val="832B2B"/>
                </w14:gs>
              </w14:gsLst>
              <w14:lin w14:ang="0" w14:scaled="0"/>
            </w14:gradFill>
          </w14:textFill>
        </w:rPr>
        <w:br w:type="page"/>
      </w:r>
    </w:p>
    <w:p>
      <w:pPr>
        <w:outlineLvl w:val="0"/>
        <w:rPr>
          <w:rFonts w:ascii="微软雅黑" w:hAnsi="微软雅黑" w:eastAsia="微软雅黑"/>
          <w:b/>
          <w:bCs/>
          <w:sz w:val="28"/>
          <w:szCs w:val="28"/>
          <w:lang w:bidi="en-US"/>
          <w14:textFill>
            <w14:gradFill>
              <w14:gsLst>
                <w14:gs w14:pos="0">
                  <w14:srgbClr w14:val="FE4444"/>
                </w14:gs>
                <w14:gs w14:pos="100000">
                  <w14:srgbClr w14:val="832B2B"/>
                </w14:gs>
              </w14:gsLst>
              <w14:lin w14:ang="0" w14:scaled="0"/>
            </w14:gradFill>
          </w14:textFill>
        </w:rPr>
      </w:pPr>
      <w:bookmarkStart w:id="1" w:name="_Toc12528"/>
      <w:r>
        <w:rPr>
          <w:rFonts w:hint="eastAsia" w:ascii="微软雅黑" w:hAnsi="微软雅黑" w:eastAsia="微软雅黑"/>
          <w:b/>
          <w:bCs/>
          <w:sz w:val="28"/>
          <w:szCs w:val="28"/>
          <w:lang w:bidi="en-US"/>
          <w14:textFill>
            <w14:gradFill>
              <w14:gsLst>
                <w14:gs w14:pos="0">
                  <w14:srgbClr w14:val="FE4444"/>
                </w14:gs>
                <w14:gs w14:pos="100000">
                  <w14:srgbClr w14:val="832B2B"/>
                </w14:gs>
              </w14:gsLst>
              <w14:lin w14:ang="0" w14:scaled="0"/>
            </w14:gradFill>
          </w14:textFill>
        </w:rPr>
        <w:t>免责声明</w:t>
      </w:r>
      <w:bookmarkEnd w:id="0"/>
      <w:bookmarkEnd w:id="1"/>
    </w:p>
    <w:p>
      <w:pPr>
        <w:spacing w:line="360" w:lineRule="auto"/>
        <w:ind w:firstLine="480" w:firstLineChars="200"/>
        <w:jc w:val="left"/>
        <w:rPr>
          <w:rFonts w:ascii="楷体" w:hAnsi="楷体" w:eastAsia="楷体"/>
          <w:sz w:val="24"/>
        </w:rPr>
      </w:pPr>
    </w:p>
    <w:p>
      <w:pPr>
        <w:spacing w:line="360" w:lineRule="auto"/>
        <w:ind w:firstLine="480" w:firstLineChars="200"/>
        <w:jc w:val="left"/>
        <w:rPr>
          <w:rFonts w:hint="eastAsia" w:ascii="楷体" w:hAnsi="楷体" w:eastAsia="楷体"/>
          <w:sz w:val="24"/>
        </w:rPr>
      </w:pPr>
      <w:r>
        <w:rPr>
          <w:rFonts w:hint="eastAsia" w:ascii="楷体" w:hAnsi="楷体" w:eastAsia="楷体"/>
          <w:sz w:val="24"/>
        </w:rPr>
        <w:t>山金期货有限公司（以下简称“本公司”）具有中国证券监督管理委员会批准的期货交易咨询业务资格（证监许可[2012]33号）。</w:t>
      </w:r>
    </w:p>
    <w:p>
      <w:pPr>
        <w:spacing w:line="360" w:lineRule="auto"/>
        <w:ind w:firstLine="480" w:firstLineChars="200"/>
        <w:jc w:val="left"/>
        <w:rPr>
          <w:rFonts w:hint="eastAsia" w:ascii="楷体" w:hAnsi="楷体" w:eastAsia="楷体"/>
          <w:sz w:val="24"/>
          <w:lang w:val="en-US" w:eastAsia="zh-CN"/>
        </w:rPr>
      </w:pPr>
      <w:r>
        <w:rPr>
          <w:rFonts w:hint="eastAsia" w:ascii="楷体" w:hAnsi="楷体" w:eastAsia="楷体"/>
          <w:sz w:val="24"/>
        </w:rPr>
        <w:t>本报告由本公司投资咨询部制作，未获得本公司的书面授权，任何人和单位不得对本报告进行任何形式的修改、发布和复制。本报告基于本公司期货研究人员采用可信的公开资料和实地调研资料，但本公司对这些信息的准确性和完整性不作任何保证，且本报告中的资料、建议、预测均反映报告初次发布时的判断，可能会随时调整，报告中的信息或所表达的意见不构成投资、法律、会计或税务的最终操作建议，本公司不就报告中的内容对最终操作建议作任何担保。在本公司及其研究人员知情的范围内，本公司及其期货研究人员以及财产上的利害关系人与所评价或推荐的产品不存在任何利害关系，同时提醒期货投资者，期市有风险，入市须谨慎。</w:t>
      </w:r>
    </w:p>
    <w:p>
      <w:pPr>
        <w:spacing w:line="360" w:lineRule="auto"/>
        <w:jc w:val="left"/>
        <w:rPr>
          <w:rFonts w:hint="eastAsia" w:ascii="楷体" w:hAnsi="楷体" w:eastAsia="楷体"/>
          <w:sz w:val="24"/>
          <w:lang w:val="en-US" w:eastAsia="zh-CN"/>
        </w:rPr>
      </w:pPr>
    </w:p>
    <w:sectPr>
      <w:headerReference r:id="rId5" w:type="default"/>
      <w:pgSz w:w="11906" w:h="16838"/>
      <w:pgMar w:top="1440" w:right="1800" w:bottom="1440" w:left="1800" w:header="851" w:footer="992" w:gutter="0"/>
      <w:pgBorders>
        <w:top w:val="none" w:sz="0" w:space="0"/>
        <w:left w:val="none" w:sz="0" w:space="0"/>
        <w:bottom w:val="none" w:sz="0" w:space="0"/>
        <w:right w:val="none" w:sz="0" w:space="0"/>
      </w:pgBorders>
      <w:pgNumType w:fmt="decimal"/>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楷体">
    <w:panose1 w:val="02010609060101010101"/>
    <w:charset w:val="86"/>
    <w:family w:val="modern"/>
    <w:pitch w:val="default"/>
    <w:sig w:usb0="800002BF" w:usb1="38CF7CFA" w:usb2="00000016" w:usb3="00000000" w:csb0="00040001" w:csb1="00000000"/>
  </w:font>
  <w:font w:name="方正小标宋简体">
    <w:altName w:val="黑体"/>
    <w:panose1 w:val="03000509000000000000"/>
    <w:charset w:val="86"/>
    <w:family w:val="auto"/>
    <w:pitch w:val="default"/>
    <w:sig w:usb0="00000000" w:usb1="00000000" w:usb2="00000000" w:usb3="00000000" w:csb0="00040000" w:csb1="00000000"/>
  </w:font>
  <w:font w:name="仿宋">
    <w:panose1 w:val="02010609060101010101"/>
    <w:charset w:val="86"/>
    <w:family w:val="auto"/>
    <w:pitch w:val="default"/>
    <w:sig w:usb0="800002BF" w:usb1="38CF7CFA" w:usb2="00000016" w:usb3="00000000" w:csb0="00040001" w:csb1="00000000"/>
  </w:font>
  <w:font w:name="微软雅黑">
    <w:panose1 w:val="020B0503020204020204"/>
    <w:charset w:val="86"/>
    <w:family w:val="auto"/>
    <w:pitch w:val="default"/>
    <w:sig w:usb0="80000287" w:usb1="2ACF3C50" w:usb2="00000016" w:usb3="00000000" w:csb0="0004001F" w:csb1="00000000"/>
  </w:font>
  <w:font w:name="等线">
    <w:panose1 w:val="02010600030101010101"/>
    <w:charset w:val="86"/>
    <w:family w:val="auto"/>
    <w:pitch w:val="default"/>
    <w:sig w:usb0="A00002BF" w:usb1="38CF7CFA" w:usb2="00000016" w:usb3="00000000" w:csb0="0004000F" w:csb1="00000000"/>
  </w:font>
  <w:font w:name="微软雅黑 Light">
    <w:panose1 w:val="020B0502040204020203"/>
    <w:charset w:val="86"/>
    <w:family w:val="auto"/>
    <w:pitch w:val="default"/>
    <w:sig w:usb0="80000287" w:usb1="2ACF0010" w:usb2="00000016" w:usb3="00000000" w:csb0="0004001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4"/>
    </w:pPr>
    <w:r>
      <w:rPr>
        <w:sz w:val="18"/>
      </w:rPr>
      <mc:AlternateContent>
        <mc:Choice Requires="wps">
          <w:drawing>
            <wp:anchor distT="0" distB="0" distL="114300" distR="114300" simplePos="0" relativeHeight="251667456" behindDoc="1" locked="0" layoutInCell="1" allowOverlap="1">
              <wp:simplePos x="0" y="0"/>
              <wp:positionH relativeFrom="column">
                <wp:posOffset>-1136015</wp:posOffset>
              </wp:positionH>
              <wp:positionV relativeFrom="paragraph">
                <wp:posOffset>370205</wp:posOffset>
              </wp:positionV>
              <wp:extent cx="7552690" cy="398780"/>
              <wp:effectExtent l="0" t="0" r="10160" b="1270"/>
              <wp:wrapNone/>
              <wp:docPr id="7" name="文本框 7"/>
              <wp:cNvGraphicFramePr/>
              <a:graphic xmlns:a="http://schemas.openxmlformats.org/drawingml/2006/main">
                <a:graphicData uri="http://schemas.microsoft.com/office/word/2010/wordprocessingShape">
                  <wps:wsp>
                    <wps:cNvSpPr txBox="1"/>
                    <wps:spPr>
                      <a:xfrm>
                        <a:off x="0" y="0"/>
                        <a:ext cx="7552690" cy="398780"/>
                      </a:xfrm>
                      <a:prstGeom prst="rect">
                        <a:avLst/>
                      </a:prstGeom>
                      <a:solidFill>
                        <a:srgbClr val="F57E2C"/>
                      </a:solidFill>
                      <a:ln w="6350">
                        <a:noFill/>
                      </a:ln>
                      <a:effectLst/>
                    </wps:spPr>
                    <wps:style>
                      <a:lnRef idx="0">
                        <a:schemeClr val="accent1"/>
                      </a:lnRef>
                      <a:fillRef idx="0">
                        <a:schemeClr val="accent1"/>
                      </a:fillRef>
                      <a:effectRef idx="0">
                        <a:schemeClr val="accent1"/>
                      </a:effectRef>
                      <a:fontRef idx="minor">
                        <a:schemeClr val="dk1"/>
                      </a:fontRef>
                    </wps:style>
                    <wps:txbx>
                      <w:txbxContent>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id="_x0000_s1026" o:spid="_x0000_s1026" o:spt="202" type="#_x0000_t202" style="position:absolute;left:0pt;margin-left:-89.45pt;margin-top:29.15pt;height:31.4pt;width:594.7pt;z-index:-251649024;mso-width-relative:page;mso-height-relative:page;" fillcolor="#F57E2C" filled="t" stroked="f" coordsize="21600,21600" o:gfxdata="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">
              <v:fill on="t" focussize="0,0"/>
              <v:stroke on="f" weight="0.5pt"/>
              <v:imagedata o:title=""/>
              <o:lock v:ext="edit" aspectratio="f"/>
              <v:textbox>
                <w:txbxContent>
                  <w:p/>
                </w:txbxContent>
              </v:textbox>
            </v:shape>
          </w:pict>
        </mc:Fallback>
      </mc:AlternateContent>
    </w:r>
    <w:r>
      <mc:AlternateContent>
        <mc:Choice Requires="wpg">
          <w:drawing>
            <wp:anchor distT="0" distB="0" distL="114300" distR="114300" simplePos="0" relativeHeight="251660288" behindDoc="0" locked="0" layoutInCell="1" allowOverlap="1">
              <wp:simplePos x="0" y="0"/>
              <wp:positionH relativeFrom="column">
                <wp:posOffset>5380990</wp:posOffset>
              </wp:positionH>
              <wp:positionV relativeFrom="paragraph">
                <wp:posOffset>462280</wp:posOffset>
              </wp:positionV>
              <wp:extent cx="709930" cy="238125"/>
              <wp:effectExtent l="0" t="0" r="0" b="7620"/>
              <wp:wrapNone/>
              <wp:docPr id="1510953249" name="组合 33"/>
              <wp:cNvGraphicFramePr/>
              <a:graphic xmlns:a="http://schemas.openxmlformats.org/drawingml/2006/main">
                <a:graphicData uri="http://schemas.microsoft.com/office/word/2010/wordprocessingGroup">
                  <wpg:wgp>
                    <wpg:cNvGrpSpPr/>
                    <wpg:grpSpPr>
                      <a:xfrm>
                        <a:off x="0" y="0"/>
                        <a:ext cx="709930" cy="238125"/>
                        <a:chOff x="0" y="0"/>
                        <a:chExt cx="709683" cy="238125"/>
                      </a:xfrm>
                    </wpg:grpSpPr>
                    <wps:wsp>
                      <wps:cNvPr id="1555208936" name="文本框 31"/>
                      <wps:cNvSpPr txBox="1"/>
                      <wps:spPr>
                        <a:xfrm>
                          <a:off x="0" y="0"/>
                          <a:ext cx="709683" cy="238125"/>
                        </a:xfrm>
                        <a:prstGeom prst="rect">
                          <a:avLst/>
                        </a:prstGeom>
                        <a:noFill/>
                        <a:ln w="6350">
                          <a:noFill/>
                        </a:ln>
                      </wps:spPr>
                      <wps:txbx>
                        <w:txbxContent>
                          <w:p>
                            <w:r>
                              <w:rPr>
                                <w:rFonts w:hint="eastAsia"/>
                              </w:rPr>
                              <w:t xml:space="preserve">   </w:t>
                            </w:r>
                            <w:r>
                              <w:rPr>
                                <w:color w:val="FFFFFF" w:themeColor="background1"/>
                                <w14:textFill>
                                  <w14:solidFill>
                                    <w14:schemeClr w14:val="bg1"/>
                                  </w14:solidFill>
                                </w14:textFill>
                              </w:rPr>
                              <w:fldChar w:fldCharType="begin"/>
                            </w:r>
                            <w:r>
                              <w:rPr>
                                <w:color w:val="FFFFFF" w:themeColor="background1"/>
                                <w14:textFill>
                                  <w14:solidFill>
                                    <w14:schemeClr w14:val="bg1"/>
                                  </w14:solidFill>
                                </w14:textFill>
                              </w:rPr>
                              <w:instrText xml:space="preserve">PAGE   \* MERGEFORMAT</w:instrText>
                            </w:r>
                            <w:r>
                              <w:rPr>
                                <w:color w:val="FFFFFF" w:themeColor="background1"/>
                                <w14:textFill>
                                  <w14:solidFill>
                                    <w14:schemeClr w14:val="bg1"/>
                                  </w14:solidFill>
                                </w14:textFill>
                              </w:rPr>
                              <w:fldChar w:fldCharType="separate"/>
                            </w:r>
                            <w:r>
                              <w:rPr>
                                <w:color w:val="FFFFFF" w:themeColor="background1"/>
                                <w:lang w:val="zh-CN"/>
                                <w14:textFill>
                                  <w14:solidFill>
                                    <w14:schemeClr w14:val="bg1"/>
                                  </w14:solidFill>
                                </w14:textFill>
                              </w:rPr>
                              <w:t>12</w:t>
                            </w:r>
                            <w:r>
                              <w:rPr>
                                <w:color w:val="FFFFFF" w:themeColor="background1"/>
                                <w14:textFill>
                                  <w14:solidFill>
                                    <w14:schemeClr w14:val="bg1"/>
                                  </w14:solidFill>
                                </w14:textFill>
                              </w:rPr>
                              <w:fldChar w:fldCharType="end"/>
                            </w:r>
                          </w:p>
                        </w:txbxContent>
                      </wps:txbx>
                      <wps:bodyPr rot="0" spcFirstLastPara="0" vertOverflow="overflow" horzOverflow="overflow" vert="horz" wrap="square" lIns="91440" tIns="45720" rIns="91440" bIns="45720" numCol="1" spcCol="0" rtlCol="0" fromWordArt="0" anchor="t" anchorCtr="0" forceAA="0" compatLnSpc="1">
                        <a:noAutofit/>
                      </wps:bodyPr>
                    </wps:wsp>
                    <wps:wsp>
                      <wps:cNvPr id="833217646" name="矩形 32"/>
                      <wps:cNvSpPr/>
                      <wps:spPr>
                        <a:xfrm>
                          <a:off x="111714" y="53788"/>
                          <a:ext cx="47570" cy="158566"/>
                        </a:xfrm>
                        <a:prstGeom prst="rect">
                          <a:avLst/>
                        </a:prstGeom>
                        <a:solidFill>
                          <a:schemeClr val="bg1"/>
                        </a:solidFill>
                        <a:ln>
                          <a:no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wpg:wgp>
                </a:graphicData>
              </a:graphic>
            </wp:anchor>
          </w:drawing>
        </mc:Choice>
        <mc:Fallback>
          <w:pict>
            <v:group id="组合 33" o:spid="_x0000_s1026" o:spt="203" style="position:absolute;left:0pt;margin-left:423.7pt;margin-top:36.4pt;height:18.75pt;width:55.9pt;z-index:251660288;mso-width-relative:page;mso-height-relative:page;" coordsize="709683,238125" o:gfxdata="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">
              <o:lock v:ext="edit" aspectratio="f"/>
              <v:shape id="文本框 31" o:spid="_x0000_s1026" o:spt="202" type="#_x0000_t202" style="position:absolute;left:0;top:0;height:238125;width:709683;" filled="f" stroked="f" coordsize="21600,21600" o:gfxdata="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">
                <v:fill on="f" focussize="0,0"/>
                <v:stroke on="f" weight="0.5pt"/>
                <v:imagedata o:title=""/>
                <o:lock v:ext="edit" aspectratio="f"/>
                <v:textbox>
                  <w:txbxContent>
                    <w:p>
                      <w:r>
                        <w:rPr>
                          <w:rFonts w:hint="eastAsia"/>
                        </w:rPr>
                        <w:t xml:space="preserve">   </w:t>
                      </w:r>
                      <w:r>
                        <w:rPr>
                          <w:color w:val="FFFFFF" w:themeColor="background1"/>
                          <w14:textFill>
                            <w14:solidFill>
                              <w14:schemeClr w14:val="bg1"/>
                            </w14:solidFill>
                          </w14:textFill>
                        </w:rPr>
                        <w:fldChar w:fldCharType="begin"/>
                      </w:r>
                      <w:r>
                        <w:rPr>
                          <w:color w:val="FFFFFF" w:themeColor="background1"/>
                          <w14:textFill>
                            <w14:solidFill>
                              <w14:schemeClr w14:val="bg1"/>
                            </w14:solidFill>
                          </w14:textFill>
                        </w:rPr>
                        <w:instrText xml:space="preserve">PAGE   \* MERGEFORMAT</w:instrText>
                      </w:r>
                      <w:r>
                        <w:rPr>
                          <w:color w:val="FFFFFF" w:themeColor="background1"/>
                          <w14:textFill>
                            <w14:solidFill>
                              <w14:schemeClr w14:val="bg1"/>
                            </w14:solidFill>
                          </w14:textFill>
                        </w:rPr>
                        <w:fldChar w:fldCharType="separate"/>
                      </w:r>
                      <w:r>
                        <w:rPr>
                          <w:color w:val="FFFFFF" w:themeColor="background1"/>
                          <w:lang w:val="zh-CN"/>
                          <w14:textFill>
                            <w14:solidFill>
                              <w14:schemeClr w14:val="bg1"/>
                            </w14:solidFill>
                          </w14:textFill>
                        </w:rPr>
                        <w:t>12</w:t>
                      </w:r>
                      <w:r>
                        <w:rPr>
                          <w:color w:val="FFFFFF" w:themeColor="background1"/>
                          <w14:textFill>
                            <w14:solidFill>
                              <w14:schemeClr w14:val="bg1"/>
                            </w14:solidFill>
                          </w14:textFill>
                        </w:rPr>
                        <w:fldChar w:fldCharType="end"/>
                      </w:r>
                    </w:p>
                  </w:txbxContent>
                </v:textbox>
              </v:shape>
              <v:rect id="矩形 32" o:spid="_x0000_s1026" o:spt="1" style="position:absolute;left:111714;top:53788;height:158566;width:47570;v-text-anchor:middle;" fillcolor="#FFFFFF [3212]" filled="t" stroked="f" coordsize="21600,21600" o:gfxdata="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">
                <v:fill on="t" focussize="0,0"/>
                <v:stroke on="f" weight="1pt" miterlimit="8" joinstyle="miter"/>
                <v:imagedata o:title=""/>
                <o:lock v:ext="edit" aspectratio="f"/>
              </v:rect>
            </v:group>
          </w:pict>
        </mc:Fallback>
      </mc:AlternateContent>
    </w:r>
    <w:r>
      <w:rPr>
        <w:rFonts w:ascii="宋体" w:hAnsi="宋体" w:cs="宋体"/>
        <w:kern w:val="0"/>
        <w:sz w:val="24"/>
      </w:rPr>
      <mc:AlternateContent>
        <mc:Choice Requires="wps">
          <w:drawing>
            <wp:anchor distT="36195" distB="36195" distL="36195" distR="36195" simplePos="0" relativeHeight="251659264" behindDoc="0" locked="0" layoutInCell="1" allowOverlap="1">
              <wp:simplePos x="0" y="0"/>
              <wp:positionH relativeFrom="column">
                <wp:posOffset>1503045</wp:posOffset>
              </wp:positionH>
              <wp:positionV relativeFrom="paragraph">
                <wp:posOffset>437515</wp:posOffset>
              </wp:positionV>
              <wp:extent cx="2072640" cy="238125"/>
              <wp:effectExtent l="0" t="0" r="0" b="0"/>
              <wp:wrapNone/>
              <wp:docPr id="68" name="文本框 68"/>
              <wp:cNvGraphicFramePr/>
              <a:graphic xmlns:a="http://schemas.openxmlformats.org/drawingml/2006/main">
                <a:graphicData uri="http://schemas.microsoft.com/office/word/2010/wordprocessingShape">
                  <wps:wsp>
                    <wps:cNvSpPr txBox="1">
                      <a:spLocks noChangeArrowheads="1"/>
                    </wps:cNvSpPr>
                    <wps:spPr bwMode="auto">
                      <a:xfrm>
                        <a:off x="0" y="0"/>
                        <a:ext cx="2072640" cy="238125"/>
                      </a:xfrm>
                      <a:prstGeom prst="rect">
                        <a:avLst/>
                      </a:prstGeom>
                      <a:noFill/>
                      <a:ln>
                        <a:noFill/>
                      </a:ln>
                      <a:effectLst/>
                    </wps:spPr>
                    <wps:txbx>
                      <w:txbxContent>
                        <w:p>
                          <w:pPr>
                            <w:jc w:val="center"/>
                            <w:rPr>
                              <w:rFonts w:ascii="楷体" w:hAnsi="楷体" w:eastAsia="楷体"/>
                              <w:b/>
                              <w:bCs/>
                              <w:color w:val="FFFFFF" w:themeColor="background1"/>
                              <w:sz w:val="20"/>
                              <w:szCs w:val="18"/>
                              <w14:textFill>
                                <w14:solidFill>
                                  <w14:schemeClr w14:val="bg1"/>
                                </w14:solidFill>
                              </w14:textFill>
                            </w:rPr>
                          </w:pPr>
                          <w:r>
                            <w:rPr>
                              <w:rFonts w:hint="eastAsia" w:ascii="楷体" w:hAnsi="楷体" w:eastAsia="楷体"/>
                              <w:b/>
                              <w:bCs/>
                              <w:color w:val="FFFFFF" w:themeColor="background1"/>
                              <w:sz w:val="20"/>
                              <w:szCs w:val="18"/>
                              <w:lang w:val="zh-TW"/>
                              <w14:textFill>
                                <w14:solidFill>
                                  <w14:schemeClr w14:val="bg1"/>
                                </w14:solidFill>
                              </w14:textFill>
                            </w:rPr>
                            <w:t>请务必阅读正文后的</w:t>
                          </w:r>
                          <w:r>
                            <w:rPr>
                              <w:rFonts w:hint="eastAsia" w:ascii="楷体" w:hAnsi="楷体" w:eastAsia="楷体"/>
                              <w:b/>
                              <w:bCs/>
                              <w:color w:val="FFFFFF" w:themeColor="background1"/>
                              <w:sz w:val="20"/>
                              <w:szCs w:val="18"/>
                              <w14:textFill>
                                <w14:solidFill>
                                  <w14:schemeClr w14:val="bg1"/>
                                </w14:solidFill>
                              </w14:textFill>
                            </w:rPr>
                            <w:t>重要</w:t>
                          </w:r>
                          <w:r>
                            <w:rPr>
                              <w:rFonts w:hint="eastAsia" w:ascii="楷体" w:hAnsi="楷体" w:eastAsia="楷体"/>
                              <w:b/>
                              <w:bCs/>
                              <w:color w:val="FFFFFF" w:themeColor="background1"/>
                              <w:sz w:val="20"/>
                              <w:szCs w:val="18"/>
                              <w:lang w:val="zh-TW"/>
                              <w14:textFill>
                                <w14:solidFill>
                                  <w14:schemeClr w14:val="bg1"/>
                                </w14:solidFill>
                              </w14:textFill>
                            </w:rPr>
                            <w:t>声明</w:t>
                          </w:r>
                        </w:p>
                      </w:txbxContent>
                    </wps:txbx>
                    <wps:bodyPr rot="0" vert="horz" wrap="square" lIns="36576" tIns="36576" rIns="36576" bIns="36576" anchor="t" anchorCtr="0" upright="1">
                      <a:noAutofit/>
                    </wps:bodyPr>
                  </wps:wsp>
                </a:graphicData>
              </a:graphic>
            </wp:anchor>
          </w:drawing>
        </mc:Choice>
        <mc:Fallback>
          <w:pict>
            <v:shape id="_x0000_s1026" o:spid="_x0000_s1026" o:spt="202" type="#_x0000_t202" style="position:absolute;left:0pt;margin-left:118.35pt;margin-top:34.45pt;height:18.75pt;width:163.2pt;z-index:251659264;mso-width-relative:page;mso-height-relative:page;" filled="f" stroked="f" coordsize="21600,21600" o:gfxdata="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">
              <v:fill on="f" focussize="0,0"/>
              <v:stroke on="f"/>
              <v:imagedata o:title=""/>
              <o:lock v:ext="edit" aspectratio="f"/>
              <v:textbox inset="1.016mm,1.016mm,1.016mm,1.016mm">
                <w:txbxContent>
                  <w:p>
                    <w:pPr>
                      <w:jc w:val="center"/>
                      <w:rPr>
                        <w:rFonts w:ascii="楷体" w:hAnsi="楷体" w:eastAsia="楷体"/>
                        <w:b/>
                        <w:bCs/>
                        <w:color w:val="FFFFFF" w:themeColor="background1"/>
                        <w:sz w:val="20"/>
                        <w:szCs w:val="18"/>
                        <w14:textFill>
                          <w14:solidFill>
                            <w14:schemeClr w14:val="bg1"/>
                          </w14:solidFill>
                        </w14:textFill>
                      </w:rPr>
                    </w:pPr>
                    <w:r>
                      <w:rPr>
                        <w:rFonts w:hint="eastAsia" w:ascii="楷体" w:hAnsi="楷体" w:eastAsia="楷体"/>
                        <w:b/>
                        <w:bCs/>
                        <w:color w:val="FFFFFF" w:themeColor="background1"/>
                        <w:sz w:val="20"/>
                        <w:szCs w:val="18"/>
                        <w:lang w:val="zh-TW"/>
                        <w14:textFill>
                          <w14:solidFill>
                            <w14:schemeClr w14:val="bg1"/>
                          </w14:solidFill>
                        </w14:textFill>
                      </w:rPr>
                      <w:t>请务必阅读正文后的</w:t>
                    </w:r>
                    <w:r>
                      <w:rPr>
                        <w:rFonts w:hint="eastAsia" w:ascii="楷体" w:hAnsi="楷体" w:eastAsia="楷体"/>
                        <w:b/>
                        <w:bCs/>
                        <w:color w:val="FFFFFF" w:themeColor="background1"/>
                        <w:sz w:val="20"/>
                        <w:szCs w:val="18"/>
                        <w14:textFill>
                          <w14:solidFill>
                            <w14:schemeClr w14:val="bg1"/>
                          </w14:solidFill>
                        </w14:textFill>
                      </w:rPr>
                      <w:t>重要</w:t>
                    </w:r>
                    <w:r>
                      <w:rPr>
                        <w:rFonts w:hint="eastAsia" w:ascii="楷体" w:hAnsi="楷体" w:eastAsia="楷体"/>
                        <w:b/>
                        <w:bCs/>
                        <w:color w:val="FFFFFF" w:themeColor="background1"/>
                        <w:sz w:val="20"/>
                        <w:szCs w:val="18"/>
                        <w:lang w:val="zh-TW"/>
                        <w14:textFill>
                          <w14:solidFill>
                            <w14:schemeClr w14:val="bg1"/>
                          </w14:solidFill>
                        </w14:textFill>
                      </w:rPr>
                      <w:t>声明</w:t>
                    </w:r>
                  </w:p>
                </w:txbxContent>
              </v:textbox>
            </v:shape>
          </w:pict>
        </mc:Fallback>
      </mc:AlternateContent>
    </w: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5"/>
    </w:pPr>
    <w:r>
      <w:drawing>
        <wp:anchor distT="0" distB="0" distL="114300" distR="114300" simplePos="0" relativeHeight="251665408" behindDoc="0" locked="0" layoutInCell="1" allowOverlap="1">
          <wp:simplePos x="0" y="0"/>
          <wp:positionH relativeFrom="column">
            <wp:posOffset>-1029970</wp:posOffset>
          </wp:positionH>
          <wp:positionV relativeFrom="paragraph">
            <wp:posOffset>-455930</wp:posOffset>
          </wp:positionV>
          <wp:extent cx="1327150" cy="355600"/>
          <wp:effectExtent l="0" t="0" r="6350" b="6350"/>
          <wp:wrapNone/>
          <wp:docPr id="6" name="图片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15"/>
                  <pic:cNvPicPr>
                    <a:picLocks noChangeAspect="1"/>
                  </pic:cNvPicPr>
                </pic:nvPicPr>
                <pic:blipFill>
                  <a:blip r:embed="rId1">
                    <a:extLst>
                      <a:ext uri="{BEBA8EAE-BF5A-486C-A8C5-ECC9F3942E4B}">
                        <a14:imgProps xmlns:a14="http://schemas.microsoft.com/office/drawing/2010/main">
                          <a14:imgLayer r:embed="rId2">
                            <a14:imgEffect>
                              <a14:brightnessContrast bright="100000" contrast="100000"/>
                            </a14:imgEffect>
                          </a14:imgLayer>
                        </a14:imgProps>
                      </a:ext>
                      <a:ext uri="{28A0092B-C50C-407E-A947-70E740481C1C}">
                        <a14:useLocalDpi xmlns:a14="http://schemas.microsoft.com/office/drawing/2010/main" val="0"/>
                      </a:ext>
                    </a:extLst>
                  </a:blip>
                  <a:stretch>
                    <a:fillRect/>
                  </a:stretch>
                </pic:blipFill>
                <pic:spPr>
                  <a:xfrm>
                    <a:off x="0" y="0"/>
                    <a:ext cx="1327150" cy="355600"/>
                  </a:xfrm>
                  <a:prstGeom prst="rect">
                    <a:avLst/>
                  </a:prstGeom>
                </pic:spPr>
              </pic:pic>
            </a:graphicData>
          </a:graphic>
        </wp:anchor>
      </w:drawing>
    </w:r>
    <w:r>
      <w:rPr>
        <w:rFonts w:hint="eastAsia" w:eastAsiaTheme="minorEastAsia"/>
        <w:lang w:eastAsia="zh-CN"/>
      </w:rPr>
      <w:drawing>
        <wp:anchor distT="0" distB="0" distL="114300" distR="114300" simplePos="0" relativeHeight="251661312" behindDoc="0" locked="0" layoutInCell="1" allowOverlap="1">
          <wp:simplePos x="0" y="0"/>
          <wp:positionH relativeFrom="column">
            <wp:posOffset>-1163955</wp:posOffset>
          </wp:positionH>
          <wp:positionV relativeFrom="paragraph">
            <wp:posOffset>-539750</wp:posOffset>
          </wp:positionV>
          <wp:extent cx="7577455" cy="1724025"/>
          <wp:effectExtent l="0" t="0" r="4445" b="9525"/>
          <wp:wrapNone/>
          <wp:docPr id="5" name="图片 5" descr="C:\Users\shanjin\Desktop\6.jpg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5" descr="C:\Users\shanjin\Desktop\6.jpg6"/>
                  <pic:cNvPicPr>
                    <a:picLocks noChangeAspect="1"/>
                  </pic:cNvPicPr>
                </pic:nvPicPr>
                <pic:blipFill>
                  <a:blip r:embed="rId3"/>
                  <a:srcRect/>
                  <a:stretch>
                    <a:fillRect/>
                  </a:stretch>
                </pic:blipFill>
                <pic:spPr>
                  <a:xfrm>
                    <a:off x="0" y="0"/>
                    <a:ext cx="7577455" cy="1724025"/>
                  </a:xfrm>
                  <a:prstGeom prst="rect">
                    <a:avLst/>
                  </a:prstGeom>
                </pic:spPr>
              </pic:pic>
            </a:graphicData>
          </a:graphic>
        </wp:anchor>
      </w:drawing>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8"/>
      <w:keepNext w:val="0"/>
      <w:keepLines w:val="0"/>
      <w:widowControl/>
      <w:suppressLineNumbers w:val="0"/>
    </w:pPr>
    <w:r>
      <w:drawing>
        <wp:anchor distT="0" distB="0" distL="114300" distR="114300" simplePos="0" relativeHeight="251666432" behindDoc="0" locked="0" layoutInCell="1" allowOverlap="1">
          <wp:simplePos x="0" y="0"/>
          <wp:positionH relativeFrom="column">
            <wp:posOffset>-1145540</wp:posOffset>
          </wp:positionH>
          <wp:positionV relativeFrom="paragraph">
            <wp:posOffset>-527050</wp:posOffset>
          </wp:positionV>
          <wp:extent cx="7581265" cy="648970"/>
          <wp:effectExtent l="0" t="0" r="635" b="17780"/>
          <wp:wrapNone/>
          <wp:docPr id="12" name="图片 4"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图片 4" descr="IMG_256"/>
                  <pic:cNvPicPr>
                    <a:picLocks noChangeAspect="1"/>
                  </pic:cNvPicPr>
                </pic:nvPicPr>
                <pic:blipFill>
                  <a:blip r:embed="rId1"/>
                  <a:stretch>
                    <a:fillRect/>
                  </a:stretch>
                </pic:blipFill>
                <pic:spPr>
                  <a:xfrm>
                    <a:off x="0" y="0"/>
                    <a:ext cx="7581265" cy="648970"/>
                  </a:xfrm>
                  <a:prstGeom prst="rect">
                    <a:avLst/>
                  </a:prstGeom>
                  <a:noFill/>
                  <a:ln w="9525">
                    <a:noFill/>
                  </a:ln>
                </pic:spPr>
              </pic:pic>
            </a:graphicData>
          </a:graphic>
        </wp:anchor>
      </w:drawing>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EC050AA5"/>
    <w:multiLevelType w:val="singleLevel"/>
    <w:tmpl w:val="EC050AA5"/>
    <w:lvl w:ilvl="0" w:tentative="0">
      <w:start w:val="1"/>
      <w:numFmt w:val="decimal"/>
      <w:lvlText w:val="%1."/>
      <w:lvlJc w:val="left"/>
      <w:pPr>
        <w:tabs>
          <w:tab w:val="left" w:pos="312"/>
        </w:tabs>
      </w:pPr>
    </w:lvl>
  </w:abstractNum>
  <w:abstractNum w:abstractNumId="1">
    <w:nsid w:val="393406C6"/>
    <w:multiLevelType w:val="singleLevel"/>
    <w:tmpl w:val="393406C6"/>
    <w:lvl w:ilvl="0" w:tentative="0">
      <w:start w:val="1"/>
      <w:numFmt w:val="decimal"/>
      <w:suff w:val="nothing"/>
      <w:lvlText w:val="%1）"/>
      <w:lvlJc w:val="left"/>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doNotUseIndentAsNumberingTabStop/>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76FB6DD0"/>
    <w:rsid w:val="009224D0"/>
    <w:rsid w:val="011C07DF"/>
    <w:rsid w:val="01376E0A"/>
    <w:rsid w:val="014B38AD"/>
    <w:rsid w:val="01D3250C"/>
    <w:rsid w:val="01FB23CB"/>
    <w:rsid w:val="020E6655"/>
    <w:rsid w:val="02285570"/>
    <w:rsid w:val="02B844DC"/>
    <w:rsid w:val="02E845D2"/>
    <w:rsid w:val="03AE0B18"/>
    <w:rsid w:val="03B1713F"/>
    <w:rsid w:val="03FA7913"/>
    <w:rsid w:val="04472A79"/>
    <w:rsid w:val="04563557"/>
    <w:rsid w:val="04926F71"/>
    <w:rsid w:val="055943D7"/>
    <w:rsid w:val="05BA78F4"/>
    <w:rsid w:val="068715C6"/>
    <w:rsid w:val="06DA5222"/>
    <w:rsid w:val="07170028"/>
    <w:rsid w:val="076654CA"/>
    <w:rsid w:val="076F4158"/>
    <w:rsid w:val="078B23B3"/>
    <w:rsid w:val="07EC0D95"/>
    <w:rsid w:val="07F91018"/>
    <w:rsid w:val="08246A68"/>
    <w:rsid w:val="089A1F2A"/>
    <w:rsid w:val="08B84D5E"/>
    <w:rsid w:val="08F66DC1"/>
    <w:rsid w:val="08FA50E4"/>
    <w:rsid w:val="09A45050"/>
    <w:rsid w:val="0A3D4AA2"/>
    <w:rsid w:val="0B320637"/>
    <w:rsid w:val="0BB56CC5"/>
    <w:rsid w:val="0C311C32"/>
    <w:rsid w:val="0C892520"/>
    <w:rsid w:val="0CE62A84"/>
    <w:rsid w:val="0CEB6D41"/>
    <w:rsid w:val="0CF5184F"/>
    <w:rsid w:val="0DEE1A67"/>
    <w:rsid w:val="0E560192"/>
    <w:rsid w:val="0EF64818"/>
    <w:rsid w:val="0EFA0CA0"/>
    <w:rsid w:val="0F5229B3"/>
    <w:rsid w:val="0F9603CF"/>
    <w:rsid w:val="104D284B"/>
    <w:rsid w:val="10AC0666"/>
    <w:rsid w:val="10E478C7"/>
    <w:rsid w:val="11C90E3E"/>
    <w:rsid w:val="11D11EAA"/>
    <w:rsid w:val="12F7022B"/>
    <w:rsid w:val="14162C01"/>
    <w:rsid w:val="1425541A"/>
    <w:rsid w:val="146F139B"/>
    <w:rsid w:val="14D84158"/>
    <w:rsid w:val="158E1C28"/>
    <w:rsid w:val="15F42192"/>
    <w:rsid w:val="16265E64"/>
    <w:rsid w:val="16810FC2"/>
    <w:rsid w:val="16BB47BE"/>
    <w:rsid w:val="16F7073B"/>
    <w:rsid w:val="177B0D14"/>
    <w:rsid w:val="180B0603"/>
    <w:rsid w:val="18B505AB"/>
    <w:rsid w:val="18DA39CC"/>
    <w:rsid w:val="1931001B"/>
    <w:rsid w:val="19421580"/>
    <w:rsid w:val="194E33D7"/>
    <w:rsid w:val="19524ED3"/>
    <w:rsid w:val="1A1C7FE3"/>
    <w:rsid w:val="1A387913"/>
    <w:rsid w:val="1AA9696A"/>
    <w:rsid w:val="1AAC404F"/>
    <w:rsid w:val="1B4D19DA"/>
    <w:rsid w:val="1BD31C64"/>
    <w:rsid w:val="1BE268B4"/>
    <w:rsid w:val="1C142703"/>
    <w:rsid w:val="1C1D0A2D"/>
    <w:rsid w:val="1C3071CC"/>
    <w:rsid w:val="1C4221D7"/>
    <w:rsid w:val="1C46636E"/>
    <w:rsid w:val="1C951971"/>
    <w:rsid w:val="1CD65239"/>
    <w:rsid w:val="1CDD1F34"/>
    <w:rsid w:val="1D8C3120"/>
    <w:rsid w:val="1DAB4D3C"/>
    <w:rsid w:val="1E4A6151"/>
    <w:rsid w:val="1E827C5E"/>
    <w:rsid w:val="1E8F29CA"/>
    <w:rsid w:val="1EA47481"/>
    <w:rsid w:val="1EA731C1"/>
    <w:rsid w:val="1EBB33A8"/>
    <w:rsid w:val="1EE81A90"/>
    <w:rsid w:val="1F16618C"/>
    <w:rsid w:val="1F4D55DB"/>
    <w:rsid w:val="1FD00E3E"/>
    <w:rsid w:val="2008261D"/>
    <w:rsid w:val="204F5EB9"/>
    <w:rsid w:val="21026F8C"/>
    <w:rsid w:val="216C6661"/>
    <w:rsid w:val="21AE5DF5"/>
    <w:rsid w:val="22233C11"/>
    <w:rsid w:val="22464811"/>
    <w:rsid w:val="22802B82"/>
    <w:rsid w:val="22AE5D73"/>
    <w:rsid w:val="22FF3710"/>
    <w:rsid w:val="23102595"/>
    <w:rsid w:val="23A94D12"/>
    <w:rsid w:val="23D01397"/>
    <w:rsid w:val="24F133E8"/>
    <w:rsid w:val="25011E21"/>
    <w:rsid w:val="25040446"/>
    <w:rsid w:val="25626261"/>
    <w:rsid w:val="25766E41"/>
    <w:rsid w:val="25B5026A"/>
    <w:rsid w:val="25E93F44"/>
    <w:rsid w:val="26261822"/>
    <w:rsid w:val="26315635"/>
    <w:rsid w:val="263578BE"/>
    <w:rsid w:val="26423351"/>
    <w:rsid w:val="269456DA"/>
    <w:rsid w:val="271635D9"/>
    <w:rsid w:val="284B6FA9"/>
    <w:rsid w:val="28C30DF5"/>
    <w:rsid w:val="29D25B2C"/>
    <w:rsid w:val="2A0240FC"/>
    <w:rsid w:val="2A105610"/>
    <w:rsid w:val="2A113092"/>
    <w:rsid w:val="2A3967D5"/>
    <w:rsid w:val="2A3B3FD2"/>
    <w:rsid w:val="2A694DA5"/>
    <w:rsid w:val="2A881DD7"/>
    <w:rsid w:val="2A9C2748"/>
    <w:rsid w:val="2AA7405D"/>
    <w:rsid w:val="2AAB580F"/>
    <w:rsid w:val="2AB73A3B"/>
    <w:rsid w:val="2ACE366B"/>
    <w:rsid w:val="2B1B7691"/>
    <w:rsid w:val="2B6C2049"/>
    <w:rsid w:val="2B8F1148"/>
    <w:rsid w:val="2C36322C"/>
    <w:rsid w:val="2CA91A51"/>
    <w:rsid w:val="2D3A4BC3"/>
    <w:rsid w:val="2D417641"/>
    <w:rsid w:val="2D665687"/>
    <w:rsid w:val="2DEA692F"/>
    <w:rsid w:val="2EB156AA"/>
    <w:rsid w:val="2EB909CC"/>
    <w:rsid w:val="2F475B9D"/>
    <w:rsid w:val="2F60131B"/>
    <w:rsid w:val="2F721689"/>
    <w:rsid w:val="2FBE69E5"/>
    <w:rsid w:val="2FFF7872"/>
    <w:rsid w:val="30153FEF"/>
    <w:rsid w:val="3091214E"/>
    <w:rsid w:val="30E74BC1"/>
    <w:rsid w:val="30F77AE2"/>
    <w:rsid w:val="31203039"/>
    <w:rsid w:val="317E6AC1"/>
    <w:rsid w:val="31DC6E5B"/>
    <w:rsid w:val="32167F39"/>
    <w:rsid w:val="322040CC"/>
    <w:rsid w:val="325B51AB"/>
    <w:rsid w:val="328F68FE"/>
    <w:rsid w:val="32C75B5F"/>
    <w:rsid w:val="32D14A30"/>
    <w:rsid w:val="33BE6FF0"/>
    <w:rsid w:val="33D939C5"/>
    <w:rsid w:val="341A770A"/>
    <w:rsid w:val="34EF2BE5"/>
    <w:rsid w:val="35594813"/>
    <w:rsid w:val="35611C20"/>
    <w:rsid w:val="35653A1F"/>
    <w:rsid w:val="363E0AEB"/>
    <w:rsid w:val="36684558"/>
    <w:rsid w:val="36C23F5A"/>
    <w:rsid w:val="373331A0"/>
    <w:rsid w:val="37347782"/>
    <w:rsid w:val="37537E51"/>
    <w:rsid w:val="3790555D"/>
    <w:rsid w:val="37CD4298"/>
    <w:rsid w:val="382736AC"/>
    <w:rsid w:val="38390ED6"/>
    <w:rsid w:val="39E44101"/>
    <w:rsid w:val="39E8110F"/>
    <w:rsid w:val="3A0642E1"/>
    <w:rsid w:val="3A3655EE"/>
    <w:rsid w:val="3A3F3BB8"/>
    <w:rsid w:val="3A8F14ED"/>
    <w:rsid w:val="3A9A0F33"/>
    <w:rsid w:val="3AA27591"/>
    <w:rsid w:val="3AD60153"/>
    <w:rsid w:val="3B021807"/>
    <w:rsid w:val="3B5073DC"/>
    <w:rsid w:val="3B9777D7"/>
    <w:rsid w:val="3BF00020"/>
    <w:rsid w:val="3C027200"/>
    <w:rsid w:val="3CB3794A"/>
    <w:rsid w:val="3CCF5D67"/>
    <w:rsid w:val="3D7D4571"/>
    <w:rsid w:val="3DA75332"/>
    <w:rsid w:val="3DAE273F"/>
    <w:rsid w:val="3E143B9F"/>
    <w:rsid w:val="3E390124"/>
    <w:rsid w:val="3E772188"/>
    <w:rsid w:val="3EA34D97"/>
    <w:rsid w:val="3EC44618"/>
    <w:rsid w:val="3EF178D3"/>
    <w:rsid w:val="3EF72A60"/>
    <w:rsid w:val="3F2E1791"/>
    <w:rsid w:val="3FBC4A1D"/>
    <w:rsid w:val="3FC6532D"/>
    <w:rsid w:val="40FA572A"/>
    <w:rsid w:val="411D49E5"/>
    <w:rsid w:val="414733A4"/>
    <w:rsid w:val="41C52874"/>
    <w:rsid w:val="422823E1"/>
    <w:rsid w:val="42582251"/>
    <w:rsid w:val="4259696B"/>
    <w:rsid w:val="42677E7F"/>
    <w:rsid w:val="42A9416B"/>
    <w:rsid w:val="433F6E2A"/>
    <w:rsid w:val="43C348B8"/>
    <w:rsid w:val="43D97A72"/>
    <w:rsid w:val="445B15B3"/>
    <w:rsid w:val="45520847"/>
    <w:rsid w:val="456C2B53"/>
    <w:rsid w:val="45AE6FD9"/>
    <w:rsid w:val="46136706"/>
    <w:rsid w:val="46CE1038"/>
    <w:rsid w:val="46ED18ED"/>
    <w:rsid w:val="46F41277"/>
    <w:rsid w:val="471E4089"/>
    <w:rsid w:val="47A9421E"/>
    <w:rsid w:val="47FC5EDB"/>
    <w:rsid w:val="4857563B"/>
    <w:rsid w:val="48DC2BCE"/>
    <w:rsid w:val="49333D25"/>
    <w:rsid w:val="49CA551D"/>
    <w:rsid w:val="4A0E090A"/>
    <w:rsid w:val="4A6F52E6"/>
    <w:rsid w:val="4B6B0F6B"/>
    <w:rsid w:val="4C00513D"/>
    <w:rsid w:val="4C012BBE"/>
    <w:rsid w:val="4C62195E"/>
    <w:rsid w:val="4CE27EB0"/>
    <w:rsid w:val="4D264517"/>
    <w:rsid w:val="4D53613E"/>
    <w:rsid w:val="4D742AA0"/>
    <w:rsid w:val="4DCA5C07"/>
    <w:rsid w:val="4E4901F2"/>
    <w:rsid w:val="4E912B4B"/>
    <w:rsid w:val="4EBF723F"/>
    <w:rsid w:val="4F527833"/>
    <w:rsid w:val="4F5819BC"/>
    <w:rsid w:val="4F5F5AC3"/>
    <w:rsid w:val="4F801AC7"/>
    <w:rsid w:val="4F94051C"/>
    <w:rsid w:val="4FC7696F"/>
    <w:rsid w:val="4FE21920"/>
    <w:rsid w:val="508E2A97"/>
    <w:rsid w:val="50A15F2C"/>
    <w:rsid w:val="50A41776"/>
    <w:rsid w:val="50E43632"/>
    <w:rsid w:val="510D2307"/>
    <w:rsid w:val="51BA49DE"/>
    <w:rsid w:val="51D57224"/>
    <w:rsid w:val="533D5E1F"/>
    <w:rsid w:val="53832D10"/>
    <w:rsid w:val="543D59C1"/>
    <w:rsid w:val="54743F7A"/>
    <w:rsid w:val="54BC3236"/>
    <w:rsid w:val="54E95ADA"/>
    <w:rsid w:val="5543746D"/>
    <w:rsid w:val="556F7038"/>
    <w:rsid w:val="557D1BD1"/>
    <w:rsid w:val="559B337F"/>
    <w:rsid w:val="55B464A8"/>
    <w:rsid w:val="55FB6C1C"/>
    <w:rsid w:val="561372FE"/>
    <w:rsid w:val="568A5206"/>
    <w:rsid w:val="57A25CD3"/>
    <w:rsid w:val="57E219C3"/>
    <w:rsid w:val="5999038C"/>
    <w:rsid w:val="5A650D5A"/>
    <w:rsid w:val="5AC32B55"/>
    <w:rsid w:val="5AD03C8C"/>
    <w:rsid w:val="5B455E49"/>
    <w:rsid w:val="5B4D6AD9"/>
    <w:rsid w:val="5B767C9D"/>
    <w:rsid w:val="5C016804"/>
    <w:rsid w:val="5C0C4893"/>
    <w:rsid w:val="5C4E7327"/>
    <w:rsid w:val="5C660FA0"/>
    <w:rsid w:val="5C845394"/>
    <w:rsid w:val="5C8964F1"/>
    <w:rsid w:val="5D9C143B"/>
    <w:rsid w:val="5DBF7DEC"/>
    <w:rsid w:val="5DE05E36"/>
    <w:rsid w:val="5E056DEE"/>
    <w:rsid w:val="5E4E70C6"/>
    <w:rsid w:val="5EA0144F"/>
    <w:rsid w:val="5F0B0AFE"/>
    <w:rsid w:val="5F275E09"/>
    <w:rsid w:val="5F4C5CE4"/>
    <w:rsid w:val="5F7C677D"/>
    <w:rsid w:val="5FFF488E"/>
    <w:rsid w:val="603A11F0"/>
    <w:rsid w:val="603D05FD"/>
    <w:rsid w:val="60A7051F"/>
    <w:rsid w:val="61192212"/>
    <w:rsid w:val="612F717E"/>
    <w:rsid w:val="61502F36"/>
    <w:rsid w:val="618A1E17"/>
    <w:rsid w:val="61C52EF5"/>
    <w:rsid w:val="61C96C3E"/>
    <w:rsid w:val="625414DF"/>
    <w:rsid w:val="62561C5C"/>
    <w:rsid w:val="62911E79"/>
    <w:rsid w:val="63065CD5"/>
    <w:rsid w:val="63164E21"/>
    <w:rsid w:val="637451BA"/>
    <w:rsid w:val="642F7AEC"/>
    <w:rsid w:val="643903FB"/>
    <w:rsid w:val="64C55A61"/>
    <w:rsid w:val="64CD2E6D"/>
    <w:rsid w:val="64D477DD"/>
    <w:rsid w:val="65035C77"/>
    <w:rsid w:val="6598383A"/>
    <w:rsid w:val="65E329B5"/>
    <w:rsid w:val="66042274"/>
    <w:rsid w:val="669E696B"/>
    <w:rsid w:val="66AD6467"/>
    <w:rsid w:val="6715689C"/>
    <w:rsid w:val="674A6A84"/>
    <w:rsid w:val="67546578"/>
    <w:rsid w:val="676F1242"/>
    <w:rsid w:val="678655E4"/>
    <w:rsid w:val="67B875AC"/>
    <w:rsid w:val="67BE1A0B"/>
    <w:rsid w:val="680A772B"/>
    <w:rsid w:val="6934718B"/>
    <w:rsid w:val="69A668E3"/>
    <w:rsid w:val="69D673B7"/>
    <w:rsid w:val="6A5034F9"/>
    <w:rsid w:val="6A7259FE"/>
    <w:rsid w:val="6AA66486"/>
    <w:rsid w:val="6AB22052"/>
    <w:rsid w:val="6AD92158"/>
    <w:rsid w:val="6B131038"/>
    <w:rsid w:val="6BA375FD"/>
    <w:rsid w:val="6BC0083E"/>
    <w:rsid w:val="6C327292"/>
    <w:rsid w:val="6C5E35D9"/>
    <w:rsid w:val="6C770900"/>
    <w:rsid w:val="6CFE0101"/>
    <w:rsid w:val="6DBA64BB"/>
    <w:rsid w:val="6DD30BBC"/>
    <w:rsid w:val="6DDB184C"/>
    <w:rsid w:val="6E817651"/>
    <w:rsid w:val="6EA57A35"/>
    <w:rsid w:val="6ECF42D7"/>
    <w:rsid w:val="6EEC7A6B"/>
    <w:rsid w:val="6F1C6B95"/>
    <w:rsid w:val="6F6B6EC0"/>
    <w:rsid w:val="6F747076"/>
    <w:rsid w:val="6FA27059"/>
    <w:rsid w:val="70560610"/>
    <w:rsid w:val="70A367DC"/>
    <w:rsid w:val="70F33FDC"/>
    <w:rsid w:val="716A5681"/>
    <w:rsid w:val="719A15C0"/>
    <w:rsid w:val="71A90288"/>
    <w:rsid w:val="71BB4DD7"/>
    <w:rsid w:val="71CD1741"/>
    <w:rsid w:val="71D2144C"/>
    <w:rsid w:val="720A7DED"/>
    <w:rsid w:val="72BB2DE9"/>
    <w:rsid w:val="7383558F"/>
    <w:rsid w:val="73C43DFB"/>
    <w:rsid w:val="73F45294"/>
    <w:rsid w:val="7474619D"/>
    <w:rsid w:val="74932401"/>
    <w:rsid w:val="74B41184"/>
    <w:rsid w:val="74EF06D7"/>
    <w:rsid w:val="75157FB5"/>
    <w:rsid w:val="75403F6C"/>
    <w:rsid w:val="75C70DD8"/>
    <w:rsid w:val="76BC3479"/>
    <w:rsid w:val="76FB6DD0"/>
    <w:rsid w:val="78540376"/>
    <w:rsid w:val="789214E0"/>
    <w:rsid w:val="78BC2324"/>
    <w:rsid w:val="78EC17AD"/>
    <w:rsid w:val="79351615"/>
    <w:rsid w:val="79577FFA"/>
    <w:rsid w:val="796171F2"/>
    <w:rsid w:val="79626335"/>
    <w:rsid w:val="79840EF6"/>
    <w:rsid w:val="79FF741A"/>
    <w:rsid w:val="7AA51E44"/>
    <w:rsid w:val="7AA678C6"/>
    <w:rsid w:val="7B18614D"/>
    <w:rsid w:val="7B611298"/>
    <w:rsid w:val="7B8F7843"/>
    <w:rsid w:val="7BAF5A0A"/>
    <w:rsid w:val="7BBB7AF7"/>
    <w:rsid w:val="7BE94A5A"/>
    <w:rsid w:val="7C0B37AE"/>
    <w:rsid w:val="7C1B32EA"/>
    <w:rsid w:val="7C8F493C"/>
    <w:rsid w:val="7CAC1AA7"/>
    <w:rsid w:val="7CAE2219"/>
    <w:rsid w:val="7CED202F"/>
    <w:rsid w:val="7D7B3DA7"/>
    <w:rsid w:val="7D813877"/>
    <w:rsid w:val="7E380E55"/>
    <w:rsid w:val="7E437985"/>
    <w:rsid w:val="7EBE547D"/>
    <w:rsid w:val="7F2E0FB4"/>
    <w:rsid w:val="7FD52A46"/>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fillcolor="#FFFFFF" fill="t" stroke="t">
      <v:fill on="t" focussize="0,0"/>
      <v:stroke color="#000000"/>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qFormat="1" w:uiPriority="39" w:semiHidden="0" w:name="toc 1"/>
    <w:lsdException w:qFormat="1" w:uiPriority="39"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qFormat="1" w:unhideWhenUsed="0" w:uiPriority="0" w:semiHidden="0" w:name="header"/>
    <w:lsdException w:qFormat="1"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qFormat="1" w:uiPriority="99"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qFormat="1"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paragraph" w:styleId="2">
    <w:name w:val="heading 1"/>
    <w:basedOn w:val="1"/>
    <w:next w:val="1"/>
    <w:qFormat/>
    <w:uiPriority w:val="9"/>
    <w:pPr>
      <w:keepNext/>
      <w:keepLines/>
      <w:widowControl/>
      <w:spacing w:before="340" w:after="330" w:line="578" w:lineRule="atLeast"/>
      <w:jc w:val="left"/>
      <w:outlineLvl w:val="0"/>
    </w:pPr>
    <w:rPr>
      <w:b/>
      <w:bCs/>
      <w:kern w:val="44"/>
      <w:sz w:val="44"/>
      <w:szCs w:val="44"/>
    </w:rPr>
  </w:style>
  <w:style w:type="character" w:default="1" w:styleId="11">
    <w:name w:val="Default Paragraph Font"/>
    <w:semiHidden/>
    <w:qFormat/>
    <w:uiPriority w:val="0"/>
  </w:style>
  <w:style w:type="table" w:default="1" w:styleId="9">
    <w:name w:val="Normal Table"/>
    <w:semiHidden/>
    <w:qFormat/>
    <w:uiPriority w:val="0"/>
    <w:tblPr>
      <w:tblCellMar>
        <w:top w:w="0" w:type="dxa"/>
        <w:left w:w="108" w:type="dxa"/>
        <w:bottom w:w="0" w:type="dxa"/>
        <w:right w:w="108" w:type="dxa"/>
      </w:tblCellMar>
    </w:tblPr>
  </w:style>
  <w:style w:type="paragraph" w:styleId="3">
    <w:name w:val="caption"/>
    <w:basedOn w:val="1"/>
    <w:next w:val="1"/>
    <w:semiHidden/>
    <w:unhideWhenUsed/>
    <w:qFormat/>
    <w:uiPriority w:val="0"/>
    <w:rPr>
      <w:rFonts w:ascii="Arial" w:hAnsi="Arial" w:eastAsia="黑体"/>
      <w:sz w:val="20"/>
    </w:rPr>
  </w:style>
  <w:style w:type="paragraph" w:styleId="4">
    <w:name w:val="footer"/>
    <w:basedOn w:val="1"/>
    <w:qFormat/>
    <w:uiPriority w:val="0"/>
    <w:pPr>
      <w:tabs>
        <w:tab w:val="center" w:pos="4153"/>
        <w:tab w:val="right" w:pos="8306"/>
      </w:tabs>
      <w:snapToGrid w:val="0"/>
      <w:jc w:val="left"/>
    </w:pPr>
    <w:rPr>
      <w:sz w:val="18"/>
    </w:rPr>
  </w:style>
  <w:style w:type="paragraph" w:styleId="5">
    <w:name w:val="header"/>
    <w:basedOn w:val="1"/>
    <w:qFormat/>
    <w:uiPriority w:val="0"/>
    <w:pPr>
      <w:pBdr>
        <w:top w:val="none" w:color="auto" w:sz="0" w:space="1"/>
        <w:left w:val="none" w:color="auto" w:sz="0" w:space="4"/>
        <w:bottom w:val="none" w:color="auto" w:sz="0" w:space="1"/>
        <w:right w:val="none" w:color="auto" w:sz="0" w:space="4"/>
      </w:pBdr>
      <w:tabs>
        <w:tab w:val="center" w:pos="4153"/>
        <w:tab w:val="right" w:pos="8306"/>
      </w:tabs>
      <w:snapToGrid w:val="0"/>
      <w:spacing w:line="240" w:lineRule="auto"/>
      <w:jc w:val="both"/>
      <w:outlineLvl w:val="9"/>
    </w:pPr>
    <w:rPr>
      <w:sz w:val="18"/>
    </w:rPr>
  </w:style>
  <w:style w:type="paragraph" w:styleId="6">
    <w:name w:val="toc 1"/>
    <w:basedOn w:val="1"/>
    <w:next w:val="1"/>
    <w:unhideWhenUsed/>
    <w:qFormat/>
    <w:uiPriority w:val="39"/>
    <w:pPr>
      <w:tabs>
        <w:tab w:val="right" w:leader="dot" w:pos="10456"/>
      </w:tabs>
      <w:spacing w:line="480" w:lineRule="auto"/>
    </w:pPr>
    <w:rPr>
      <w:rFonts w:ascii="楷体" w:hAnsi="楷体" w:eastAsia="楷体"/>
      <w:b/>
      <w:bCs/>
      <w:sz w:val="24"/>
      <w:szCs w:val="28"/>
      <w:lang w:val="zh-CN"/>
    </w:rPr>
  </w:style>
  <w:style w:type="paragraph" w:styleId="7">
    <w:name w:val="toc 2"/>
    <w:basedOn w:val="1"/>
    <w:next w:val="1"/>
    <w:unhideWhenUsed/>
    <w:qFormat/>
    <w:uiPriority w:val="39"/>
    <w:pPr>
      <w:ind w:left="420" w:leftChars="200"/>
    </w:pPr>
  </w:style>
  <w:style w:type="paragraph" w:styleId="8">
    <w:name w:val="Normal (Web)"/>
    <w:basedOn w:val="1"/>
    <w:qFormat/>
    <w:uiPriority w:val="0"/>
    <w:pPr>
      <w:spacing w:before="0" w:beforeAutospacing="1" w:after="0" w:afterAutospacing="1"/>
      <w:ind w:left="0" w:right="0"/>
      <w:jc w:val="left"/>
    </w:pPr>
    <w:rPr>
      <w:kern w:val="0"/>
      <w:sz w:val="24"/>
      <w:lang w:val="en-US" w:eastAsia="zh-CN" w:bidi="ar"/>
    </w:rPr>
  </w:style>
  <w:style w:type="table" w:styleId="10">
    <w:name w:val="Table Grid"/>
    <w:basedOn w:val="9"/>
    <w:qFormat/>
    <w:uiPriority w:val="0"/>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12">
    <w:name w:val="Hyperlink"/>
    <w:basedOn w:val="11"/>
    <w:unhideWhenUsed/>
    <w:qFormat/>
    <w:uiPriority w:val="99"/>
    <w:rPr>
      <w:color w:val="0000FF"/>
      <w:u w:val="single"/>
    </w:rPr>
  </w:style>
</w:styles>
</file>

<file path=word/_rels/document.xml.rels><?xml version="1.0" encoding="UTF-8" standalone="yes"?>
<Relationships xmlns="http://schemas.openxmlformats.org/package/2006/relationships"><Relationship Id="rId9" Type="http://schemas.openxmlformats.org/officeDocument/2006/relationships/image" Target="media/image7.png"/><Relationship Id="rId8" Type="http://schemas.openxmlformats.org/officeDocument/2006/relationships/image" Target="media/image6.png"/><Relationship Id="rId7" Type="http://schemas.openxmlformats.org/officeDocument/2006/relationships/image" Target="media/image5.png"/><Relationship Id="rId6" Type="http://schemas.openxmlformats.org/officeDocument/2006/relationships/theme" Target="theme/theme1.xml"/><Relationship Id="rId5" Type="http://schemas.openxmlformats.org/officeDocument/2006/relationships/header" Target="header2.xml"/><Relationship Id="rId4" Type="http://schemas.openxmlformats.org/officeDocument/2006/relationships/footer" Target="footer1.xml"/><Relationship Id="rId3" Type="http://schemas.openxmlformats.org/officeDocument/2006/relationships/header" Target="header1.xml"/><Relationship Id="rId2" Type="http://schemas.openxmlformats.org/officeDocument/2006/relationships/settings" Target="settings.xml"/><Relationship Id="rId13" Type="http://schemas.openxmlformats.org/officeDocument/2006/relationships/fontTable" Target="fontTable.xml"/><Relationship Id="rId12" Type="http://schemas.openxmlformats.org/officeDocument/2006/relationships/numbering" Target="numbering.xml"/><Relationship Id="rId11" Type="http://schemas.openxmlformats.org/officeDocument/2006/relationships/customXml" Target="../customXml/item1.xml"/><Relationship Id="rId10" Type="http://schemas.openxmlformats.org/officeDocument/2006/relationships/image" Target="media/image8.png"/><Relationship Id="rId1" Type="http://schemas.openxmlformats.org/officeDocument/2006/relationships/styles" Target="styles.xml"/></Relationships>
</file>

<file path=word/_rels/header1.xml.rels><?xml version="1.0" encoding="UTF-8" standalone="yes"?>
<Relationships xmlns="http://schemas.openxmlformats.org/package/2006/relationships"><Relationship Id="rId3" Type="http://schemas.openxmlformats.org/officeDocument/2006/relationships/image" Target="media/image3.jpeg"/><Relationship Id="rId2" Type="http://schemas.microsoft.com/office/2007/relationships/hdphoto" Target="media/image2.wdp"/><Relationship Id="rId1" Type="http://schemas.openxmlformats.org/officeDocument/2006/relationships/image" Target="media/image1.png"/></Relationships>
</file>

<file path=word/_rels/header2.xml.rels><?xml version="1.0" encoding="UTF-8" standalone="yes"?>
<Relationships xmlns="http://schemas.openxmlformats.org/package/2006/relationships"><Relationship Id="rId1" Type="http://schemas.openxmlformats.org/officeDocument/2006/relationships/image" Target="media/image4.jpe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Pages>6</Pages>
  <Words>3588</Words>
  <Characters>3627</Characters>
  <Lines>0</Lines>
  <Paragraphs>0</Paragraphs>
  <TotalTime>24</TotalTime>
  <ScaleCrop>false</ScaleCrop>
  <LinksUpToDate>false</LinksUpToDate>
  <CharactersWithSpaces>3628</CharactersWithSpaces>
  <Application>WPS Office_11.8.6.11825_F1E327BC-269C-435d-A152-05C5408002CA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2025-02-21T07:08:00Z</dcterms:created>
  <dc:creator>shanjin</dc:creator>
  <cp:lastModifiedBy>曹有明</cp:lastModifiedBy>
  <dcterms:modified xsi:type="dcterms:W3CDTF">2026-03-25T03:38:59Z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2052-11.8.6.11825</vt:lpwstr>
  </property>
  <property fmtid="{D5CDD505-2E9C-101B-9397-08002B2CF9AE}" pid="3" name="ICV">
    <vt:lpwstr>838459D330D042CCA2F2BE8A354C7D1D</vt:lpwstr>
  </property>
</Properties>
</file>