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713C08"/>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2336" behindDoc="1" locked="0" layoutInCell="1" allowOverlap="1">
                <wp:simplePos x="0" y="0"/>
                <wp:positionH relativeFrom="column">
                  <wp:posOffset>-975360</wp:posOffset>
                </wp:positionH>
                <wp:positionV relativeFrom="paragraph">
                  <wp:posOffset>-428625</wp:posOffset>
                </wp:positionV>
                <wp:extent cx="5386705" cy="741680"/>
                <wp:effectExtent l="0" t="0" r="0" b="1270"/>
                <wp:wrapNone/>
                <wp:docPr id="8" name="文本框 8"/>
                <wp:cNvGraphicFramePr/>
                <a:graphic xmlns:a="http://schemas.openxmlformats.org/drawingml/2006/main">
                  <a:graphicData uri="http://schemas.microsoft.com/office/word/2010/wordprocessingShape">
                    <wps:wsp>
                      <wps:cNvSpPr txBox="1"/>
                      <wps:spPr>
                        <a:xfrm>
                          <a:off x="0" y="0"/>
                          <a:ext cx="5386388" cy="7416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方正小标宋简体" w:hAnsi="方正小标宋简体" w:eastAsia="方正小标宋简体" w:cs="方正小标宋简体"/>
                                <w:b/>
                                <w:bCs/>
                                <w:color w:val="FFFFFF" w:themeColor="background1"/>
                                <w:sz w:val="32"/>
                                <w:szCs w:val="32"/>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pPr>
                            <w:r>
                              <w:rPr>
                                <w:rFonts w:hint="eastAsia" w:ascii="方正小标宋简体" w:hAnsi="方正小标宋简体" w:eastAsia="方正小标宋简体" w:cs="方正小标宋简体"/>
                                <w:b/>
                                <w:bCs/>
                                <w:color w:val="FFFFFF" w:themeColor="background1"/>
                                <w:sz w:val="48"/>
                                <w:szCs w:val="48"/>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金属大跌？</w:t>
                            </w:r>
                            <w:r>
                              <w:rPr>
                                <w:rFonts w:hint="eastAsia" w:ascii="方正小标宋简体" w:hAnsi="方正小标宋简体" w:eastAsia="方正小标宋简体" w:cs="方正小标宋简体"/>
                                <w:b/>
                                <w:bCs/>
                                <w:color w:val="FFFFFF" w:themeColor="background1"/>
                                <w:sz w:val="48"/>
                                <w:szCs w:val="48"/>
                                <w:lang w:val="en-US" w:eastAsia="zh-CN"/>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现在可能才是</w:t>
                            </w:r>
                            <w:r>
                              <w:rPr>
                                <w:rFonts w:hint="eastAsia" w:ascii="方正小标宋简体" w:hAnsi="方正小标宋简体" w:eastAsia="方正小标宋简体" w:cs="方正小标宋简体"/>
                                <w:b/>
                                <w:bCs/>
                                <w:color w:val="FFFFFF" w:themeColor="background1"/>
                                <w:sz w:val="48"/>
                                <w:szCs w:val="48"/>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金三银四</w:t>
                            </w:r>
                          </w:p>
                          <w:p>
                            <w:pPr>
                              <w:ind w:right="1440" w:firstLine="1104" w:firstLineChars="500"/>
                              <w:jc w:val="center"/>
                              <w:rPr>
                                <w:rFonts w:hint="eastAsia" w:ascii="方正小标宋简体" w:hAnsi="方正小标宋简体" w:eastAsia="方正小标宋简体" w:cs="方正小标宋简体"/>
                                <w:b/>
                                <w:bCs/>
                                <w:color w:val="FFFFFF" w:themeColor="background1"/>
                                <w:sz w:val="22"/>
                                <w:szCs w:val="22"/>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8pt;margin-top:-33.75pt;height:58.4pt;width:424.15pt;z-index:-251654144;mso-width-relative:page;mso-height-relative:page;" filled="f" stroked="f" coordsize="21600,21600" o:gfxdata="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muqRb3QAAAAsBAAAPAAAAAAAAAAEAIAAAACIA&#10;AABkcnMvZG93bnJldi54bWxQSwECFAAUAAAACACHTuJAEEEBLj0CAABmBAAADgAAAAAAAAABACAA&#10;AAAsAQAAZHJzL2Uyb0RvYy54bWxQSwUGAAAAAAYABgBZAQAA2wUAAAAA&#10;">
                <v:fill on="f" focussize="0,0"/>
                <v:stroke on="f" weight="0.5pt"/>
                <v:imagedata o:title=""/>
                <o:lock v:ext="edit" aspectratio="f"/>
                <v:textbox>
                  <w:txbxContent>
                    <w:p>
                      <w:pPr>
                        <w:jc w:val="center"/>
                        <w:rPr>
                          <w:rFonts w:hint="eastAsia" w:ascii="方正小标宋简体" w:hAnsi="方正小标宋简体" w:eastAsia="方正小标宋简体" w:cs="方正小标宋简体"/>
                          <w:b/>
                          <w:bCs/>
                          <w:color w:val="FFFFFF" w:themeColor="background1"/>
                          <w:sz w:val="32"/>
                          <w:szCs w:val="32"/>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pPr>
                      <w:r>
                        <w:rPr>
                          <w:rFonts w:hint="eastAsia" w:ascii="方正小标宋简体" w:hAnsi="方正小标宋简体" w:eastAsia="方正小标宋简体" w:cs="方正小标宋简体"/>
                          <w:b/>
                          <w:bCs/>
                          <w:color w:val="FFFFFF" w:themeColor="background1"/>
                          <w:sz w:val="48"/>
                          <w:szCs w:val="48"/>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金属大跌？</w:t>
                      </w:r>
                      <w:r>
                        <w:rPr>
                          <w:rFonts w:hint="eastAsia" w:ascii="方正小标宋简体" w:hAnsi="方正小标宋简体" w:eastAsia="方正小标宋简体" w:cs="方正小标宋简体"/>
                          <w:b/>
                          <w:bCs/>
                          <w:color w:val="FFFFFF" w:themeColor="background1"/>
                          <w:sz w:val="48"/>
                          <w:szCs w:val="48"/>
                          <w:lang w:val="en-US" w:eastAsia="zh-CN"/>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现在可能才是</w:t>
                      </w:r>
                      <w:r>
                        <w:rPr>
                          <w:rFonts w:hint="eastAsia" w:ascii="方正小标宋简体" w:hAnsi="方正小标宋简体" w:eastAsia="方正小标宋简体" w:cs="方正小标宋简体"/>
                          <w:b/>
                          <w:bCs/>
                          <w:color w:val="FFFFFF" w:themeColor="background1"/>
                          <w:sz w:val="48"/>
                          <w:szCs w:val="48"/>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金三银四</w:t>
                      </w:r>
                    </w:p>
                    <w:p>
                      <w:pPr>
                        <w:ind w:right="1440" w:firstLine="1104" w:firstLineChars="500"/>
                        <w:jc w:val="center"/>
                        <w:rPr>
                          <w:rFonts w:hint="eastAsia" w:ascii="方正小标宋简体" w:hAnsi="方正小标宋简体" w:eastAsia="方正小标宋简体" w:cs="方正小标宋简体"/>
                          <w:b/>
                          <w:bCs/>
                          <w:color w:val="FFFFFF" w:themeColor="background1"/>
                          <w:sz w:val="22"/>
                          <w:szCs w:val="22"/>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pPr>
                    </w:p>
                  </w:txbxContent>
                </v:textbox>
              </v:shape>
            </w:pict>
          </mc:Fallback>
        </mc:AlternateContent>
      </w:r>
    </w:p>
    <w:p>
      <w:r>
        <mc:AlternateContent>
          <mc:Choice Requires="wps">
            <w:drawing>
              <wp:anchor distT="0" distB="0" distL="114300" distR="114300" simplePos="0" relativeHeight="251666432" behindDoc="0" locked="0" layoutInCell="1" allowOverlap="1">
                <wp:simplePos x="0" y="0"/>
                <wp:positionH relativeFrom="column">
                  <wp:posOffset>39370</wp:posOffset>
                </wp:positionH>
                <wp:positionV relativeFrom="paragraph">
                  <wp:posOffset>61595</wp:posOffset>
                </wp:positionV>
                <wp:extent cx="3147060" cy="5035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147060" cy="5035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begin"/>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instrText xml:space="preserve">Time \@ "yyyy年M月d日"</w:instrText>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separate"/>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2026年3月20日</w:t>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pt;margin-top:4.85pt;height:39.65pt;width:247.8pt;z-index:251666432;mso-width-relative:page;mso-height-relative:page;" filled="f" stroked="f" coordsize="21600,21600" o:gfxdata="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8oiuzYAAAABgEAAA8AAAAAAAAAAQAgAAAAIgAAAGRycy9k&#10;b3ducmV2LnhtbFBLAQIUABQAAAAIAIdO4kA5EUtIOwIAAGYEAAAOAAAAAAAAAAEAIAAAACcBAABk&#10;cnMvZTJvRG9jLnhtbFBLBQYAAAAABgAGAFkBAADUBQAAAAA=&#10;">
                <v:fill on="f" focussize="0,0"/>
                <v:stroke on="f" weight="0.5pt"/>
                <v:imagedata o:title=""/>
                <o:lock v:ext="edit" aspectratio="f"/>
                <v:textbox>
                  <w:txbxContent>
                    <w:p>
                      <w:pPr>
                        <w:jc w:val="center"/>
                      </w:pP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begin"/>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instrText xml:space="preserve">Time \@ "yyyy年M月d日"</w:instrText>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separate"/>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t>2026年3月20日</w:t>
                      </w:r>
                      <w:r>
                        <w:rPr>
                          <w:rFonts w:hint="eastAsia" w:ascii="方正小标宋简体" w:hAnsi="方正小标宋简体" w:eastAsia="方正小标宋简体" w:cs="方正小标宋简体"/>
                          <w:b/>
                          <w:bCs/>
                          <w:color w:val="FFFFFF" w:themeColor="background1"/>
                          <w:sz w:val="24"/>
                          <w14:shadow w14:blurRad="38100" w14:dist="25400" w14:dir="5400000" w14:sx="100000" w14:sy="100000" w14:kx="0" w14:ky="0" w14:algn="ctr">
                            <w14:srgbClr w14:val="6E747A">
                              <w14:alpha w14:val="57000"/>
                            </w14:srgbClr>
                          </w14:shadow>
                          <w14:textFill>
                            <w14:solidFill>
                              <w14:schemeClr w14:val="bg1"/>
                            </w14:solidFill>
                          </w14:textFill>
                          <w14:props3d w14:extrusionH="0" w14:contourW="0" w14:prstMaterial="clear"/>
                        </w:rPr>
                        <w:fldChar w:fldCharType="end"/>
                      </w:r>
                    </w:p>
                  </w:txbxContent>
                </v:textbox>
              </v:shape>
            </w:pict>
          </mc:Fallback>
        </mc:AlternateContent>
      </w:r>
    </w:p>
    <w:p/>
    <w:p/>
    <w:tbl>
      <w:tblPr>
        <w:tblStyle w:val="9"/>
        <w:tblpPr w:leftFromText="180" w:rightFromText="180" w:vertAnchor="text" w:horzAnchor="margin" w:tblpX="-719" w:tblpY="120"/>
        <w:tblW w:w="133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0"/>
        <w:gridCol w:w="425"/>
        <w:gridCol w:w="5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5" w:hRule="atLeast"/>
        </w:trPr>
        <w:tc>
          <w:tcPr>
            <w:tcW w:w="7230" w:type="dxa"/>
          </w:tcPr>
          <w:p>
            <w:pPr>
              <w:tabs>
                <w:tab w:val="left" w:pos="1778"/>
              </w:tabs>
              <w:jc w:val="left"/>
            </w:pPr>
          </w:p>
          <w:p>
            <w:pPr>
              <w:tabs>
                <w:tab w:val="left" w:pos="1778"/>
              </w:tabs>
              <w:jc w:val="left"/>
              <w:rPr>
                <w:rFonts w:hint="eastAsia" w:ascii="黑体" w:hAnsi="黑体" w:eastAsia="黑体" w:cs="黑体"/>
                <w:b/>
                <w:bCs/>
                <w:color w:val="EB6001"/>
                <w:sz w:val="24"/>
              </w:rPr>
            </w:pPr>
          </w:p>
          <w:p>
            <w:pPr>
              <w:tabs>
                <w:tab w:val="left" w:pos="1778"/>
              </w:tabs>
              <w:jc w:val="left"/>
              <w:rPr>
                <w:rFonts w:hint="eastAsia" w:ascii="黑体" w:hAnsi="黑体" w:eastAsia="黑体" w:cs="黑体"/>
                <w:b/>
                <w:bCs/>
                <w:color w:val="EB6001"/>
                <w:sz w:val="24"/>
              </w:rPr>
            </w:pPr>
            <w:r>
              <w:rPr>
                <w:rFonts w:hint="eastAsia" w:ascii="黑体" w:hAnsi="黑体" w:eastAsia="黑体" w:cs="黑体"/>
                <w:b/>
                <w:bCs/>
                <w:color w:val="EB6001"/>
                <w:sz w:val="24"/>
              </w:rPr>
              <w:t>核心观点：</w:t>
            </w:r>
          </w:p>
          <w:p>
            <w:pPr>
              <w:tabs>
                <w:tab w:val="left" w:pos="1778"/>
              </w:tabs>
              <w:jc w:val="left"/>
            </w:pPr>
          </w:p>
          <w:p>
            <w:pPr>
              <w:tabs>
                <w:tab w:val="left" w:pos="1778"/>
              </w:tabs>
              <w:spacing w:line="360" w:lineRule="auto"/>
              <w:ind w:firstLine="480" w:firstLineChars="200"/>
              <w:jc w:val="left"/>
              <w:rPr>
                <w:rFonts w:hint="eastAsia" w:ascii="楷体" w:hAnsi="楷体" w:eastAsia="楷体"/>
                <w:sz w:val="24"/>
                <w:szCs w:val="32"/>
              </w:rPr>
            </w:pPr>
            <w:r>
              <w:rPr>
                <w:rFonts w:hint="eastAsia" w:ascii="楷体" w:hAnsi="楷体" w:eastAsia="楷体"/>
                <w:sz w:val="24"/>
                <w:szCs w:val="32"/>
              </w:rPr>
              <w:t>本轮市场的下跌是多重因素导致的，一方面全球经济表现长期较弱对应金属价格的大幅走高，下游需求抑制的情</w:t>
            </w:r>
            <w:bookmarkStart w:id="2" w:name="_GoBack"/>
            <w:bookmarkEnd w:id="2"/>
            <w:r>
              <w:rPr>
                <w:rFonts w:hint="eastAsia" w:ascii="楷体" w:hAnsi="楷体" w:eastAsia="楷体"/>
                <w:sz w:val="24"/>
                <w:szCs w:val="32"/>
              </w:rPr>
              <w:t>况下</w:t>
            </w:r>
            <w:r>
              <w:rPr>
                <w:rFonts w:hint="eastAsia" w:ascii="楷体" w:hAnsi="楷体" w:eastAsia="楷体"/>
                <w:sz w:val="24"/>
                <w:szCs w:val="32"/>
                <w:lang w:val="en-US" w:eastAsia="zh-CN"/>
              </w:rPr>
              <w:t>价格</w:t>
            </w:r>
            <w:r>
              <w:rPr>
                <w:rFonts w:hint="eastAsia" w:ascii="楷体" w:hAnsi="楷体" w:eastAsia="楷体"/>
                <w:sz w:val="24"/>
                <w:szCs w:val="32"/>
              </w:rPr>
              <w:t>存在</w:t>
            </w:r>
            <w:r>
              <w:rPr>
                <w:rFonts w:hint="eastAsia" w:ascii="楷体" w:hAnsi="楷体" w:eastAsia="楷体"/>
                <w:sz w:val="24"/>
                <w:szCs w:val="32"/>
                <w:lang w:val="en-US" w:eastAsia="zh-CN"/>
              </w:rPr>
              <w:t>明显</w:t>
            </w:r>
            <w:r>
              <w:rPr>
                <w:rFonts w:hint="eastAsia" w:ascii="楷体" w:hAnsi="楷体" w:eastAsia="楷体"/>
                <w:sz w:val="24"/>
                <w:szCs w:val="32"/>
              </w:rPr>
              <w:t>的修正需求；另一方面地区冲突升温导致</w:t>
            </w:r>
            <w:r>
              <w:rPr>
                <w:rFonts w:hint="eastAsia" w:ascii="楷体" w:hAnsi="楷体" w:eastAsia="楷体"/>
                <w:sz w:val="24"/>
                <w:szCs w:val="32"/>
                <w:lang w:val="en-US" w:eastAsia="zh-CN"/>
              </w:rPr>
              <w:t>美联储</w:t>
            </w:r>
            <w:r>
              <w:rPr>
                <w:rFonts w:hint="eastAsia" w:ascii="楷体" w:hAnsi="楷体" w:eastAsia="楷体"/>
                <w:sz w:val="24"/>
                <w:szCs w:val="32"/>
              </w:rPr>
              <w:t>降息推迟与美国经济数据下行叠加，</w:t>
            </w:r>
            <w:r>
              <w:rPr>
                <w:rFonts w:hint="eastAsia" w:ascii="楷体" w:hAnsi="楷体" w:eastAsia="楷体"/>
                <w:sz w:val="24"/>
                <w:szCs w:val="32"/>
                <w:lang w:val="en-US" w:eastAsia="zh-CN"/>
              </w:rPr>
              <w:t>进一步</w:t>
            </w:r>
            <w:r>
              <w:rPr>
                <w:rFonts w:hint="eastAsia" w:ascii="楷体" w:hAnsi="楷体" w:eastAsia="楷体"/>
                <w:sz w:val="24"/>
                <w:szCs w:val="32"/>
              </w:rPr>
              <w:t>从宏观层面引发了价格的修正。</w:t>
            </w:r>
          </w:p>
          <w:p>
            <w:pPr>
              <w:tabs>
                <w:tab w:val="left" w:pos="1778"/>
              </w:tabs>
              <w:spacing w:line="360" w:lineRule="auto"/>
              <w:ind w:firstLine="480" w:firstLineChars="200"/>
              <w:jc w:val="left"/>
              <w:rPr>
                <w:rFonts w:hint="eastAsia" w:ascii="楷体" w:hAnsi="楷体" w:eastAsia="楷体"/>
                <w:sz w:val="24"/>
                <w:szCs w:val="32"/>
              </w:rPr>
            </w:pPr>
            <w:r>
              <w:rPr>
                <w:rFonts w:hint="eastAsia" w:ascii="楷体" w:hAnsi="楷体" w:eastAsia="楷体"/>
                <w:sz w:val="24"/>
                <w:szCs w:val="32"/>
              </w:rPr>
              <w:t>展望后市我们认为衰退交易多大程度上延续是价格</w:t>
            </w:r>
            <w:r>
              <w:rPr>
                <w:rFonts w:hint="eastAsia" w:ascii="楷体" w:hAnsi="楷体" w:eastAsia="楷体"/>
                <w:sz w:val="24"/>
                <w:szCs w:val="32"/>
                <w:lang w:val="en-US" w:eastAsia="zh-CN"/>
              </w:rPr>
              <w:t>方向选择</w:t>
            </w:r>
            <w:r>
              <w:rPr>
                <w:rFonts w:hint="eastAsia" w:ascii="楷体" w:hAnsi="楷体" w:eastAsia="楷体"/>
                <w:sz w:val="24"/>
                <w:szCs w:val="32"/>
              </w:rPr>
              <w:t>的核心因素</w:t>
            </w:r>
            <w:r>
              <w:rPr>
                <w:rFonts w:hint="eastAsia" w:ascii="楷体" w:hAnsi="楷体" w:eastAsia="楷体"/>
                <w:sz w:val="24"/>
                <w:szCs w:val="32"/>
                <w:lang w:eastAsia="zh-CN"/>
              </w:rPr>
              <w:t>。</w:t>
            </w:r>
            <w:r>
              <w:rPr>
                <w:rFonts w:hint="eastAsia" w:ascii="楷体" w:hAnsi="楷体" w:eastAsia="楷体"/>
                <w:sz w:val="24"/>
                <w:szCs w:val="32"/>
              </w:rPr>
              <w:t>如果经济表现持续低迷并引发更多抛售，下跌的趋势</w:t>
            </w:r>
            <w:r>
              <w:rPr>
                <w:rFonts w:hint="eastAsia" w:ascii="楷体" w:hAnsi="楷体" w:eastAsia="楷体"/>
                <w:sz w:val="24"/>
                <w:szCs w:val="32"/>
                <w:lang w:val="en-US" w:eastAsia="zh-CN"/>
              </w:rPr>
              <w:t>或</w:t>
            </w:r>
            <w:r>
              <w:rPr>
                <w:rFonts w:hint="eastAsia" w:ascii="楷体" w:hAnsi="楷体" w:eastAsia="楷体"/>
                <w:sz w:val="24"/>
                <w:szCs w:val="32"/>
              </w:rPr>
              <w:t>将难以阻挡；而如果在中国需求旺季情况下全球经济能够展现更多韧性，市场信心稍有企稳</w:t>
            </w:r>
            <w:r>
              <w:rPr>
                <w:rFonts w:hint="eastAsia" w:ascii="楷体" w:hAnsi="楷体" w:eastAsia="楷体"/>
                <w:sz w:val="24"/>
                <w:szCs w:val="32"/>
                <w:lang w:val="en-US" w:eastAsia="zh-CN"/>
              </w:rPr>
              <w:t>后</w:t>
            </w:r>
            <w:r>
              <w:rPr>
                <w:rFonts w:hint="eastAsia" w:ascii="楷体" w:hAnsi="楷体" w:eastAsia="楷体"/>
                <w:sz w:val="24"/>
                <w:szCs w:val="32"/>
              </w:rPr>
              <w:t>金属价格可能会迎来一波快速反弹，未来几个交易日全球核心资产能否企稳将十分关键。</w:t>
            </w:r>
          </w:p>
          <w:p>
            <w:pPr>
              <w:tabs>
                <w:tab w:val="left" w:pos="1778"/>
              </w:tabs>
              <w:spacing w:line="360" w:lineRule="auto"/>
              <w:ind w:firstLine="480" w:firstLineChars="200"/>
              <w:jc w:val="left"/>
              <w:rPr>
                <w:rFonts w:hint="eastAsia" w:ascii="楷体" w:hAnsi="楷体" w:eastAsia="楷体"/>
                <w:sz w:val="24"/>
                <w:szCs w:val="32"/>
              </w:rPr>
            </w:pPr>
            <w:r>
              <w:rPr>
                <w:rFonts w:hint="eastAsia" w:ascii="楷体" w:hAnsi="楷体" w:eastAsia="楷体"/>
                <w:sz w:val="24"/>
                <w:szCs w:val="32"/>
              </w:rPr>
              <w:t>从经验看我们判断在出现标志性的违约</w:t>
            </w:r>
            <w:r>
              <w:rPr>
                <w:rFonts w:hint="eastAsia" w:ascii="楷体" w:hAnsi="楷体" w:eastAsia="楷体"/>
                <w:sz w:val="24"/>
                <w:szCs w:val="32"/>
                <w:lang w:val="en-US" w:eastAsia="zh-CN"/>
              </w:rPr>
              <w:t>事件前爆发流动性危机</w:t>
            </w:r>
            <w:r>
              <w:rPr>
                <w:rFonts w:hint="eastAsia" w:ascii="楷体" w:hAnsi="楷体" w:eastAsia="楷体"/>
                <w:sz w:val="24"/>
                <w:szCs w:val="32"/>
              </w:rPr>
              <w:t>的可能性不高，</w:t>
            </w:r>
            <w:r>
              <w:rPr>
                <w:rFonts w:hint="eastAsia" w:ascii="楷体" w:hAnsi="楷体" w:eastAsia="楷体"/>
                <w:sz w:val="24"/>
                <w:szCs w:val="32"/>
                <w:lang w:val="en-US" w:eastAsia="zh-CN"/>
              </w:rPr>
              <w:t>因此</w:t>
            </w:r>
            <w:r>
              <w:rPr>
                <w:rFonts w:hint="eastAsia" w:ascii="楷体" w:hAnsi="楷体" w:eastAsia="楷体"/>
                <w:sz w:val="24"/>
                <w:szCs w:val="32"/>
              </w:rPr>
              <w:t>市场期待的金三银四在价格回到合理的水平后可能才刚刚开始。</w:t>
            </w:r>
          </w:p>
          <w:p>
            <w:pPr>
              <w:tabs>
                <w:tab w:val="left" w:pos="1778"/>
              </w:tabs>
              <w:spacing w:line="360" w:lineRule="auto"/>
              <w:ind w:firstLine="420" w:firstLineChars="200"/>
              <w:jc w:val="left"/>
              <w:rPr>
                <w:rFonts w:hint="eastAsia" w:ascii="楷体" w:hAnsi="楷体" w:eastAsia="楷体"/>
                <w:sz w:val="24"/>
                <w:szCs w:val="32"/>
              </w:rPr>
            </w:pPr>
            <w:r>
              <w:rPr>
                <w:rFonts w:ascii="楷体" w:hAnsi="楷体" w:eastAsia="楷体"/>
                <w:szCs w:val="32"/>
              </w:rPr>
              <w:br w:type="textWrapping"/>
            </w:r>
          </w:p>
          <w:p>
            <w:pPr>
              <w:tabs>
                <w:tab w:val="left" w:pos="1778"/>
              </w:tabs>
              <w:spacing w:line="360" w:lineRule="auto"/>
              <w:ind w:firstLine="480" w:firstLineChars="200"/>
              <w:jc w:val="left"/>
              <w:rPr>
                <w:rFonts w:hint="eastAsia" w:ascii="楷体" w:hAnsi="楷体" w:eastAsia="楷体"/>
                <w:sz w:val="24"/>
                <w:szCs w:val="32"/>
              </w:rPr>
            </w:pPr>
          </w:p>
        </w:tc>
        <w:tc>
          <w:tcPr>
            <w:tcW w:w="425" w:type="dxa"/>
          </w:tcPr>
          <w:p>
            <w:pPr>
              <w:tabs>
                <w:tab w:val="left" w:pos="1778"/>
              </w:tabs>
              <w:jc w:val="left"/>
            </w:pPr>
          </w:p>
        </w:tc>
        <w:tc>
          <w:tcPr>
            <w:tcW w:w="5660" w:type="dxa"/>
          </w:tcPr>
          <w:p>
            <w:pPr>
              <w:tabs>
                <w:tab w:val="left" w:pos="1778"/>
              </w:tabs>
              <w:jc w:val="left"/>
            </w:pPr>
          </w:p>
          <w:p>
            <w:pPr>
              <w:tabs>
                <w:tab w:val="left" w:pos="1778"/>
              </w:tabs>
              <w:jc w:val="left"/>
              <w:rPr>
                <w:rFonts w:hint="eastAsia" w:ascii="黑体" w:hAnsi="黑体" w:eastAsia="黑体" w:cs="黑体"/>
                <w:b/>
                <w:bCs/>
                <w:color w:val="EB6001"/>
                <w:sz w:val="24"/>
              </w:rPr>
            </w:pPr>
          </w:p>
          <w:p>
            <w:pPr>
              <w:tabs>
                <w:tab w:val="left" w:pos="1778"/>
              </w:tabs>
              <w:jc w:val="left"/>
              <w:rPr>
                <w:rFonts w:hint="eastAsia" w:ascii="黑体" w:hAnsi="黑体" w:eastAsia="黑体" w:cs="黑体"/>
                <w:b/>
                <w:bCs/>
                <w:color w:val="EB6001"/>
                <w:sz w:val="24"/>
              </w:rPr>
            </w:pPr>
            <w:r>
              <w:rPr>
                <w:rFonts w:hint="eastAsia" w:ascii="黑体" w:hAnsi="黑体" w:eastAsia="黑体" w:cs="黑体"/>
                <w:b/>
                <w:bCs/>
                <w:color w:val="EB6001"/>
                <w:sz w:val="24"/>
              </w:rPr>
              <w:t xml:space="preserve">山金期货 </w:t>
            </w:r>
          </w:p>
          <w:p>
            <w:pPr>
              <w:tabs>
                <w:tab w:val="left" w:pos="1778"/>
              </w:tabs>
              <w:jc w:val="left"/>
              <w:rPr>
                <w:rFonts w:hint="eastAsia" w:ascii="黑体" w:hAnsi="黑体" w:eastAsia="黑体" w:cs="黑体"/>
                <w:b/>
                <w:bCs/>
                <w:color w:val="EB6001"/>
                <w:sz w:val="24"/>
              </w:rPr>
            </w:pPr>
            <w:r>
              <w:rPr>
                <w:rFonts w:hint="eastAsia" w:ascii="黑体" w:hAnsi="黑体" w:eastAsia="黑体" w:cs="黑体"/>
                <w:b/>
                <w:bCs/>
                <w:color w:val="EB6001"/>
                <w:sz w:val="24"/>
              </w:rPr>
              <w:t>投资咨询部</w:t>
            </w:r>
          </w:p>
          <w:p>
            <w:pPr>
              <w:tabs>
                <w:tab w:val="left" w:pos="1778"/>
              </w:tabs>
              <w:jc w:val="left"/>
            </w:pPr>
          </w:p>
          <w:p>
            <w:pPr>
              <w:tabs>
                <w:tab w:val="left" w:pos="1778"/>
              </w:tabs>
              <w:jc w:val="left"/>
            </w:pPr>
          </w:p>
          <w:p>
            <w:pPr>
              <w:tabs>
                <w:tab w:val="left" w:pos="1778"/>
              </w:tabs>
              <w:jc w:val="left"/>
              <w:rPr>
                <w:rFonts w:hint="eastAsia" w:ascii="楷体" w:hAnsi="楷体" w:eastAsia="楷体"/>
                <w:sz w:val="22"/>
                <w:szCs w:val="22"/>
              </w:rPr>
            </w:pPr>
            <w:r>
              <w:rPr>
                <w:rFonts w:hint="eastAsia" w:ascii="楷体" w:hAnsi="楷体" w:eastAsia="楷体"/>
                <w:sz w:val="22"/>
                <w:szCs w:val="22"/>
              </w:rPr>
              <w:t xml:space="preserve">作者∣王云飞               </w:t>
            </w:r>
          </w:p>
          <w:p>
            <w:pPr>
              <w:tabs>
                <w:tab w:val="left" w:pos="1778"/>
              </w:tabs>
              <w:jc w:val="left"/>
              <w:rPr>
                <w:rFonts w:hint="eastAsia" w:ascii="楷体" w:hAnsi="楷体" w:eastAsia="楷体"/>
                <w:sz w:val="22"/>
                <w:szCs w:val="22"/>
              </w:rPr>
            </w:pPr>
            <w:r>
              <w:rPr>
                <w:rFonts w:hint="eastAsia" w:ascii="楷体" w:hAnsi="楷体" w:eastAsia="楷体"/>
                <w:sz w:val="22"/>
                <w:szCs w:val="22"/>
              </w:rPr>
              <w:t xml:space="preserve">从业资格号：F03141565               </w:t>
            </w:r>
          </w:p>
          <w:p>
            <w:pPr>
              <w:tabs>
                <w:tab w:val="left" w:pos="1778"/>
              </w:tabs>
              <w:jc w:val="left"/>
              <w:rPr>
                <w:rFonts w:hint="eastAsia" w:ascii="楷体" w:hAnsi="楷体" w:eastAsia="楷体"/>
                <w:sz w:val="22"/>
                <w:szCs w:val="22"/>
              </w:rPr>
            </w:pPr>
            <w:r>
              <w:rPr>
                <w:rFonts w:hint="eastAsia" w:ascii="楷体" w:hAnsi="楷体" w:eastAsia="楷体"/>
                <w:sz w:val="22"/>
                <w:szCs w:val="22"/>
              </w:rPr>
              <w:t>交易咨询号：Z0021688</w:t>
            </w:r>
          </w:p>
          <w:p>
            <w:pPr>
              <w:tabs>
                <w:tab w:val="left" w:pos="1778"/>
              </w:tabs>
              <w:jc w:val="left"/>
              <w:rPr>
                <w:rFonts w:hint="eastAsia" w:ascii="楷体" w:hAnsi="楷体" w:eastAsia="楷体"/>
                <w:sz w:val="22"/>
                <w:szCs w:val="22"/>
              </w:rPr>
            </w:pPr>
            <w:r>
              <w:rPr>
                <w:rFonts w:hint="eastAsia" w:ascii="楷体" w:hAnsi="楷体" w:eastAsia="楷体"/>
                <w:sz w:val="22"/>
                <w:szCs w:val="22"/>
              </w:rPr>
              <w:t>联系邮箱：</w:t>
            </w:r>
          </w:p>
          <w:p>
            <w:pPr>
              <w:tabs>
                <w:tab w:val="left" w:pos="1778"/>
              </w:tabs>
              <w:jc w:val="left"/>
              <w:rPr>
                <w:rFonts w:hint="eastAsia" w:ascii="楷体" w:hAnsi="楷体" w:eastAsia="楷体"/>
                <w:sz w:val="22"/>
                <w:szCs w:val="22"/>
              </w:rPr>
            </w:pPr>
            <w:r>
              <w:fldChar w:fldCharType="begin"/>
            </w:r>
            <w:r>
              <w:instrText xml:space="preserve"> HYPERLINK "mailto:wangyunfei1@sd-gold.com" </w:instrText>
            </w:r>
            <w:r>
              <w:fldChar w:fldCharType="separate"/>
            </w:r>
            <w:r>
              <w:rPr>
                <w:rStyle w:val="11"/>
                <w:rFonts w:hint="eastAsia" w:ascii="楷体" w:hAnsi="楷体" w:eastAsia="楷体"/>
                <w:sz w:val="22"/>
                <w:szCs w:val="22"/>
              </w:rPr>
              <w:t>wangyunfei1@sd-gold.com</w:t>
            </w:r>
            <w:r>
              <w:rPr>
                <w:rStyle w:val="11"/>
                <w:rFonts w:hint="eastAsia" w:ascii="楷体" w:hAnsi="楷体" w:eastAsia="楷体"/>
                <w:sz w:val="22"/>
                <w:szCs w:val="22"/>
              </w:rPr>
              <w:fldChar w:fldCharType="end"/>
            </w: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rPr>
                <w:rFonts w:hint="eastAsia" w:ascii="楷体" w:hAnsi="楷体" w:eastAsia="楷体"/>
                <w:sz w:val="22"/>
                <w:szCs w:val="22"/>
              </w:rPr>
            </w:pPr>
          </w:p>
          <w:p>
            <w:pPr>
              <w:tabs>
                <w:tab w:val="left" w:pos="1778"/>
              </w:tabs>
              <w:jc w:val="left"/>
            </w:pPr>
          </w:p>
          <w:p>
            <w:pPr>
              <w:tabs>
                <w:tab w:val="left" w:pos="1778"/>
              </w:tabs>
              <w:jc w:val="left"/>
            </w:pPr>
          </w:p>
          <w:p>
            <w:pPr>
              <w:tabs>
                <w:tab w:val="left" w:pos="1778"/>
              </w:tabs>
              <w:jc w:val="left"/>
            </w:pPr>
          </w:p>
          <w:p>
            <w:pPr>
              <w:tabs>
                <w:tab w:val="left" w:pos="1778"/>
              </w:tabs>
              <w:jc w:val="left"/>
            </w:pPr>
          </w:p>
          <w:p>
            <w:pPr>
              <w:tabs>
                <w:tab w:val="left" w:pos="1778"/>
              </w:tabs>
              <w:jc w:val="left"/>
            </w:pPr>
          </w:p>
          <w:p>
            <w:pPr>
              <w:tabs>
                <w:tab w:val="left" w:pos="1778"/>
              </w:tabs>
              <w:jc w:val="left"/>
            </w:pPr>
          </w:p>
          <w:p>
            <w:pPr>
              <w:tabs>
                <w:tab w:val="left" w:pos="1778"/>
              </w:tabs>
              <w:rPr>
                <w:rFonts w:hint="eastAsia" w:ascii="黑体" w:hAnsi="黑体" w:eastAsia="黑体" w:cs="黑体"/>
                <w:b/>
                <w:bCs/>
                <w:color w:val="EB6001"/>
                <w:sz w:val="24"/>
              </w:rPr>
            </w:pPr>
            <w:r>
              <w:rPr>
                <w:rFonts w:hint="eastAsia" w:ascii="黑体" w:hAnsi="黑体" w:eastAsia="黑体" w:cs="黑体"/>
                <w:b/>
                <w:bCs/>
                <w:color w:val="EB6001"/>
                <w:sz w:val="24"/>
              </w:rPr>
              <w:t>山金期货官方微信号</w:t>
            </w:r>
          </w:p>
          <w:p>
            <w:pPr>
              <w:tabs>
                <w:tab w:val="left" w:pos="1778"/>
              </w:tabs>
              <w:jc w:val="center"/>
            </w:pPr>
            <w:r>
              <w:rPr>
                <w:rFonts w:ascii="Times New Roman" w:hAnsi="Times New Roman"/>
                <w:color w:val="000000" w:themeColor="text1"/>
                <w14:textFill>
                  <w14:solidFill>
                    <w14:schemeClr w14:val="tx1"/>
                  </w14:solidFill>
                </w14:textFill>
              </w:rPr>
              <w:drawing>
                <wp:anchor distT="0" distB="0" distL="0" distR="0" simplePos="0" relativeHeight="251667456" behindDoc="0" locked="0" layoutInCell="1" allowOverlap="1">
                  <wp:simplePos x="0" y="0"/>
                  <wp:positionH relativeFrom="column">
                    <wp:posOffset>127635</wp:posOffset>
                  </wp:positionH>
                  <wp:positionV relativeFrom="paragraph">
                    <wp:posOffset>153670</wp:posOffset>
                  </wp:positionV>
                  <wp:extent cx="1143000" cy="1137920"/>
                  <wp:effectExtent l="0" t="0" r="0" b="5080"/>
                  <wp:wrapNone/>
                  <wp:docPr id="202946002" name="图片 20294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002" name="图片 20294600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43000" cy="1137920"/>
                          </a:xfrm>
                          <a:prstGeom prst="rect">
                            <a:avLst/>
                          </a:prstGeom>
                        </pic:spPr>
                      </pic:pic>
                    </a:graphicData>
                  </a:graphic>
                </wp:anchor>
              </w:drawing>
            </w:r>
          </w:p>
        </w:tc>
      </w:tr>
    </w:tbl>
    <w:p>
      <w:pPr>
        <w:tabs>
          <w:tab w:val="left" w:pos="1778"/>
        </w:tabs>
        <w:jc w:val="left"/>
        <w:sectPr>
          <w:headerReference r:id="rId3" w:type="default"/>
          <w:footerReference r:id="rId5" w:type="default"/>
          <w:headerReference r:id="rId4" w:type="even"/>
          <w:pgSz w:w="11906" w:h="16838"/>
          <w:pgMar w:top="1440" w:right="1800" w:bottom="1440" w:left="1800" w:header="851" w:footer="992" w:gutter="0"/>
          <w:pgBorders w:offsetFrom="page">
            <w:top w:val="single" w:color="ED7D31" w:themeColor="accent2" w:sz="18" w:space="24"/>
            <w:bottom w:val="single" w:color="ED7D31" w:themeColor="accent2" w:sz="18" w:space="24"/>
          </w:pgBorders>
          <w:pgNumType w:start="1"/>
          <w:cols w:space="425" w:num="1"/>
          <w:docGrid w:type="lines" w:linePitch="312" w:charSpace="0"/>
        </w:sectPr>
      </w:pPr>
    </w:p>
    <w:tbl>
      <w:tblPr>
        <w:tblStyle w:val="9"/>
        <w:tblW w:w="10562" w:type="dxa"/>
        <w:tblInd w:w="-9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83"/>
        <w:gridCol w:w="5256"/>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313" w:hRule="atLeast"/>
        </w:trPr>
        <w:tc>
          <w:tcPr>
            <w:tcW w:w="10539" w:type="dxa"/>
            <w:gridSpan w:val="2"/>
            <w:tcBorders>
              <w:top w:val="nil"/>
              <w:left w:val="nil"/>
              <w:bottom w:val="nil"/>
              <w:right w:val="nil"/>
            </w:tcBorders>
          </w:tcPr>
          <w:p>
            <w:pPr>
              <w:spacing w:line="360" w:lineRule="auto"/>
              <w:ind w:firstLine="480" w:firstLineChars="200"/>
              <w:rPr>
                <w:rFonts w:hint="eastAsia" w:ascii="楷体" w:hAnsi="楷体" w:eastAsia="楷体"/>
                <w:bCs/>
                <w:sz w:val="24"/>
                <w:szCs w:val="36"/>
              </w:rPr>
            </w:pPr>
            <w:bookmarkStart w:id="0" w:name="_Toc13196"/>
            <w:r>
              <w:rPr>
                <w:rFonts w:hint="eastAsia" w:ascii="楷体" w:hAnsi="楷体" w:eastAsia="楷体"/>
                <w:bCs/>
                <w:sz w:val="24"/>
                <w:szCs w:val="36"/>
              </w:rPr>
              <w:t>在经历了约一个月的振荡走势后，有色金属价格在3月中旬开启下跌模式，19日主要品种均呈现加速下行的态势，沪铜、沪锌、沪铝主力合约当日分别下跌4.25%、2.72%、2.50%，波动率同样明显</w:t>
            </w:r>
            <w:r>
              <w:rPr>
                <w:rFonts w:hint="eastAsia" w:ascii="楷体" w:hAnsi="楷体" w:eastAsia="楷体"/>
                <w:bCs/>
                <w:sz w:val="24"/>
                <w:szCs w:val="36"/>
                <w:lang w:val="en-US" w:eastAsia="zh-CN"/>
              </w:rPr>
              <w:t>回升</w:t>
            </w:r>
            <w:r>
              <w:rPr>
                <w:rFonts w:hint="eastAsia" w:ascii="楷体" w:hAnsi="楷体" w:eastAsia="楷体"/>
                <w:bCs/>
                <w:sz w:val="24"/>
                <w:szCs w:val="36"/>
              </w:rPr>
              <w:t>，夜盘</w:t>
            </w:r>
            <w:r>
              <w:rPr>
                <w:rFonts w:hint="eastAsia" w:ascii="楷体" w:hAnsi="楷体" w:eastAsia="楷体"/>
                <w:bCs/>
                <w:sz w:val="24"/>
                <w:szCs w:val="36"/>
                <w:lang w:val="en-US" w:eastAsia="zh-CN"/>
              </w:rPr>
              <w:t>金属价格</w:t>
            </w:r>
            <w:r>
              <w:rPr>
                <w:rFonts w:hint="eastAsia" w:ascii="楷体" w:hAnsi="楷体" w:eastAsia="楷体"/>
                <w:bCs/>
                <w:sz w:val="24"/>
                <w:szCs w:val="36"/>
              </w:rPr>
              <w:t>大幅低开后反弹。本轮市场的下行是什么原因导致的？后续盘面</w:t>
            </w:r>
            <w:r>
              <w:rPr>
                <w:rFonts w:hint="eastAsia" w:ascii="楷体" w:hAnsi="楷体" w:eastAsia="楷体"/>
                <w:bCs/>
                <w:sz w:val="24"/>
                <w:szCs w:val="36"/>
                <w:lang w:val="en-US" w:eastAsia="zh-CN"/>
              </w:rPr>
              <w:t>又将</w:t>
            </w:r>
            <w:r>
              <w:rPr>
                <w:rFonts w:hint="eastAsia" w:ascii="楷体" w:hAnsi="楷体" w:eastAsia="楷体"/>
                <w:bCs/>
                <w:sz w:val="24"/>
                <w:szCs w:val="36"/>
              </w:rPr>
              <w:t>如何</w:t>
            </w:r>
            <w:r>
              <w:rPr>
                <w:rFonts w:hint="eastAsia" w:ascii="楷体" w:hAnsi="楷体" w:eastAsia="楷体"/>
                <w:bCs/>
                <w:sz w:val="24"/>
                <w:szCs w:val="36"/>
                <w:lang w:val="en-US" w:eastAsia="zh-CN"/>
              </w:rPr>
              <w:t>变化</w:t>
            </w:r>
            <w:r>
              <w:rPr>
                <w:rFonts w:hint="eastAsia" w:ascii="楷体" w:hAnsi="楷体" w:eastAsia="楷体"/>
                <w:bCs/>
                <w:sz w:val="24"/>
                <w:szCs w:val="36"/>
              </w:rPr>
              <w:t>？</w:t>
            </w:r>
          </w:p>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rPr>
              <w:t>我们先看一下当前市场交易逻辑：从盘面看自本轮中东地区的冲突爆发以来，伊朗对霍尔木兹海峡的封锁引起原油价格和美元指数的上涨，贵金属、有色、美债总体呈现下行。对比同样以原油供应减少为背景的1973年10月16日第一次石油危机来看，本轮资产价格走势目前较历史有所区别，主要是铜价、美债收益率以及美元指数出现差异。第一次石油危机爆发后通胀走高的预期下铜价上涨、美债收益率振荡回落，美元指数先跌后涨。</w:t>
            </w:r>
          </w:p>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rPr>
              <w:t>我们认为当下资产价格走势体现的市场逻辑是衰退：因为同期贵金属和美债价格呈现下行，所以我们认为美元指数走强只能是出于市场对于流动性的担忧而非避险，美债收益的回升相比通胀预期的抬升可能蕴含更多的是全球政局变迁的意味。</w:t>
            </w:r>
          </w:p>
          <w:p>
            <w:pPr>
              <w:spacing w:line="360" w:lineRule="auto"/>
              <w:ind w:firstLine="480" w:firstLineChars="200"/>
              <w:rPr>
                <w:rFonts w:hint="eastAsia" w:ascii="楷体" w:hAnsi="楷体" w:eastAsia="楷体"/>
                <w:bCs/>
                <w:sz w:val="24"/>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single" w:color="ED7D31" w:themeColor="accent2" w:sz="18" w:space="0"/>
              <w:right w:val="nil"/>
            </w:tcBorders>
          </w:tcPr>
          <w:p>
            <w:pPr>
              <w:spacing w:line="360" w:lineRule="auto"/>
              <w:rPr>
                <w:rFonts w:hint="eastAsia" w:ascii="黑体" w:hAnsi="黑体" w:eastAsia="黑体" w:cs="黑体"/>
                <w:szCs w:val="21"/>
              </w:rPr>
            </w:pPr>
            <w:r>
              <w:rPr>
                <w:rFonts w:hint="eastAsia" w:ascii="黑体" w:hAnsi="黑体" w:eastAsia="黑体" w:cs="黑体"/>
                <w:szCs w:val="21"/>
              </w:rPr>
              <w:t>图：本轮冲突后主要资产价格走势</w:t>
            </w:r>
          </w:p>
        </w:tc>
        <w:tc>
          <w:tcPr>
            <w:tcW w:w="5279" w:type="dxa"/>
            <w:gridSpan w:val="2"/>
            <w:tcBorders>
              <w:top w:val="nil"/>
              <w:left w:val="nil"/>
              <w:bottom w:val="single" w:color="ED7D31" w:themeColor="accent2" w:sz="18" w:space="0"/>
              <w:right w:val="nil"/>
            </w:tcBorders>
          </w:tcPr>
          <w:p>
            <w:pPr>
              <w:spacing w:line="360" w:lineRule="auto"/>
              <w:rPr>
                <w:rFonts w:hint="eastAsia" w:ascii="黑体" w:hAnsi="黑体" w:eastAsia="黑体" w:cs="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3"/>
            <w:tcBorders>
              <w:top w:val="single" w:color="ED7D31" w:themeColor="accent2" w:sz="18" w:space="0"/>
              <w:left w:val="nil"/>
              <w:bottom w:val="single" w:color="ED7D31" w:themeColor="accent2" w:sz="18" w:space="0"/>
              <w:right w:val="nil"/>
            </w:tcBorders>
          </w:tcPr>
          <w:p>
            <w:pPr>
              <w:spacing w:line="360" w:lineRule="auto"/>
              <w:rPr>
                <w:rFonts w:hint="eastAsia" w:ascii="黑体" w:hAnsi="黑体" w:eastAsia="黑体" w:cs="黑体"/>
                <w:szCs w:val="21"/>
              </w:rPr>
            </w:pPr>
            <w:r>
              <mc:AlternateContent>
                <mc:Choice Requires="wps">
                  <w:drawing>
                    <wp:anchor distT="0" distB="0" distL="114300" distR="114300" simplePos="0" relativeHeight="251673600" behindDoc="0" locked="0" layoutInCell="1" allowOverlap="1">
                      <wp:simplePos x="0" y="0"/>
                      <wp:positionH relativeFrom="column">
                        <wp:posOffset>5928995</wp:posOffset>
                      </wp:positionH>
                      <wp:positionV relativeFrom="paragraph">
                        <wp:posOffset>1645920</wp:posOffset>
                      </wp:positionV>
                      <wp:extent cx="506730" cy="98425"/>
                      <wp:effectExtent l="146685" t="0" r="135890" b="0"/>
                      <wp:wrapNone/>
                      <wp:docPr id="1211698364" name="箭头: 右 8"/>
                      <wp:cNvGraphicFramePr/>
                      <a:graphic xmlns:a="http://schemas.openxmlformats.org/drawingml/2006/main">
                        <a:graphicData uri="http://schemas.microsoft.com/office/word/2010/wordprocessingShape">
                          <wps:wsp>
                            <wps:cNvSpPr/>
                            <wps:spPr>
                              <a:xfrm rot="18427483">
                                <a:off x="0" y="0"/>
                                <a:ext cx="506500" cy="98493"/>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466.85pt;margin-top:129.6pt;height:7.75pt;width:39.9pt;rotation:-3465235f;z-index:251673600;v-text-anchor:middle;mso-width-relative:page;mso-height-relative:page;" fillcolor="#ED7D31 [3205]" filled="t" stroked="t" coordsize="21600,21600" o:gfxdata="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Bc5wdkAAAAMAQAADwAAAAAAAAABACAAAAAiAAAAZHJzL2Rvd25yZXYueG1sUEsB&#10;AhQAFAAAAAgAh07iQPfz5rufAgAANgUAAA4AAAAAAAAAAQAgAAAAKAEAAGRycy9lMm9Eb2MueG1s&#10;UEsFBgAAAAAGAAYAWQEAADkGAAAAAA==&#10;" adj="19500,5400">
                      <v:fill on="t" focussize="0,0"/>
                      <v:stroke weight="1pt" color="#64310F [3205]" miterlimit="8" joinstyle="miter"/>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3805555</wp:posOffset>
                      </wp:positionH>
                      <wp:positionV relativeFrom="paragraph">
                        <wp:posOffset>1710690</wp:posOffset>
                      </wp:positionV>
                      <wp:extent cx="491490" cy="110490"/>
                      <wp:effectExtent l="95567" t="0" r="99378" b="4127"/>
                      <wp:wrapNone/>
                      <wp:docPr id="508296938" name="箭头: 右 8"/>
                      <wp:cNvGraphicFramePr/>
                      <a:graphic xmlns:a="http://schemas.openxmlformats.org/drawingml/2006/main">
                        <a:graphicData uri="http://schemas.microsoft.com/office/word/2010/wordprocessingShape">
                          <wps:wsp>
                            <wps:cNvSpPr/>
                            <wps:spPr>
                              <a:xfrm rot="17814335">
                                <a:off x="0" y="0"/>
                                <a:ext cx="491667" cy="110416"/>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299.65pt;margin-top:134.7pt;height:8.7pt;width:38.7pt;rotation:-4134956f;z-index:251672576;v-text-anchor:middle;mso-width-relative:page;mso-height-relative:page;" fillcolor="#ED7D31 [3205]" filled="t" stroked="t" coordsize="21600,21600" o:gfxdata="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J6d1r2wAAAAsBAAAPAAAAAAAAAAEAIAAAACIAAABkcnMvZG93bnJldi54bWxQ&#10;SwECFAAUAAAACACHTuJAEt0jFZ8CAAA2BQAADgAAAAAAAAABACAAAAAqAQAAZHJzL2Uyb0RvYy54&#10;bWxQSwUGAAAAAAYABgBZAQAAOwYAAAAA&#10;" adj="19175,5400">
                      <v:fill on="t" focussize="0,0"/>
                      <v:stroke weight="1pt" color="#64310F [3205]" miterlimit="8" joinstyle="miter"/>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1635760</wp:posOffset>
                      </wp:positionH>
                      <wp:positionV relativeFrom="paragraph">
                        <wp:posOffset>1753870</wp:posOffset>
                      </wp:positionV>
                      <wp:extent cx="389890" cy="106680"/>
                      <wp:effectExtent l="19050" t="95250" r="0" b="83820"/>
                      <wp:wrapNone/>
                      <wp:docPr id="182007073" name="箭头: 右 8"/>
                      <wp:cNvGraphicFramePr/>
                      <a:graphic xmlns:a="http://schemas.openxmlformats.org/drawingml/2006/main">
                        <a:graphicData uri="http://schemas.microsoft.com/office/word/2010/wordprocessingShape">
                          <wps:wsp>
                            <wps:cNvSpPr/>
                            <wps:spPr>
                              <a:xfrm rot="1758772">
                                <a:off x="0" y="0"/>
                                <a:ext cx="389619" cy="106804"/>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128.8pt;margin-top:138.1pt;height:8.4pt;width:30.7pt;rotation:1921048f;z-index:251671552;v-text-anchor:middle;mso-width-relative:page;mso-height-relative:page;" fillcolor="#ED7D31 [3205]" filled="t" stroked="t" coordsize="21600,21600" o:gfxdata="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CO2DVS2QAAAAsBAAAPAAAAAAAAAAEAIAAAACIAAABkcnMvZG93bnJldi54bWxQSwEC&#10;FAAUAAAACACHTuJAptrDoJ4CAAA1BQAADgAAAAAAAAABACAAAAAoAQAAZHJzL2Uyb0RvYy54bWxQ&#10;SwUGAAAAAAYABgBZAQAAOAYAAAAA&#10;" adj="18640,5400">
                      <v:fill on="t" focussize="0,0"/>
                      <v:stroke weight="1pt" color="#64310F [3205]" miterlimit="8" joinstyle="miter"/>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3815080</wp:posOffset>
                      </wp:positionH>
                      <wp:positionV relativeFrom="paragraph">
                        <wp:posOffset>525145</wp:posOffset>
                      </wp:positionV>
                      <wp:extent cx="389890" cy="106680"/>
                      <wp:effectExtent l="0" t="114300" r="0" b="102870"/>
                      <wp:wrapNone/>
                      <wp:docPr id="735052610" name="箭头: 右 8"/>
                      <wp:cNvGraphicFramePr/>
                      <a:graphic xmlns:a="http://schemas.openxmlformats.org/drawingml/2006/main">
                        <a:graphicData uri="http://schemas.microsoft.com/office/word/2010/wordprocessingShape">
                          <wps:wsp>
                            <wps:cNvSpPr/>
                            <wps:spPr>
                              <a:xfrm rot="2416029">
                                <a:off x="0" y="0"/>
                                <a:ext cx="389619" cy="106804"/>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300.4pt;margin-top:41.35pt;height:8.4pt;width:30.7pt;rotation:2638948f;z-index:251669504;v-text-anchor:middle;mso-width-relative:page;mso-height-relative:page;" fillcolor="#ED7D31 [3205]" filled="t" stroked="t" coordsize="21600,21600" o:gfxdata="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QSj771wAAAAkBAAAPAAAAAAAAAAEAIAAAACIAAABkcnMvZG93bnJldi54bWxQSwECFAAU&#10;AAAACACHTuJAV/oMrJ0CAAA1BQAADgAAAAAAAAABACAAAAAmAQAAZHJzL2Uyb0RvYy54bWxQSwUG&#10;AAAAAAYABgBZAQAANQYAAAAA&#10;" adj="18640,5400">
                      <v:fill on="t" focussize="0,0"/>
                      <v:stroke weight="1pt" color="#64310F [3205]" miterlimit="8" joinstyle="miter"/>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6012180</wp:posOffset>
                      </wp:positionH>
                      <wp:positionV relativeFrom="paragraph">
                        <wp:posOffset>652780</wp:posOffset>
                      </wp:positionV>
                      <wp:extent cx="415925" cy="106680"/>
                      <wp:effectExtent l="0" t="133350" r="0" b="103505"/>
                      <wp:wrapNone/>
                      <wp:docPr id="427533428" name="箭头: 右 8"/>
                      <wp:cNvGraphicFramePr/>
                      <a:graphic xmlns:a="http://schemas.openxmlformats.org/drawingml/2006/main">
                        <a:graphicData uri="http://schemas.microsoft.com/office/word/2010/wordprocessingShape">
                          <wps:wsp>
                            <wps:cNvSpPr/>
                            <wps:spPr>
                              <a:xfrm rot="2416029">
                                <a:off x="0" y="0"/>
                                <a:ext cx="415905" cy="106441"/>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473.4pt;margin-top:51.4pt;height:8.4pt;width:32.75pt;rotation:2638948f;z-index:251670528;v-text-anchor:middle;mso-width-relative:page;mso-height-relative:page;" fillcolor="#ED7D31 [3205]" filled="t" stroked="t" coordsize="21600,21600" o:gfxdata="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BO8xeHYAAAADAEAAA8AAAAAAAAAAQAgAAAAIgAAAGRycy9kb3ducmV2LnhtbFBLAQIU&#10;ABQAAAAIAIdO4kBfgiYVngIAADUFAAAOAAAAAAAAAAEAIAAAACcBAABkcnMvZTJvRG9jLnhtbFBL&#10;BQYAAAAABgAGAFkBAAA3BgAAAAA=&#10;" adj="18836,5400">
                      <v:fill on="t" focussize="0,0"/>
                      <v:stroke weight="1pt" color="#64310F [3205]" miterlimit="8" joinstyle="miter"/>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1596390</wp:posOffset>
                      </wp:positionH>
                      <wp:positionV relativeFrom="paragraph">
                        <wp:posOffset>708660</wp:posOffset>
                      </wp:positionV>
                      <wp:extent cx="491490" cy="110490"/>
                      <wp:effectExtent l="133667" t="0" r="118428" b="0"/>
                      <wp:wrapNone/>
                      <wp:docPr id="2045018557" name="箭头: 右 8"/>
                      <wp:cNvGraphicFramePr/>
                      <a:graphic xmlns:a="http://schemas.openxmlformats.org/drawingml/2006/main">
                        <a:graphicData uri="http://schemas.microsoft.com/office/word/2010/wordprocessingShape">
                          <wps:wsp>
                            <wps:cNvSpPr/>
                            <wps:spPr>
                              <a:xfrm rot="18454243">
                                <a:off x="0" y="0"/>
                                <a:ext cx="491667" cy="110416"/>
                              </a:xfrm>
                              <a:prstGeom prst="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右 8" o:spid="_x0000_s1026" o:spt="13" type="#_x0000_t13" style="position:absolute;left:0pt;margin-left:125.7pt;margin-top:55.8pt;height:8.7pt;width:38.7pt;rotation:-3436006f;z-index:251668480;v-text-anchor:middle;mso-width-relative:page;mso-height-relative:page;" fillcolor="#ED7D31 [3205]" filled="t" stroked="t" coordsize="21600,21600" o:gfxdata="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FkFfI/ZAAAACwEAAA8AAAAAAAAAAQAgAAAAIgAAAGRycy9kb3ducmV2LnhtbFBL&#10;AQIUABQAAAAIAIdO4kAZaUaEoAIAADcFAAAOAAAAAAAAAAEAIAAAACgBAABkcnMvZTJvRG9jLnht&#10;bFBLBQYAAAAABgAGAFkBAAA6BgAAAAA=&#10;" adj="19175,5400">
                      <v:fill on="t" focussize="0,0"/>
                      <v:stroke weight="1pt" color="#64310F [3205]" miterlimit="8" joinstyle="miter"/>
                      <v:imagedata o:title=""/>
                      <o:lock v:ext="edit" aspectratio="f"/>
                    </v:shape>
                  </w:pict>
                </mc:Fallback>
              </mc:AlternateContent>
            </w:r>
            <w:r>
              <w:drawing>
                <wp:inline distT="0" distB="0" distL="0" distR="0">
                  <wp:extent cx="6569710" cy="2122170"/>
                  <wp:effectExtent l="0" t="0" r="2540" b="0"/>
                  <wp:docPr id="193498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6063" name="图片 1"/>
                          <pic:cNvPicPr>
                            <a:picLocks noChangeAspect="1"/>
                          </pic:cNvPicPr>
                        </pic:nvPicPr>
                        <pic:blipFill>
                          <a:blip r:embed="rId9"/>
                          <a:stretch>
                            <a:fillRect/>
                          </a:stretch>
                        </pic:blipFill>
                        <pic:spPr>
                          <a:xfrm>
                            <a:off x="0" y="0"/>
                            <a:ext cx="6569710" cy="212217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single" w:color="ED7D31" w:themeColor="accent2" w:sz="18" w:space="0"/>
              <w:left w:val="nil"/>
              <w:bottom w:val="nil"/>
              <w:right w:val="nil"/>
            </w:tcBorders>
          </w:tcPr>
          <w:p>
            <w:pPr>
              <w:spacing w:line="360" w:lineRule="auto"/>
              <w:rPr>
                <w:rFonts w:hint="eastAsia" w:ascii="黑体" w:hAnsi="黑体" w:eastAsia="黑体" w:cs="黑体"/>
                <w:szCs w:val="21"/>
              </w:rPr>
            </w:pPr>
            <w:r>
              <w:rPr>
                <w:rFonts w:hint="eastAsia" w:ascii="楷体" w:hAnsi="楷体" w:eastAsia="楷体"/>
                <w:bCs/>
                <w:sz w:val="20"/>
              </w:rPr>
              <w:t>数据来源：富途证券、山金期货投资咨询部</w:t>
            </w:r>
          </w:p>
        </w:tc>
        <w:tc>
          <w:tcPr>
            <w:tcW w:w="5279" w:type="dxa"/>
            <w:gridSpan w:val="2"/>
            <w:tcBorders>
              <w:top w:val="single" w:color="ED7D31" w:themeColor="accent2" w:sz="18" w:space="0"/>
              <w:left w:val="nil"/>
              <w:bottom w:val="nil"/>
              <w:right w:val="nil"/>
            </w:tcBorders>
          </w:tcPr>
          <w:p>
            <w:pPr>
              <w:spacing w:line="360" w:lineRule="auto"/>
              <w:rPr>
                <w:rFonts w:hint="eastAsia" w:ascii="黑体" w:hAnsi="黑体" w:eastAsia="黑体" w:cs="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nil"/>
              <w:right w:val="nil"/>
            </w:tcBorders>
          </w:tcPr>
          <w:p>
            <w:pPr>
              <w:spacing w:line="360" w:lineRule="auto"/>
              <w:rPr>
                <w:rFonts w:hint="eastAsia" w:ascii="黑体" w:hAnsi="黑体" w:eastAsia="黑体" w:cs="黑体"/>
                <w:szCs w:val="21"/>
              </w:rPr>
            </w:pPr>
          </w:p>
        </w:tc>
        <w:tc>
          <w:tcPr>
            <w:tcW w:w="5279" w:type="dxa"/>
            <w:gridSpan w:val="2"/>
            <w:tcBorders>
              <w:top w:val="nil"/>
              <w:left w:val="nil"/>
              <w:bottom w:val="nil"/>
              <w:right w:val="nil"/>
            </w:tcBorders>
          </w:tcPr>
          <w:p>
            <w:pPr>
              <w:spacing w:line="360" w:lineRule="auto"/>
              <w:rPr>
                <w:rFonts w:hint="eastAsia" w:ascii="黑体" w:hAnsi="黑体" w:eastAsia="黑体" w:cs="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3"/>
            <w:tcBorders>
              <w:top w:val="nil"/>
              <w:left w:val="nil"/>
              <w:bottom w:val="nil"/>
              <w:right w:val="nil"/>
            </w:tcBorders>
          </w:tcPr>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lang w:val="en-US" w:eastAsia="zh-CN"/>
              </w:rPr>
              <w:t>相比本轮的衰退交易，</w:t>
            </w:r>
            <w:r>
              <w:rPr>
                <w:rFonts w:hint="eastAsia" w:ascii="楷体" w:hAnsi="楷体" w:eastAsia="楷体"/>
                <w:bCs/>
                <w:sz w:val="24"/>
                <w:szCs w:val="36"/>
              </w:rPr>
              <w:t>第一次石油危机期间</w:t>
            </w:r>
            <w:r>
              <w:rPr>
                <w:rFonts w:hint="eastAsia" w:ascii="楷体" w:hAnsi="楷体" w:eastAsia="楷体"/>
                <w:bCs/>
                <w:sz w:val="24"/>
                <w:szCs w:val="36"/>
                <w:lang w:val="en-US" w:eastAsia="zh-CN"/>
              </w:rPr>
              <w:t>市场</w:t>
            </w:r>
            <w:r>
              <w:rPr>
                <w:rFonts w:hint="eastAsia" w:ascii="楷体" w:hAnsi="楷体" w:eastAsia="楷体"/>
                <w:bCs/>
                <w:sz w:val="24"/>
                <w:szCs w:val="36"/>
              </w:rPr>
              <w:t>表现更多</w:t>
            </w:r>
            <w:r>
              <w:rPr>
                <w:rFonts w:hint="eastAsia" w:ascii="楷体" w:hAnsi="楷体" w:eastAsia="楷体"/>
                <w:bCs/>
                <w:sz w:val="24"/>
                <w:szCs w:val="36"/>
                <w:lang w:val="en-US" w:eastAsia="zh-CN"/>
              </w:rPr>
              <w:t>的是</w:t>
            </w:r>
            <w:r>
              <w:rPr>
                <w:rFonts w:hint="eastAsia" w:ascii="楷体" w:hAnsi="楷体" w:eastAsia="楷体"/>
                <w:bCs/>
                <w:sz w:val="24"/>
                <w:szCs w:val="36"/>
              </w:rPr>
              <w:t>对成本增加的担忧，甚至在某种程度上忽略了经济衰退</w:t>
            </w:r>
            <w:r>
              <w:rPr>
                <w:rFonts w:hint="eastAsia" w:ascii="楷体" w:hAnsi="楷体" w:eastAsia="楷体"/>
                <w:bCs/>
                <w:sz w:val="24"/>
                <w:szCs w:val="36"/>
                <w:lang w:val="en-US" w:eastAsia="zh-CN"/>
              </w:rPr>
              <w:t>的</w:t>
            </w:r>
            <w:r>
              <w:rPr>
                <w:rFonts w:hint="eastAsia" w:ascii="楷体" w:hAnsi="楷体" w:eastAsia="楷体"/>
                <w:bCs/>
                <w:sz w:val="24"/>
                <w:szCs w:val="36"/>
              </w:rPr>
              <w:t>风险。结合时代背景看在刚刚经历的60-70年代经济的繁荣周期后市场可能对于全球经济的韧性过于乐观，对衰退风险的低估一定程度上可以解释在不存在流动性担忧的情况下初期贵金属价格的走弱以及美债收益率的稳定，但此后随着现实通胀大幅走高以及经济走弱，市场的避险需求开始推动美元及贵金属价格全面向上。</w:t>
            </w:r>
          </w:p>
          <w:p>
            <w:pPr>
              <w:spacing w:line="360" w:lineRule="auto"/>
              <w:ind w:firstLine="420" w:firstLineChars="200"/>
              <w:rPr>
                <w:rFonts w:hint="eastAsia" w:ascii="黑体" w:hAnsi="黑体" w:eastAsia="黑体" w:cs="黑体"/>
                <w:szCs w:val="21"/>
              </w:rPr>
            </w:pPr>
          </w:p>
        </w:tc>
      </w:tr>
    </w:tbl>
    <w:p>
      <w:r>
        <w:br w:type="page"/>
      </w:r>
    </w:p>
    <w:tbl>
      <w:tblPr>
        <w:tblStyle w:val="9"/>
        <w:tblW w:w="10562" w:type="dxa"/>
        <w:tblInd w:w="-9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83"/>
        <w:gridCol w:w="5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single" w:color="auto" w:sz="4" w:space="0"/>
              <w:right w:val="nil"/>
            </w:tcBorders>
          </w:tcPr>
          <w:p>
            <w:pPr>
              <w:spacing w:line="360" w:lineRule="auto"/>
              <w:rPr>
                <w:rFonts w:hint="eastAsia" w:ascii="黑体" w:hAnsi="黑体" w:eastAsia="黑体" w:cs="黑体"/>
                <w:szCs w:val="21"/>
              </w:rPr>
            </w:pPr>
            <w:r>
              <w:br w:type="page"/>
            </w:r>
            <w:r>
              <w:br w:type="page"/>
            </w:r>
            <w:r>
              <w:rPr>
                <w:rFonts w:hint="eastAsia" w:ascii="黑体" w:hAnsi="黑体" w:eastAsia="黑体" w:cs="黑体"/>
                <w:szCs w:val="21"/>
              </w:rPr>
              <w:t>图：第一次石油危机期间主要资产价格变化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single" w:color="ED7D31" w:themeColor="accent2" w:sz="12" w:space="0"/>
              <w:left w:val="nil"/>
              <w:bottom w:val="nil"/>
              <w:right w:val="nil"/>
            </w:tcBorders>
          </w:tcPr>
          <w:p>
            <w:pPr>
              <w:spacing w:line="360" w:lineRule="auto"/>
              <w:rPr>
                <w:rFonts w:hint="eastAsia" w:ascii="黑体" w:hAnsi="黑体" w:eastAsia="黑体" w:cs="黑体"/>
                <w:szCs w:val="21"/>
              </w:rPr>
            </w:pPr>
            <w:r>
              <w:rPr>
                <w:rFonts w:ascii="黑体" w:hAnsi="黑体" w:eastAsia="黑体" w:cs="黑体"/>
                <w:szCs w:val="21"/>
              </w:rPr>
              <w:drawing>
                <wp:inline distT="0" distB="0" distL="0" distR="0">
                  <wp:extent cx="3217545" cy="1675130"/>
                  <wp:effectExtent l="0" t="0" r="1905" b="1270"/>
                  <wp:docPr id="839368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8621" name="图片 1"/>
                          <pic:cNvPicPr>
                            <a:picLocks noChangeAspect="1"/>
                          </pic:cNvPicPr>
                        </pic:nvPicPr>
                        <pic:blipFill>
                          <a:blip r:embed="rId10"/>
                          <a:stretch>
                            <a:fillRect/>
                          </a:stretch>
                        </pic:blipFill>
                        <pic:spPr>
                          <a:xfrm>
                            <a:off x="0" y="0"/>
                            <a:ext cx="3217545" cy="1675130"/>
                          </a:xfrm>
                          <a:prstGeom prst="rect">
                            <a:avLst/>
                          </a:prstGeom>
                        </pic:spPr>
                      </pic:pic>
                    </a:graphicData>
                  </a:graphic>
                </wp:inline>
              </w:drawing>
            </w:r>
          </w:p>
        </w:tc>
        <w:tc>
          <w:tcPr>
            <w:tcW w:w="5279" w:type="dxa"/>
            <w:tcBorders>
              <w:top w:val="single" w:color="ED7D31" w:themeColor="accent2" w:sz="12" w:space="0"/>
              <w:left w:val="nil"/>
              <w:bottom w:val="nil"/>
              <w:right w:val="nil"/>
            </w:tcBorders>
          </w:tcPr>
          <w:p>
            <w:pPr>
              <w:spacing w:line="360" w:lineRule="auto"/>
              <w:rPr>
                <w:rFonts w:hint="eastAsia" w:ascii="黑体" w:hAnsi="黑体" w:eastAsia="黑体" w:cs="黑体"/>
                <w:szCs w:val="21"/>
              </w:rPr>
            </w:pPr>
            <w:r>
              <w:rPr>
                <w:rFonts w:ascii="黑体" w:hAnsi="黑体" w:eastAsia="黑体" w:cs="黑体"/>
                <w:szCs w:val="21"/>
              </w:rPr>
              <w:drawing>
                <wp:inline distT="0" distB="0" distL="0" distR="0">
                  <wp:extent cx="3215005" cy="1673860"/>
                  <wp:effectExtent l="0" t="0" r="4445" b="2540"/>
                  <wp:docPr id="1859948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48313" name="图片 1"/>
                          <pic:cNvPicPr>
                            <a:picLocks noChangeAspect="1"/>
                          </pic:cNvPicPr>
                        </pic:nvPicPr>
                        <pic:blipFill>
                          <a:blip r:embed="rId11"/>
                          <a:stretch>
                            <a:fillRect/>
                          </a:stretch>
                        </pic:blipFill>
                        <pic:spPr>
                          <a:xfrm>
                            <a:off x="0" y="0"/>
                            <a:ext cx="3215005" cy="167386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nil"/>
              <w:right w:val="nil"/>
            </w:tcBorders>
          </w:tcPr>
          <w:p>
            <w:pPr>
              <w:spacing w:line="360" w:lineRule="auto"/>
              <w:rPr>
                <w:rFonts w:hint="eastAsia" w:ascii="黑体" w:hAnsi="黑体" w:eastAsia="黑体" w:cs="黑体"/>
                <w:szCs w:val="21"/>
              </w:rPr>
            </w:pPr>
            <w:r>
              <w:rPr>
                <w:rFonts w:ascii="黑体" w:hAnsi="黑体" w:eastAsia="黑体" w:cs="黑体"/>
                <w:szCs w:val="21"/>
              </w:rPr>
              <w:drawing>
                <wp:inline distT="0" distB="0" distL="0" distR="0">
                  <wp:extent cx="3199765" cy="1771650"/>
                  <wp:effectExtent l="0" t="0" r="635" b="0"/>
                  <wp:docPr id="1252649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9879" name="图片 1"/>
                          <pic:cNvPicPr>
                            <a:picLocks noChangeAspect="1"/>
                          </pic:cNvPicPr>
                        </pic:nvPicPr>
                        <pic:blipFill>
                          <a:blip r:embed="rId12"/>
                          <a:stretch>
                            <a:fillRect/>
                          </a:stretch>
                        </pic:blipFill>
                        <pic:spPr>
                          <a:xfrm>
                            <a:off x="0" y="0"/>
                            <a:ext cx="3207995" cy="1776207"/>
                          </a:xfrm>
                          <a:prstGeom prst="rect">
                            <a:avLst/>
                          </a:prstGeom>
                        </pic:spPr>
                      </pic:pic>
                    </a:graphicData>
                  </a:graphic>
                </wp:inline>
              </w:drawing>
            </w:r>
          </w:p>
        </w:tc>
        <w:tc>
          <w:tcPr>
            <w:tcW w:w="5279" w:type="dxa"/>
            <w:tcBorders>
              <w:top w:val="nil"/>
              <w:left w:val="nil"/>
              <w:bottom w:val="nil"/>
              <w:right w:val="nil"/>
            </w:tcBorders>
          </w:tcPr>
          <w:p>
            <w:pPr>
              <w:spacing w:line="360" w:lineRule="auto"/>
              <w:rPr>
                <w:rFonts w:hint="eastAsia" w:ascii="黑体" w:hAnsi="黑体" w:eastAsia="黑体" w:cs="黑体"/>
                <w:szCs w:val="21"/>
              </w:rPr>
            </w:pPr>
            <w:r>
              <w:rPr>
                <w:rFonts w:ascii="黑体" w:hAnsi="黑体" w:eastAsia="黑体" w:cs="黑体"/>
                <w:szCs w:val="21"/>
              </w:rPr>
              <w:drawing>
                <wp:inline distT="0" distB="0" distL="0" distR="0">
                  <wp:extent cx="3215005" cy="1718945"/>
                  <wp:effectExtent l="0" t="0" r="4445" b="0"/>
                  <wp:docPr id="783081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1260" name="图片 1"/>
                          <pic:cNvPicPr>
                            <a:picLocks noChangeAspect="1"/>
                          </pic:cNvPicPr>
                        </pic:nvPicPr>
                        <pic:blipFill>
                          <a:blip r:embed="rId13"/>
                          <a:stretch>
                            <a:fillRect/>
                          </a:stretch>
                        </pic:blipFill>
                        <pic:spPr>
                          <a:xfrm>
                            <a:off x="0" y="0"/>
                            <a:ext cx="3217951" cy="1720838"/>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single" w:color="ED7D31" w:themeColor="accent2" w:sz="12" w:space="0"/>
              <w:right w:val="nil"/>
            </w:tcBorders>
          </w:tcPr>
          <w:p>
            <w:pPr>
              <w:spacing w:line="360" w:lineRule="auto"/>
              <w:rPr>
                <w:rFonts w:hint="eastAsia" w:ascii="楷体" w:hAnsi="楷体" w:eastAsia="楷体"/>
                <w:bCs/>
                <w:sz w:val="20"/>
              </w:rPr>
            </w:pPr>
            <w:r>
              <w:rPr>
                <w:rFonts w:ascii="楷体" w:hAnsi="楷体" w:eastAsia="楷体"/>
                <w:bCs/>
                <w:sz w:val="20"/>
              </w:rPr>
              <w:drawing>
                <wp:inline distT="0" distB="0" distL="0" distR="0">
                  <wp:extent cx="3217545" cy="1776095"/>
                  <wp:effectExtent l="0" t="0" r="1905" b="0"/>
                  <wp:docPr id="411530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0927" name="图片 1"/>
                          <pic:cNvPicPr>
                            <a:picLocks noChangeAspect="1"/>
                          </pic:cNvPicPr>
                        </pic:nvPicPr>
                        <pic:blipFill>
                          <a:blip r:embed="rId14"/>
                          <a:stretch>
                            <a:fillRect/>
                          </a:stretch>
                        </pic:blipFill>
                        <pic:spPr>
                          <a:xfrm>
                            <a:off x="0" y="0"/>
                            <a:ext cx="3221041" cy="1778342"/>
                          </a:xfrm>
                          <a:prstGeom prst="rect">
                            <a:avLst/>
                          </a:prstGeom>
                        </pic:spPr>
                      </pic:pic>
                    </a:graphicData>
                  </a:graphic>
                </wp:inline>
              </w:drawing>
            </w:r>
          </w:p>
        </w:tc>
        <w:tc>
          <w:tcPr>
            <w:tcW w:w="5279" w:type="dxa"/>
            <w:tcBorders>
              <w:top w:val="nil"/>
              <w:left w:val="nil"/>
              <w:bottom w:val="single" w:color="ED7D31" w:themeColor="accent2" w:sz="12" w:space="0"/>
              <w:right w:val="nil"/>
            </w:tcBorders>
          </w:tcPr>
          <w:p>
            <w:pPr>
              <w:spacing w:line="360" w:lineRule="auto"/>
              <w:rPr>
                <w:rFonts w:hint="eastAsia" w:ascii="楷体" w:hAnsi="楷体" w:eastAsia="楷体"/>
                <w:bCs/>
                <w:sz w:val="20"/>
              </w:rPr>
            </w:pPr>
            <w:r>
              <w:rPr>
                <w:rFonts w:ascii="楷体" w:hAnsi="楷体" w:eastAsia="楷体"/>
                <w:bCs/>
                <w:sz w:val="20"/>
              </w:rPr>
              <w:drawing>
                <wp:inline distT="0" distB="0" distL="0" distR="0">
                  <wp:extent cx="3215005" cy="1724025"/>
                  <wp:effectExtent l="0" t="0" r="4445" b="9525"/>
                  <wp:docPr id="645104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04885" name="图片 1"/>
                          <pic:cNvPicPr>
                            <a:picLocks noChangeAspect="1"/>
                          </pic:cNvPicPr>
                        </pic:nvPicPr>
                        <pic:blipFill>
                          <a:blip r:embed="rId15"/>
                          <a:stretch>
                            <a:fillRect/>
                          </a:stretch>
                        </pic:blipFill>
                        <pic:spPr>
                          <a:xfrm>
                            <a:off x="0" y="0"/>
                            <a:ext cx="3215005" cy="17240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single" w:color="ED7D31" w:themeColor="accent2" w:sz="12" w:space="0"/>
              <w:left w:val="nil"/>
              <w:bottom w:val="nil"/>
              <w:right w:val="nil"/>
            </w:tcBorders>
          </w:tcPr>
          <w:p>
            <w:pPr>
              <w:spacing w:line="360" w:lineRule="auto"/>
              <w:rPr>
                <w:rFonts w:hint="eastAsia" w:ascii="楷体" w:hAnsi="楷体" w:eastAsia="楷体"/>
                <w:bCs/>
                <w:sz w:val="20"/>
              </w:rPr>
            </w:pPr>
            <w:r>
              <w:rPr>
                <w:rFonts w:hint="eastAsia" w:ascii="楷体" w:hAnsi="楷体" w:eastAsia="楷体"/>
                <w:bCs/>
                <w:sz w:val="20"/>
              </w:rPr>
              <w:t>数据来源：iFinD、山金期货投资咨询部</w:t>
            </w:r>
          </w:p>
        </w:tc>
        <w:tc>
          <w:tcPr>
            <w:tcW w:w="5279" w:type="dxa"/>
            <w:tcBorders>
              <w:top w:val="single" w:color="ED7D31" w:themeColor="accent2" w:sz="12" w:space="0"/>
              <w:left w:val="nil"/>
              <w:bottom w:val="nil"/>
              <w:right w:val="nil"/>
            </w:tcBorders>
          </w:tcPr>
          <w:p>
            <w:pPr>
              <w:spacing w:line="360" w:lineRule="auto"/>
              <w:rPr>
                <w:rFonts w:hint="eastAsia" w:ascii="楷体" w:hAnsi="楷体" w:eastAsia="楷体"/>
                <w:bCs/>
                <w:sz w:val="20"/>
              </w:rPr>
            </w:pPr>
            <w:r>
              <w:rPr>
                <w:rFonts w:hint="eastAsia" w:ascii="楷体" w:hAnsi="楷体" w:eastAsia="楷体"/>
                <w:bCs/>
                <w:sz w:val="20"/>
              </w:rPr>
              <w:t>数据来源：iFinD、山金期货投资咨询部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nil"/>
              <w:right w:val="nil"/>
            </w:tcBorders>
          </w:tcPr>
          <w:p>
            <w:pPr>
              <w:spacing w:line="360" w:lineRule="auto"/>
              <w:rPr>
                <w:rFonts w:hint="eastAsia" w:ascii="楷体" w:hAnsi="楷体" w:eastAsia="楷体"/>
                <w:bCs/>
                <w:sz w:val="20"/>
              </w:rPr>
            </w:pPr>
          </w:p>
        </w:tc>
        <w:tc>
          <w:tcPr>
            <w:tcW w:w="5279" w:type="dxa"/>
            <w:tcBorders>
              <w:top w:val="nil"/>
              <w:left w:val="nil"/>
              <w:bottom w:val="nil"/>
              <w:right w:val="nil"/>
            </w:tcBorders>
          </w:tcPr>
          <w:p>
            <w:pPr>
              <w:spacing w:line="360" w:lineRule="auto"/>
              <w:rPr>
                <w:rFonts w:hint="eastAsia" w:ascii="楷体" w:hAnsi="楷体" w:eastAsia="楷体"/>
                <w:bCs/>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nil"/>
              <w:right w:val="nil"/>
            </w:tcBorders>
          </w:tcPr>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rPr>
              <w:t>回到当前</w:t>
            </w:r>
            <w:r>
              <w:rPr>
                <w:rFonts w:hint="eastAsia" w:ascii="楷体" w:hAnsi="楷体" w:eastAsia="楷体"/>
                <w:bCs/>
                <w:sz w:val="24"/>
                <w:szCs w:val="36"/>
                <w:lang w:eastAsia="zh-CN"/>
              </w:rPr>
              <w:t>，</w:t>
            </w:r>
            <w:r>
              <w:rPr>
                <w:rFonts w:hint="eastAsia" w:ascii="楷体" w:hAnsi="楷体" w:eastAsia="楷体"/>
                <w:bCs/>
                <w:sz w:val="24"/>
                <w:szCs w:val="36"/>
              </w:rPr>
              <w:t>我们认为</w:t>
            </w:r>
            <w:r>
              <w:rPr>
                <w:rFonts w:hint="eastAsia" w:ascii="楷体" w:hAnsi="楷体" w:eastAsia="楷体"/>
                <w:bCs/>
                <w:sz w:val="24"/>
                <w:szCs w:val="36"/>
                <w:lang w:val="en-US" w:eastAsia="zh-CN"/>
              </w:rPr>
              <w:t>本轮</w:t>
            </w:r>
            <w:r>
              <w:rPr>
                <w:rFonts w:hint="eastAsia" w:ascii="楷体" w:hAnsi="楷体" w:eastAsia="楷体"/>
                <w:bCs/>
                <w:sz w:val="24"/>
                <w:szCs w:val="36"/>
              </w:rPr>
              <w:t>危机爆发前全球经济的预期是偏弱的</w:t>
            </w:r>
            <w:r>
              <w:rPr>
                <w:rFonts w:hint="eastAsia" w:ascii="楷体" w:hAnsi="楷体" w:eastAsia="楷体"/>
                <w:bCs/>
                <w:sz w:val="24"/>
                <w:szCs w:val="36"/>
                <w:lang w:eastAsia="zh-CN"/>
              </w:rPr>
              <w:t>：</w:t>
            </w:r>
            <w:r>
              <w:rPr>
                <w:rFonts w:hint="eastAsia" w:ascii="楷体" w:hAnsi="楷体" w:eastAsia="楷体"/>
                <w:bCs/>
                <w:sz w:val="24"/>
                <w:szCs w:val="36"/>
              </w:rPr>
              <w:t>一方面市场刚刚经历特朗普的全球贸易战扰动，主要经济体增长乏力；另一方面主要资产价格持续走高</w:t>
            </w:r>
            <w:r>
              <w:rPr>
                <w:rFonts w:hint="eastAsia" w:ascii="楷体" w:hAnsi="楷体" w:eastAsia="楷体"/>
                <w:bCs/>
                <w:sz w:val="24"/>
                <w:szCs w:val="36"/>
                <w:lang w:eastAsia="zh-CN"/>
              </w:rPr>
              <w:t>，</w:t>
            </w:r>
            <w:r>
              <w:rPr>
                <w:rFonts w:hint="eastAsia" w:ascii="楷体" w:hAnsi="楷体" w:eastAsia="楷体"/>
                <w:bCs/>
                <w:sz w:val="24"/>
                <w:szCs w:val="36"/>
              </w:rPr>
              <w:t>美股、金属等均处于历史高位，大部分缺乏明显的基本面支撑，回调风险偏高</w:t>
            </w:r>
            <w:r>
              <w:rPr>
                <w:rFonts w:hint="eastAsia" w:ascii="楷体" w:hAnsi="楷体" w:eastAsia="楷体"/>
                <w:bCs/>
                <w:sz w:val="24"/>
                <w:szCs w:val="36"/>
                <w:lang w:eastAsia="zh-CN"/>
              </w:rPr>
              <w:t>，</w:t>
            </w:r>
            <w:r>
              <w:rPr>
                <w:rFonts w:hint="eastAsia" w:ascii="楷体" w:hAnsi="楷体" w:eastAsia="楷体"/>
                <w:bCs/>
                <w:sz w:val="24"/>
                <w:szCs w:val="36"/>
                <w:lang w:val="en-US" w:eastAsia="zh-CN"/>
              </w:rPr>
              <w:t>此外</w:t>
            </w:r>
            <w:r>
              <w:rPr>
                <w:rFonts w:hint="eastAsia" w:ascii="楷体" w:hAnsi="楷体" w:eastAsia="楷体"/>
                <w:bCs/>
                <w:sz w:val="24"/>
                <w:szCs w:val="36"/>
              </w:rPr>
              <w:t>2月美国非农负增长又加重</w:t>
            </w:r>
            <w:r>
              <w:rPr>
                <w:rFonts w:hint="eastAsia" w:ascii="楷体" w:hAnsi="楷体" w:eastAsia="楷体"/>
                <w:bCs/>
                <w:sz w:val="24"/>
                <w:szCs w:val="36"/>
                <w:lang w:val="en-US" w:eastAsia="zh-CN"/>
              </w:rPr>
              <w:t>经济下行</w:t>
            </w:r>
            <w:r>
              <w:rPr>
                <w:rFonts w:hint="eastAsia" w:ascii="楷体" w:hAnsi="楷体" w:eastAsia="楷体"/>
                <w:bCs/>
                <w:sz w:val="24"/>
                <w:szCs w:val="36"/>
              </w:rPr>
              <w:t>担忧，因此在冲突爆发后市场快速进入</w:t>
            </w:r>
            <w:r>
              <w:rPr>
                <w:rFonts w:hint="eastAsia" w:ascii="楷体" w:hAnsi="楷体" w:eastAsia="楷体"/>
                <w:bCs/>
                <w:sz w:val="24"/>
                <w:szCs w:val="36"/>
                <w:lang w:val="en-US" w:eastAsia="zh-CN"/>
              </w:rPr>
              <w:t>衰退</w:t>
            </w:r>
            <w:r>
              <w:rPr>
                <w:rFonts w:hint="eastAsia" w:ascii="楷体" w:hAnsi="楷体" w:eastAsia="楷体"/>
                <w:bCs/>
                <w:sz w:val="24"/>
                <w:szCs w:val="36"/>
              </w:rPr>
              <w:t>预期。</w:t>
            </w:r>
          </w:p>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rPr>
              <w:t>从截至18日的利率数据看，美国长短期国债利差回落、信用债利差走扩，同样符合衰退交易特点，因此我们判断两次石油危机的核心区别可能在于市场对于全球违约风险的评估差异。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3" w:type="dxa"/>
            <w:tcBorders>
              <w:top w:val="nil"/>
              <w:left w:val="nil"/>
              <w:bottom w:val="nil"/>
              <w:right w:val="nil"/>
            </w:tcBorders>
          </w:tcPr>
          <w:p>
            <w:pPr>
              <w:spacing w:line="360" w:lineRule="auto"/>
              <w:rPr>
                <w:rFonts w:hint="eastAsia" w:ascii="楷体" w:hAnsi="楷体" w:eastAsia="楷体"/>
                <w:bCs/>
                <w:sz w:val="20"/>
              </w:rPr>
            </w:pPr>
          </w:p>
        </w:tc>
        <w:tc>
          <w:tcPr>
            <w:tcW w:w="5279" w:type="dxa"/>
            <w:tcBorders>
              <w:top w:val="nil"/>
              <w:left w:val="nil"/>
              <w:bottom w:val="nil"/>
              <w:right w:val="nil"/>
            </w:tcBorders>
          </w:tcPr>
          <w:p>
            <w:pPr>
              <w:spacing w:line="360" w:lineRule="auto"/>
              <w:rPr>
                <w:rFonts w:hint="eastAsia" w:ascii="楷体" w:hAnsi="楷体" w:eastAsia="楷体"/>
                <w:bCs/>
                <w:sz w:val="20"/>
              </w:rPr>
            </w:pPr>
          </w:p>
        </w:tc>
      </w:tr>
    </w:tbl>
    <w:p>
      <w:r>
        <w:br w:type="page"/>
      </w:r>
    </w:p>
    <w:p/>
    <w:tbl>
      <w:tblPr>
        <w:tblStyle w:val="9"/>
        <w:tblW w:w="10562" w:type="dxa"/>
        <w:tblInd w:w="-9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81"/>
        <w:gridCol w:w="52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nil"/>
              <w:right w:val="nil"/>
            </w:tcBorders>
          </w:tcPr>
          <w:p>
            <w:pPr>
              <w:spacing w:line="360" w:lineRule="auto"/>
              <w:ind w:firstLine="480" w:firstLineChars="200"/>
              <w:rPr>
                <w:rFonts w:hint="eastAsia" w:ascii="楷体" w:hAnsi="楷体" w:eastAsia="楷体"/>
                <w:bCs/>
                <w:sz w:val="24"/>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0"/>
              </w:rPr>
            </w:pPr>
            <w:r>
              <w:rPr>
                <w:rFonts w:hint="eastAsia" w:ascii="黑体" w:hAnsi="黑体" w:eastAsia="黑体" w:cs="黑体"/>
                <w:szCs w:val="21"/>
              </w:rPr>
              <w:t>图：中国铜平衡（万吨）</w:t>
            </w:r>
          </w:p>
        </w:tc>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0"/>
              </w:rPr>
            </w:pPr>
            <w:r>
              <w:rPr>
                <w:rFonts w:hint="eastAsia" w:ascii="黑体" w:hAnsi="黑体" w:eastAsia="黑体" w:cs="黑体"/>
                <w:szCs w:val="21"/>
              </w:rPr>
              <w:t>图：全球铜平衡（万吨）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0"/>
              </w:rPr>
            </w:pPr>
            <w:r>
              <w:drawing>
                <wp:inline distT="0" distB="0" distL="0" distR="0">
                  <wp:extent cx="3319145" cy="1562100"/>
                  <wp:effectExtent l="0" t="0" r="0" b="0"/>
                  <wp:docPr id="177811916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0"/>
              </w:rPr>
            </w:pPr>
            <w:r>
              <w:drawing>
                <wp:inline distT="0" distB="0" distL="0" distR="0">
                  <wp:extent cx="3300730" cy="1557020"/>
                  <wp:effectExtent l="0" t="0" r="0" b="5080"/>
                  <wp:docPr id="168450075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0"/>
              </w:rPr>
            </w:pPr>
            <w:r>
              <w:rPr>
                <w:rFonts w:hint="eastAsia" w:ascii="楷体" w:hAnsi="楷体" w:eastAsia="楷体"/>
                <w:bCs/>
                <w:sz w:val="20"/>
              </w:rPr>
              <w:t>数据来源：SMM、iFinD、山金期货投资咨询部</w:t>
            </w:r>
          </w:p>
        </w:tc>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0"/>
              </w:rPr>
            </w:pPr>
            <w:r>
              <w:rPr>
                <w:rFonts w:hint="eastAsia" w:ascii="楷体" w:hAnsi="楷体" w:eastAsia="楷体"/>
                <w:bCs/>
                <w:sz w:val="20"/>
              </w:rPr>
              <w:t>数据来源：SMM、iFinD、山金期货投资咨询部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nil"/>
              <w:right w:val="nil"/>
            </w:tcBorders>
          </w:tcPr>
          <w:p>
            <w:pPr>
              <w:spacing w:line="36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4"/>
                <w:szCs w:val="36"/>
              </w:rPr>
            </w:pPr>
            <w:r>
              <w:rPr>
                <w:rFonts w:hint="eastAsia" w:ascii="黑体" w:hAnsi="黑体" w:eastAsia="黑体" w:cs="黑体"/>
                <w:szCs w:val="21"/>
              </w:rPr>
              <w:t>图：中国铝平衡（万吨）</w:t>
            </w:r>
          </w:p>
        </w:tc>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4"/>
                <w:szCs w:val="36"/>
              </w:rPr>
            </w:pPr>
            <w:r>
              <w:rPr>
                <w:rFonts w:hint="eastAsia" w:ascii="黑体" w:hAnsi="黑体" w:eastAsia="黑体" w:cs="黑体"/>
                <w:szCs w:val="21"/>
              </w:rPr>
              <w:t>图：全球铝平衡（万吨）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4"/>
                <w:szCs w:val="36"/>
              </w:rPr>
            </w:pPr>
            <w:r>
              <w:drawing>
                <wp:inline distT="0" distB="0" distL="0" distR="0">
                  <wp:extent cx="3319145" cy="1547495"/>
                  <wp:effectExtent l="0" t="0" r="0" b="0"/>
                  <wp:docPr id="9727746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4"/>
                <w:szCs w:val="36"/>
              </w:rPr>
            </w:pPr>
            <w:r>
              <w:drawing>
                <wp:inline distT="0" distB="0" distL="0" distR="0">
                  <wp:extent cx="3300730" cy="1514475"/>
                  <wp:effectExtent l="0" t="0" r="0" b="0"/>
                  <wp:docPr id="192248777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4"/>
                <w:szCs w:val="36"/>
              </w:rPr>
            </w:pPr>
            <w:r>
              <w:rPr>
                <w:rFonts w:hint="eastAsia" w:ascii="楷体" w:hAnsi="楷体" w:eastAsia="楷体"/>
                <w:bCs/>
                <w:sz w:val="20"/>
              </w:rPr>
              <w:t>数据来源：SMM、iFinD、山金期货投资咨询部</w:t>
            </w:r>
          </w:p>
        </w:tc>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4"/>
                <w:szCs w:val="36"/>
              </w:rPr>
            </w:pPr>
            <w:r>
              <w:rPr>
                <w:rFonts w:hint="eastAsia" w:ascii="楷体" w:hAnsi="楷体" w:eastAsia="楷体"/>
                <w:bCs/>
                <w:sz w:val="20"/>
              </w:rPr>
              <w:t>数据来源：SMM、iFinD、山金期货投资咨询部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nil"/>
              <w:left w:val="nil"/>
              <w:bottom w:val="nil"/>
              <w:right w:val="nil"/>
            </w:tcBorders>
          </w:tcPr>
          <w:p>
            <w:pPr>
              <w:spacing w:line="360" w:lineRule="auto"/>
              <w:ind w:firstLine="480" w:firstLineChars="200"/>
              <w:rPr>
                <w:rFonts w:hint="eastAsia" w:ascii="楷体" w:hAnsi="楷体" w:eastAsia="楷体"/>
                <w:bCs/>
                <w:sz w:val="24"/>
                <w:szCs w:val="36"/>
              </w:rPr>
            </w:pPr>
          </w:p>
        </w:tc>
        <w:tc>
          <w:tcPr>
            <w:tcW w:w="5281" w:type="dxa"/>
            <w:tcBorders>
              <w:top w:val="nil"/>
              <w:left w:val="nil"/>
              <w:bottom w:val="nil"/>
              <w:right w:val="nil"/>
            </w:tcBorders>
          </w:tcPr>
          <w:p>
            <w:pPr>
              <w:spacing w:line="360" w:lineRule="auto"/>
              <w:ind w:firstLine="480" w:firstLineChars="200"/>
              <w:rPr>
                <w:rFonts w:hint="eastAsia" w:ascii="楷体" w:hAnsi="楷体" w:eastAsia="楷体"/>
                <w:bCs/>
                <w:sz w:val="24"/>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4"/>
                <w:szCs w:val="36"/>
              </w:rPr>
            </w:pPr>
            <w:r>
              <w:rPr>
                <w:rFonts w:hint="eastAsia" w:ascii="黑体" w:hAnsi="黑体" w:eastAsia="黑体" w:cs="黑体"/>
                <w:szCs w:val="21"/>
              </w:rPr>
              <w:t>图：中国锌锭平衡（万吨）</w:t>
            </w:r>
          </w:p>
        </w:tc>
        <w:tc>
          <w:tcPr>
            <w:tcW w:w="5281" w:type="dxa"/>
            <w:tcBorders>
              <w:top w:val="nil"/>
              <w:left w:val="nil"/>
              <w:bottom w:val="single" w:color="ED7D31" w:themeColor="accent2" w:sz="18" w:space="0"/>
              <w:right w:val="nil"/>
            </w:tcBorders>
          </w:tcPr>
          <w:p>
            <w:pPr>
              <w:spacing w:line="360" w:lineRule="auto"/>
              <w:rPr>
                <w:rFonts w:hint="eastAsia" w:ascii="楷体" w:hAnsi="楷体" w:eastAsia="楷体"/>
                <w:bCs/>
                <w:sz w:val="24"/>
                <w:szCs w:val="36"/>
              </w:rPr>
            </w:pPr>
            <w:r>
              <w:rPr>
                <w:rFonts w:hint="eastAsia" w:ascii="黑体" w:hAnsi="黑体" w:eastAsia="黑体" w:cs="黑体"/>
                <w:szCs w:val="21"/>
              </w:rPr>
              <w:t>图：全球锌锭平衡（万吨）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4"/>
                <w:szCs w:val="36"/>
              </w:rPr>
            </w:pPr>
            <w:r>
              <w:drawing>
                <wp:inline distT="0" distB="0" distL="0" distR="0">
                  <wp:extent cx="3286125" cy="1524000"/>
                  <wp:effectExtent l="0" t="0" r="0" b="0"/>
                  <wp:docPr id="100285084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281" w:type="dxa"/>
            <w:tcBorders>
              <w:top w:val="single" w:color="ED7D31" w:themeColor="accent2" w:sz="18" w:space="0"/>
              <w:left w:val="nil"/>
              <w:bottom w:val="single" w:color="ED7D31" w:themeColor="accent2" w:sz="18" w:space="0"/>
              <w:right w:val="nil"/>
            </w:tcBorders>
          </w:tcPr>
          <w:p>
            <w:pPr>
              <w:spacing w:line="360" w:lineRule="auto"/>
              <w:rPr>
                <w:rFonts w:hint="eastAsia" w:ascii="楷体" w:hAnsi="楷体" w:eastAsia="楷体"/>
                <w:bCs/>
                <w:sz w:val="24"/>
                <w:szCs w:val="36"/>
              </w:rPr>
            </w:pPr>
            <w:r>
              <w:drawing>
                <wp:inline distT="0" distB="0" distL="0" distR="0">
                  <wp:extent cx="3300730" cy="1442720"/>
                  <wp:effectExtent l="0" t="0" r="0" b="5080"/>
                  <wp:docPr id="144832876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4"/>
                <w:szCs w:val="36"/>
              </w:rPr>
            </w:pPr>
            <w:r>
              <w:rPr>
                <w:rFonts w:hint="eastAsia" w:ascii="楷体" w:hAnsi="楷体" w:eastAsia="楷体"/>
                <w:bCs/>
                <w:sz w:val="20"/>
              </w:rPr>
              <w:t>数据来源：SMM、iFinD、山金期货投资咨询部</w:t>
            </w:r>
          </w:p>
        </w:tc>
        <w:tc>
          <w:tcPr>
            <w:tcW w:w="5281" w:type="dxa"/>
            <w:tcBorders>
              <w:top w:val="single" w:color="ED7D31" w:themeColor="accent2" w:sz="18" w:space="0"/>
              <w:left w:val="nil"/>
              <w:bottom w:val="nil"/>
              <w:right w:val="nil"/>
            </w:tcBorders>
          </w:tcPr>
          <w:p>
            <w:pPr>
              <w:spacing w:line="360" w:lineRule="auto"/>
              <w:rPr>
                <w:rFonts w:hint="eastAsia" w:ascii="楷体" w:hAnsi="楷体" w:eastAsia="楷体"/>
                <w:bCs/>
                <w:sz w:val="24"/>
                <w:szCs w:val="36"/>
              </w:rPr>
            </w:pPr>
            <w:r>
              <w:rPr>
                <w:rFonts w:hint="eastAsia" w:ascii="楷体" w:hAnsi="楷体" w:eastAsia="楷体"/>
                <w:bCs/>
                <w:sz w:val="20"/>
              </w:rPr>
              <w:t>数据来源：SMM、iFinD、山金期货投资咨询部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nil"/>
              <w:right w:val="nil"/>
            </w:tcBorders>
          </w:tcPr>
          <w:p>
            <w:pPr>
              <w:spacing w:line="360" w:lineRule="auto"/>
              <w:ind w:firstLine="480" w:firstLineChars="200"/>
              <w:rPr>
                <w:rFonts w:hint="eastAsia" w:ascii="楷体" w:hAnsi="楷体" w:eastAsia="楷体"/>
                <w:bCs/>
                <w:sz w:val="24"/>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0562" w:type="dxa"/>
            <w:gridSpan w:val="2"/>
            <w:tcBorders>
              <w:top w:val="nil"/>
              <w:left w:val="nil"/>
              <w:bottom w:val="nil"/>
              <w:right w:val="nil"/>
            </w:tcBorders>
          </w:tcPr>
          <w:p>
            <w:pPr>
              <w:spacing w:line="360" w:lineRule="auto"/>
              <w:ind w:firstLine="480" w:firstLineChars="200"/>
              <w:rPr>
                <w:rFonts w:hint="eastAsia" w:ascii="楷体" w:hAnsi="楷体" w:eastAsia="楷体"/>
                <w:bCs/>
                <w:sz w:val="24"/>
                <w:szCs w:val="36"/>
              </w:rPr>
            </w:pPr>
            <w:r>
              <w:rPr>
                <w:rFonts w:hint="eastAsia" w:ascii="楷体" w:hAnsi="楷体" w:eastAsia="楷体"/>
                <w:bCs/>
                <w:sz w:val="24"/>
                <w:szCs w:val="36"/>
              </w:rPr>
              <w:t>宏观之外我们从金属自身的表现看</w:t>
            </w:r>
            <w:r>
              <w:rPr>
                <w:rFonts w:hint="eastAsia" w:ascii="楷体" w:hAnsi="楷体" w:eastAsia="楷体"/>
                <w:bCs/>
                <w:sz w:val="24"/>
                <w:szCs w:val="36"/>
                <w:lang w:eastAsia="zh-CN"/>
              </w:rPr>
              <w:t>，</w:t>
            </w:r>
            <w:r>
              <w:rPr>
                <w:rFonts w:hint="eastAsia" w:ascii="楷体" w:hAnsi="楷体" w:eastAsia="楷体"/>
                <w:bCs/>
                <w:sz w:val="24"/>
                <w:szCs w:val="36"/>
              </w:rPr>
              <w:t>受高价等因素影响2026年一季度国内和全球的金属供需总体处于</w:t>
            </w:r>
            <w:r>
              <w:rPr>
                <w:rFonts w:hint="eastAsia" w:ascii="楷体" w:hAnsi="楷体" w:eastAsia="楷体"/>
                <w:bCs/>
                <w:sz w:val="24"/>
                <w:szCs w:val="36"/>
                <w:lang w:val="en-US" w:eastAsia="zh-CN"/>
              </w:rPr>
              <w:t>对比</w:t>
            </w:r>
            <w:r>
              <w:rPr>
                <w:rFonts w:hint="eastAsia" w:ascii="楷体" w:hAnsi="楷体" w:eastAsia="楷体"/>
                <w:bCs/>
                <w:sz w:val="24"/>
                <w:szCs w:val="36"/>
              </w:rPr>
              <w:t>同期非常过剩的区间</w:t>
            </w:r>
            <w:r>
              <w:rPr>
                <w:rFonts w:hint="eastAsia" w:ascii="楷体" w:hAnsi="楷体" w:eastAsia="楷体"/>
                <w:bCs/>
                <w:sz w:val="24"/>
                <w:szCs w:val="36"/>
                <w:lang w:eastAsia="zh-CN"/>
              </w:rPr>
              <w:t>。</w:t>
            </w:r>
            <w:r>
              <w:rPr>
                <w:rFonts w:hint="eastAsia" w:ascii="楷体" w:hAnsi="楷体" w:eastAsia="楷体"/>
                <w:bCs/>
                <w:sz w:val="24"/>
                <w:szCs w:val="36"/>
              </w:rPr>
              <w:t>截至19日大跌前</w:t>
            </w:r>
            <w:r>
              <w:rPr>
                <w:rFonts w:hint="eastAsia" w:ascii="楷体" w:hAnsi="楷体" w:eastAsia="楷体"/>
                <w:bCs/>
                <w:sz w:val="24"/>
                <w:szCs w:val="36"/>
                <w:lang w:val="en-US" w:eastAsia="zh-CN"/>
              </w:rPr>
              <w:t>国内金属</w:t>
            </w:r>
            <w:r>
              <w:rPr>
                <w:rFonts w:hint="eastAsia" w:ascii="楷体" w:hAnsi="楷体" w:eastAsia="楷体"/>
                <w:bCs/>
                <w:sz w:val="24"/>
                <w:szCs w:val="36"/>
              </w:rPr>
              <w:t>下游采购延续刚需为主，</w:t>
            </w:r>
            <w:r>
              <w:rPr>
                <w:rFonts w:hint="eastAsia" w:ascii="楷体" w:hAnsi="楷体" w:eastAsia="楷体"/>
                <w:bCs/>
                <w:sz w:val="24"/>
                <w:szCs w:val="36"/>
                <w:lang w:val="en-US" w:eastAsia="zh-CN"/>
              </w:rPr>
              <w:t>供需持续过剩导致</w:t>
            </w:r>
            <w:r>
              <w:rPr>
                <w:rFonts w:hint="eastAsia" w:ascii="楷体" w:hAnsi="楷体" w:eastAsia="楷体"/>
                <w:bCs/>
                <w:sz w:val="24"/>
                <w:szCs w:val="36"/>
              </w:rPr>
              <w:t>价格</w:t>
            </w:r>
            <w:r>
              <w:rPr>
                <w:rFonts w:hint="eastAsia" w:ascii="楷体" w:hAnsi="楷体" w:eastAsia="楷体"/>
                <w:bCs/>
                <w:sz w:val="24"/>
                <w:szCs w:val="36"/>
                <w:lang w:val="en-US" w:eastAsia="zh-CN"/>
              </w:rPr>
              <w:t>同样</w:t>
            </w:r>
            <w:r>
              <w:rPr>
                <w:rFonts w:hint="eastAsia" w:ascii="楷体" w:hAnsi="楷体" w:eastAsia="楷体"/>
                <w:bCs/>
                <w:sz w:val="24"/>
                <w:szCs w:val="36"/>
              </w:rPr>
              <w:t>存在修正的需求，</w:t>
            </w:r>
            <w:r>
              <w:rPr>
                <w:rFonts w:hint="eastAsia" w:ascii="楷体" w:hAnsi="楷体" w:eastAsia="楷体"/>
                <w:bCs/>
                <w:sz w:val="24"/>
                <w:szCs w:val="36"/>
                <w:lang w:val="en-US" w:eastAsia="zh-CN"/>
              </w:rPr>
              <w:t>但</w:t>
            </w:r>
            <w:r>
              <w:rPr>
                <w:rFonts w:hint="eastAsia" w:ascii="楷体" w:hAnsi="楷体" w:eastAsia="楷体"/>
                <w:bCs/>
                <w:sz w:val="24"/>
                <w:szCs w:val="36"/>
              </w:rPr>
              <w:t>后期随着采购成本</w:t>
            </w:r>
            <w:r>
              <w:rPr>
                <w:rFonts w:hint="eastAsia" w:ascii="楷体" w:hAnsi="楷体" w:eastAsia="楷体"/>
                <w:bCs/>
                <w:sz w:val="24"/>
                <w:szCs w:val="36"/>
                <w:lang w:val="en-US" w:eastAsia="zh-CN"/>
              </w:rPr>
              <w:t>下降</w:t>
            </w:r>
            <w:r>
              <w:rPr>
                <w:rFonts w:hint="eastAsia" w:ascii="楷体" w:hAnsi="楷体" w:eastAsia="楷体"/>
                <w:bCs/>
                <w:sz w:val="24"/>
                <w:szCs w:val="36"/>
              </w:rPr>
              <w:t>预计下游采购意愿将有明显抬升。</w:t>
            </w:r>
          </w:p>
        </w:tc>
      </w:tr>
    </w:tbl>
    <w:p>
      <w:pPr>
        <w:widowControl/>
        <w:jc w:val="left"/>
      </w:pPr>
    </w:p>
    <w:tbl>
      <w:tblPr>
        <w:tblStyle w:val="9"/>
        <w:tblW w:w="10562" w:type="dxa"/>
        <w:tblInd w:w="-9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39"/>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trPr>
        <w:tc>
          <w:tcPr>
            <w:tcW w:w="10562" w:type="dxa"/>
            <w:gridSpan w:val="2"/>
            <w:tcBorders>
              <w:top w:val="nil"/>
              <w:left w:val="nil"/>
              <w:bottom w:val="nil"/>
              <w:right w:val="nil"/>
            </w:tcBorders>
            <w:vAlign w:val="center"/>
          </w:tcPr>
          <w:p>
            <w:pPr>
              <w:pStyle w:val="2"/>
              <w:rPr>
                <w:rFonts w:hint="eastAsia" w:ascii="楷体" w:hAnsi="楷体" w:eastAsia="黑体"/>
                <w:szCs w:val="32"/>
              </w:rPr>
            </w:pPr>
            <w:r>
              <w:rPr>
                <w:rFonts w:hint="eastAsia" w:ascii="黑体" w:hAnsi="黑体" w:eastAsia="黑体" w:cs="黑体"/>
                <w:color w:val="6E6E6E"/>
                <w:sz w:val="36"/>
                <w:szCs w:val="36"/>
              </w:rPr>
              <w:t>总结与展望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313" w:hRule="atLeast"/>
        </w:trPr>
        <w:tc>
          <w:tcPr>
            <w:tcW w:w="10539" w:type="dxa"/>
            <w:tcBorders>
              <w:top w:val="nil"/>
              <w:left w:val="nil"/>
              <w:bottom w:val="nil"/>
              <w:right w:val="nil"/>
            </w:tcBorders>
          </w:tcPr>
          <w:p>
            <w:pPr>
              <w:tabs>
                <w:tab w:val="left" w:pos="1778"/>
              </w:tabs>
              <w:spacing w:line="360" w:lineRule="auto"/>
              <w:ind w:firstLine="480" w:firstLineChars="200"/>
              <w:jc w:val="left"/>
              <w:rPr>
                <w:rFonts w:hint="eastAsia" w:ascii="楷体" w:hAnsi="楷体" w:eastAsia="楷体"/>
                <w:sz w:val="24"/>
                <w:szCs w:val="32"/>
              </w:rPr>
            </w:pPr>
            <w:r>
              <w:rPr>
                <w:rFonts w:hint="eastAsia" w:ascii="楷体" w:hAnsi="楷体" w:eastAsia="楷体"/>
                <w:sz w:val="24"/>
                <w:szCs w:val="32"/>
              </w:rPr>
              <w:t>本轮市场的下跌是多重因素导致的，一方面全球经济表现长期较弱对应金属价格的大幅走高，下游需求抑制的情况下</w:t>
            </w:r>
            <w:r>
              <w:rPr>
                <w:rFonts w:hint="eastAsia" w:ascii="楷体" w:hAnsi="楷体" w:eastAsia="楷体"/>
                <w:sz w:val="24"/>
                <w:szCs w:val="32"/>
                <w:lang w:val="en-US" w:eastAsia="zh-CN"/>
              </w:rPr>
              <w:t>价格</w:t>
            </w:r>
            <w:r>
              <w:rPr>
                <w:rFonts w:hint="eastAsia" w:ascii="楷体" w:hAnsi="楷体" w:eastAsia="楷体"/>
                <w:sz w:val="24"/>
                <w:szCs w:val="32"/>
              </w:rPr>
              <w:t>存在</w:t>
            </w:r>
            <w:r>
              <w:rPr>
                <w:rFonts w:hint="eastAsia" w:ascii="楷体" w:hAnsi="楷体" w:eastAsia="楷体"/>
                <w:sz w:val="24"/>
                <w:szCs w:val="32"/>
                <w:lang w:val="en-US" w:eastAsia="zh-CN"/>
              </w:rPr>
              <w:t>明显</w:t>
            </w:r>
            <w:r>
              <w:rPr>
                <w:rFonts w:hint="eastAsia" w:ascii="楷体" w:hAnsi="楷体" w:eastAsia="楷体"/>
                <w:sz w:val="24"/>
                <w:szCs w:val="32"/>
              </w:rPr>
              <w:t>的修正需求；另一方面地区冲突升温导致</w:t>
            </w:r>
            <w:r>
              <w:rPr>
                <w:rFonts w:hint="eastAsia" w:ascii="楷体" w:hAnsi="楷体" w:eastAsia="楷体"/>
                <w:sz w:val="24"/>
                <w:szCs w:val="32"/>
                <w:lang w:val="en-US" w:eastAsia="zh-CN"/>
              </w:rPr>
              <w:t>美联储</w:t>
            </w:r>
            <w:r>
              <w:rPr>
                <w:rFonts w:hint="eastAsia" w:ascii="楷体" w:hAnsi="楷体" w:eastAsia="楷体"/>
                <w:sz w:val="24"/>
                <w:szCs w:val="32"/>
              </w:rPr>
              <w:t>降息推迟与美国经济数据下行叠加，</w:t>
            </w:r>
            <w:r>
              <w:rPr>
                <w:rFonts w:hint="eastAsia" w:ascii="楷体" w:hAnsi="楷体" w:eastAsia="楷体"/>
                <w:sz w:val="24"/>
                <w:szCs w:val="32"/>
                <w:lang w:val="en-US" w:eastAsia="zh-CN"/>
              </w:rPr>
              <w:t>进一步</w:t>
            </w:r>
            <w:r>
              <w:rPr>
                <w:rFonts w:hint="eastAsia" w:ascii="楷体" w:hAnsi="楷体" w:eastAsia="楷体"/>
                <w:sz w:val="24"/>
                <w:szCs w:val="32"/>
              </w:rPr>
              <w:t>从宏观层面引发了价格的修正。</w:t>
            </w:r>
          </w:p>
          <w:p>
            <w:pPr>
              <w:tabs>
                <w:tab w:val="left" w:pos="1778"/>
              </w:tabs>
              <w:spacing w:line="360" w:lineRule="auto"/>
              <w:ind w:firstLine="480" w:firstLineChars="200"/>
              <w:jc w:val="left"/>
              <w:rPr>
                <w:rFonts w:hint="eastAsia" w:ascii="楷体" w:hAnsi="楷体" w:eastAsia="楷体"/>
                <w:sz w:val="24"/>
                <w:szCs w:val="32"/>
              </w:rPr>
            </w:pPr>
            <w:r>
              <w:rPr>
                <w:rFonts w:hint="eastAsia" w:ascii="楷体" w:hAnsi="楷体" w:eastAsia="楷体"/>
                <w:sz w:val="24"/>
                <w:szCs w:val="32"/>
              </w:rPr>
              <w:t>展望后市我们认为衰退交易多大程度上延续是价格</w:t>
            </w:r>
            <w:r>
              <w:rPr>
                <w:rFonts w:hint="eastAsia" w:ascii="楷体" w:hAnsi="楷体" w:eastAsia="楷体"/>
                <w:sz w:val="24"/>
                <w:szCs w:val="32"/>
                <w:lang w:val="en-US" w:eastAsia="zh-CN"/>
              </w:rPr>
              <w:t>方向选择</w:t>
            </w:r>
            <w:r>
              <w:rPr>
                <w:rFonts w:hint="eastAsia" w:ascii="楷体" w:hAnsi="楷体" w:eastAsia="楷体"/>
                <w:sz w:val="24"/>
                <w:szCs w:val="32"/>
              </w:rPr>
              <w:t>的核心因素</w:t>
            </w:r>
            <w:r>
              <w:rPr>
                <w:rFonts w:hint="eastAsia" w:ascii="楷体" w:hAnsi="楷体" w:eastAsia="楷体"/>
                <w:sz w:val="24"/>
                <w:szCs w:val="32"/>
                <w:lang w:eastAsia="zh-CN"/>
              </w:rPr>
              <w:t>。</w:t>
            </w:r>
            <w:r>
              <w:rPr>
                <w:rFonts w:hint="eastAsia" w:ascii="楷体" w:hAnsi="楷体" w:eastAsia="楷体"/>
                <w:sz w:val="24"/>
                <w:szCs w:val="32"/>
              </w:rPr>
              <w:t>如果经济表现持续低迷并引发更多抛售，下跌的趋势</w:t>
            </w:r>
            <w:r>
              <w:rPr>
                <w:rFonts w:hint="eastAsia" w:ascii="楷体" w:hAnsi="楷体" w:eastAsia="楷体"/>
                <w:sz w:val="24"/>
                <w:szCs w:val="32"/>
                <w:lang w:val="en-US" w:eastAsia="zh-CN"/>
              </w:rPr>
              <w:t>或</w:t>
            </w:r>
            <w:r>
              <w:rPr>
                <w:rFonts w:hint="eastAsia" w:ascii="楷体" w:hAnsi="楷体" w:eastAsia="楷体"/>
                <w:sz w:val="24"/>
                <w:szCs w:val="32"/>
              </w:rPr>
              <w:t>将难以阻挡；而如果在中国需求旺季情况下全球经济能够展现更多韧性，市场信心稍有企稳</w:t>
            </w:r>
            <w:r>
              <w:rPr>
                <w:rFonts w:hint="eastAsia" w:ascii="楷体" w:hAnsi="楷体" w:eastAsia="楷体"/>
                <w:sz w:val="24"/>
                <w:szCs w:val="32"/>
                <w:lang w:val="en-US" w:eastAsia="zh-CN"/>
              </w:rPr>
              <w:t>后</w:t>
            </w:r>
            <w:r>
              <w:rPr>
                <w:rFonts w:hint="eastAsia" w:ascii="楷体" w:hAnsi="楷体" w:eastAsia="楷体"/>
                <w:sz w:val="24"/>
                <w:szCs w:val="32"/>
              </w:rPr>
              <w:t>金属价格可能会迎来一波快速反弹，未来几个交易日全球核心资产能否企稳将十分关键。</w:t>
            </w:r>
          </w:p>
          <w:p>
            <w:pPr>
              <w:spacing w:line="360" w:lineRule="auto"/>
              <w:ind w:firstLine="480" w:firstLineChars="200"/>
              <w:rPr>
                <w:rFonts w:hint="eastAsia" w:ascii="楷体" w:hAnsi="楷体" w:eastAsia="楷体"/>
                <w:bCs/>
                <w:sz w:val="24"/>
                <w:szCs w:val="36"/>
              </w:rPr>
            </w:pPr>
            <w:r>
              <w:rPr>
                <w:rFonts w:hint="eastAsia" w:ascii="楷体" w:hAnsi="楷体" w:eastAsia="楷体"/>
                <w:sz w:val="24"/>
                <w:szCs w:val="32"/>
              </w:rPr>
              <w:t>从经验看我们判断在出现标志性的违约</w:t>
            </w:r>
            <w:r>
              <w:rPr>
                <w:rFonts w:hint="eastAsia" w:ascii="楷体" w:hAnsi="楷体" w:eastAsia="楷体"/>
                <w:sz w:val="24"/>
                <w:szCs w:val="32"/>
                <w:lang w:val="en-US" w:eastAsia="zh-CN"/>
              </w:rPr>
              <w:t>事件前爆发流动性危机</w:t>
            </w:r>
            <w:r>
              <w:rPr>
                <w:rFonts w:hint="eastAsia" w:ascii="楷体" w:hAnsi="楷体" w:eastAsia="楷体"/>
                <w:sz w:val="24"/>
                <w:szCs w:val="32"/>
              </w:rPr>
              <w:t>的可能性不高，</w:t>
            </w:r>
            <w:r>
              <w:rPr>
                <w:rFonts w:hint="eastAsia" w:ascii="楷体" w:hAnsi="楷体" w:eastAsia="楷体"/>
                <w:sz w:val="24"/>
                <w:szCs w:val="32"/>
                <w:lang w:val="en-US" w:eastAsia="zh-CN"/>
              </w:rPr>
              <w:t>因此</w:t>
            </w:r>
            <w:r>
              <w:rPr>
                <w:rFonts w:hint="eastAsia" w:ascii="楷体" w:hAnsi="楷体" w:eastAsia="楷体"/>
                <w:sz w:val="24"/>
                <w:szCs w:val="32"/>
              </w:rPr>
              <w:t>市场期待的金三银四在价格回到合理的水平后可能才刚刚开始。</w:t>
            </w:r>
          </w:p>
        </w:tc>
      </w:tr>
    </w:tbl>
    <w:p>
      <w:r>
        <w:br w:type="page"/>
      </w:r>
    </w:p>
    <w:p>
      <w:pPr>
        <w:outlineLvl w:val="0"/>
        <w:rPr>
          <w:rFonts w:hint="eastAsia" w:ascii="微软雅黑" w:hAnsi="微软雅黑" w:eastAsia="微软雅黑"/>
          <w:b/>
          <w:bCs/>
          <w:color w:val="FF0000"/>
          <w:sz w:val="28"/>
          <w:szCs w:val="28"/>
          <w:lang w:bidi="en-US"/>
        </w:rPr>
      </w:pPr>
    </w:p>
    <w:p>
      <w:pPr>
        <w:outlineLvl w:val="0"/>
        <w:rPr>
          <w:rFonts w:hint="eastAsia" w:ascii="微软雅黑" w:hAnsi="微软雅黑" w:eastAsia="微软雅黑"/>
          <w:b/>
          <w:bCs/>
          <w:color w:val="FF0000"/>
          <w:sz w:val="28"/>
          <w:szCs w:val="28"/>
          <w:lang w:bidi="en-US"/>
        </w:rPr>
      </w:pPr>
      <w:bookmarkStart w:id="1" w:name="_Toc206160859"/>
      <w:r>
        <w:rPr>
          <w:rFonts w:hint="eastAsia" w:ascii="微软雅黑" w:hAnsi="微软雅黑" w:eastAsia="微软雅黑"/>
          <w:b/>
          <w:bCs/>
          <w:color w:val="FF0000"/>
          <w:sz w:val="28"/>
          <w:szCs w:val="28"/>
          <w:lang w:bidi="en-US"/>
        </w:rPr>
        <w:t>免责声明</w:t>
      </w:r>
      <w:bookmarkEnd w:id="0"/>
      <w:bookmarkEnd w:id="1"/>
    </w:p>
    <w:p>
      <w:pPr>
        <w:spacing w:line="360" w:lineRule="auto"/>
        <w:ind w:firstLine="480" w:firstLineChars="200"/>
        <w:jc w:val="left"/>
        <w:rPr>
          <w:rFonts w:hint="eastAsia" w:ascii="楷体" w:hAnsi="楷体" w:eastAsia="楷体"/>
          <w:sz w:val="24"/>
        </w:rPr>
      </w:pPr>
      <w:r>
        <w:rPr>
          <w:rFonts w:hint="eastAsia" w:ascii="楷体" w:hAnsi="楷体" w:eastAsia="楷体"/>
          <w:sz w:val="24"/>
        </w:rPr>
        <w:t>山金期货有限公司（以下简称“本公司”）具有中国证券监督管理委员会批准的期货交易咨询业务资格（证监许可[2012]33号）。</w:t>
      </w:r>
    </w:p>
    <w:p>
      <w:pPr>
        <w:spacing w:line="360" w:lineRule="auto"/>
        <w:ind w:firstLine="480" w:firstLineChars="200"/>
        <w:jc w:val="left"/>
        <w:rPr>
          <w:rFonts w:hint="eastAsia" w:ascii="楷体" w:hAnsi="楷体" w:eastAsia="楷体"/>
          <w:sz w:val="24"/>
        </w:rPr>
      </w:pPr>
      <w:r>
        <w:rPr>
          <w:rFonts w:hint="eastAsia" w:ascii="楷体" w:hAnsi="楷体" w:eastAsia="楷体"/>
          <w:sz w:val="24"/>
        </w:rPr>
        <w:t>本报告由本公司投资咨询部制作，未获得本公司的书面授权，任何人和单位不得对本报告进行任何形式的修改、发布和复制。本报告基于本公司期货研究人员采用可信的公开资料和实地调研资料，但本公司对这些信息的准确性和完整性不作任何保证，且本报告中的资料、建议、预测均反映报告初次发布时的判断，可能会随时调整，报告中的信息或所表达的意见不构成投资、法律、会计或税务的最终操作建议，本公司不就报告中的内容对最终操作建议作任何担保。在本公司及其研究人员知情的范围内，本公司及其期货研究人员以及财产上的利害关系人与所评价或推荐的产品不存在任何利害关系，同时提醒期货投资者，期市有风险，入市须谨慎。</w:t>
      </w:r>
    </w:p>
    <w:p>
      <w:pPr>
        <w:spacing w:line="360" w:lineRule="auto"/>
        <w:jc w:val="left"/>
        <w:rPr>
          <w:rFonts w:hint="eastAsia" w:ascii="楷体" w:hAnsi="楷体" w:eastAsia="楷体"/>
          <w:sz w:val="24"/>
        </w:rPr>
      </w:pPr>
    </w:p>
    <w:sectPr>
      <w:headerReference r:id="rId6" w:type="default"/>
      <w:pgSz w:w="11906" w:h="16838"/>
      <w:pgMar w:top="1440" w:right="1800" w:bottom="1440" w:left="1800" w:header="851" w:footer="992" w:gutter="0"/>
      <w:pgBorders w:offsetFrom="page">
        <w:top w:val="single" w:color="ED7D31" w:themeColor="accent2" w:sz="18" w:space="24"/>
        <w:bottom w:val="single" w:color="ED7D31" w:themeColor="accent2" w:sz="18"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5408" behindDoc="1" locked="0" layoutInCell="1" allowOverlap="1">
              <wp:simplePos x="0" y="0"/>
              <wp:positionH relativeFrom="column">
                <wp:posOffset>-1136015</wp:posOffset>
              </wp:positionH>
              <wp:positionV relativeFrom="paragraph">
                <wp:posOffset>370205</wp:posOffset>
              </wp:positionV>
              <wp:extent cx="7552690" cy="398780"/>
              <wp:effectExtent l="0" t="0" r="10160" b="1270"/>
              <wp:wrapNone/>
              <wp:docPr id="7" name="文本框 7"/>
              <wp:cNvGraphicFramePr/>
              <a:graphic xmlns:a="http://schemas.openxmlformats.org/drawingml/2006/main">
                <a:graphicData uri="http://schemas.microsoft.com/office/word/2010/wordprocessingShape">
                  <wps:wsp>
                    <wps:cNvSpPr txBox="1"/>
                    <wps:spPr>
                      <a:xfrm>
                        <a:off x="0" y="0"/>
                        <a:ext cx="7552690" cy="398780"/>
                      </a:xfrm>
                      <a:prstGeom prst="rect">
                        <a:avLst/>
                      </a:prstGeom>
                      <a:solidFill>
                        <a:srgbClr val="F57E2C"/>
                      </a:solidFill>
                      <a:ln w="6350">
                        <a:noFill/>
                      </a:ln>
                      <a:effectLst/>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45pt;margin-top:29.15pt;height:31.4pt;width:594.7pt;z-index:-251651072;mso-width-relative:page;mso-height-relative:page;" fillcolor="#F57E2C" filled="t" stroked="f" coordsize="21600,21600" o:gfxdata="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sD5WNsAAAAMAQAADwAAAAAAAAABACAAAAAiAAAAZHJzL2Rvd25yZXYueG1sUEsBAhQAFAAAAAgA&#10;h07iQMWLiFdbAgAAnQQAAA4AAAAAAAAAAQAgAAAAKgEAAGRycy9lMm9Eb2MueG1sUEsFBgAAAAAG&#10;AAYAWQEAAPcFAAAAAA==&#10;">
              <v:fill on="t" focussize="0,0"/>
              <v:stroke on="f" weight="0.5pt"/>
              <v:imagedata o:title=""/>
              <o:lock v:ext="edit" aspectratio="f"/>
              <v:textbox>
                <w:txbxContent>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5380990</wp:posOffset>
              </wp:positionH>
              <wp:positionV relativeFrom="paragraph">
                <wp:posOffset>462280</wp:posOffset>
              </wp:positionV>
              <wp:extent cx="709930" cy="238125"/>
              <wp:effectExtent l="0" t="0" r="0" b="7620"/>
              <wp:wrapNone/>
              <wp:docPr id="1510953249" name="组合 33"/>
              <wp:cNvGraphicFramePr/>
              <a:graphic xmlns:a="http://schemas.openxmlformats.org/drawingml/2006/main">
                <a:graphicData uri="http://schemas.microsoft.com/office/word/2010/wordprocessingGroup">
                  <wpg:wgp>
                    <wpg:cNvGrpSpPr/>
                    <wpg:grpSpPr>
                      <a:xfrm>
                        <a:off x="0" y="0"/>
                        <a:ext cx="709930" cy="238125"/>
                        <a:chOff x="0" y="0"/>
                        <a:chExt cx="709683" cy="238125"/>
                      </a:xfrm>
                    </wpg:grpSpPr>
                    <wps:wsp>
                      <wps:cNvPr id="1555208936" name="文本框 31"/>
                      <wps:cNvSpPr txBox="1"/>
                      <wps:spPr>
                        <a:xfrm>
                          <a:off x="0" y="0"/>
                          <a:ext cx="709683" cy="238125"/>
                        </a:xfrm>
                        <a:prstGeom prst="rect">
                          <a:avLst/>
                        </a:prstGeom>
                        <a:noFill/>
                        <a:ln w="6350">
                          <a:noFill/>
                        </a:ln>
                      </wps:spPr>
                      <wps:txb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3217646" name="矩形 32"/>
                      <wps:cNvSpPr/>
                      <wps:spPr>
                        <a:xfrm>
                          <a:off x="111714" y="53788"/>
                          <a:ext cx="47570" cy="1585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33" o:spid="_x0000_s1026" o:spt="203" style="position:absolute;left:0pt;margin-left:423.7pt;margin-top:36.4pt;height:18.75pt;width:55.9pt;z-index:251660288;mso-width-relative:page;mso-height-relative:page;" coordsize="709683,238125" o:gfxdata="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nG/le2gAAAAoBAAAPAAAAAAAAAAEAIAAAACIAAABkcnMvZG93bnJldi54&#10;bWxQSwECFAAUAAAACACHTuJAyKDLvU4DAACjCAAADgAAAAAAAAABACAAAAApAQAAZHJzL2Uyb0Rv&#10;Yy54bWxQSwUGAAAAAAYABgBZAQAA6QYAAAAA&#10;">
              <o:lock v:ext="edit" aspectratio="f"/>
              <v:shape id="文本框 31" o:spid="_x0000_s1026" o:spt="202" type="#_x0000_t202" style="position:absolute;left:0;top:0;height:238125;width:709683;" filled="f" stroked="f" coordsize="21600,21600" o:gfxdata="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sma5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v:textbox>
              </v:shape>
              <v:rect id="矩形 32" o:spid="_x0000_s1026" o:spt="1" style="position:absolute;left:111714;top:53788;height:158566;width:47570;v-text-anchor:middle;" fillcolor="#FFFFFF [3212]" filled="t" stroked="f" coordsize="21600,21600" o:gfxdata="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Ky98QAAADiAAAADwAAAAAAAAABACAAAAAiAAAAZHJzL2Rvd25yZXYueG1sUEsBAhQAFAAAAAgA&#10;h07iQDMvBZ47AAAAOQAAABAAAAAAAAAAAQAgAAAAEwEAAGRycy9zaGFwZXhtbC54bWxQSwUGAAAA&#10;AAYABgBbAQAAvQMAAAAA&#10;">
                <v:fill on="t" focussize="0,0"/>
                <v:stroke on="f" weight="1pt" miterlimit="8" joinstyle="miter"/>
                <v:imagedata o:title=""/>
                <o:lock v:ext="edit" aspectratio="f"/>
              </v:rect>
            </v:group>
          </w:pict>
        </mc:Fallback>
      </mc:AlternateContent>
    </w:r>
    <w:r>
      <w:rPr>
        <w:rFonts w:ascii="宋体" w:hAnsi="宋体" w:cs="宋体"/>
        <w:kern w:val="0"/>
        <w:sz w:val="24"/>
      </w:rPr>
      <mc:AlternateContent>
        <mc:Choice Requires="wps">
          <w:drawing>
            <wp:anchor distT="36195" distB="36195" distL="36195" distR="36195" simplePos="0" relativeHeight="251659264" behindDoc="0" locked="0" layoutInCell="1" allowOverlap="1">
              <wp:simplePos x="0" y="0"/>
              <wp:positionH relativeFrom="column">
                <wp:posOffset>1503045</wp:posOffset>
              </wp:positionH>
              <wp:positionV relativeFrom="paragraph">
                <wp:posOffset>437515</wp:posOffset>
              </wp:positionV>
              <wp:extent cx="2072640" cy="238125"/>
              <wp:effectExtent l="0" t="0" r="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2072640" cy="238125"/>
                      </a:xfrm>
                      <a:prstGeom prst="rect">
                        <a:avLst/>
                      </a:prstGeom>
                      <a:noFill/>
                      <a:ln>
                        <a:noFill/>
                      </a:ln>
                      <a:effectLst/>
                    </wps:spPr>
                    <wps:txbx>
                      <w:txbxContent>
                        <w:p>
                          <w:pPr>
                            <w:jc w:val="center"/>
                            <w:rPr>
                              <w:rFonts w:hint="eastAsia"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wps:txbx>
                    <wps:bodyPr rot="0" vert="horz" wrap="square" lIns="36576" tIns="36576" rIns="36576" bIns="36576" anchor="t" anchorCtr="0" upright="1">
                      <a:noAutofit/>
                    </wps:bodyPr>
                  </wps:wsp>
                </a:graphicData>
              </a:graphic>
            </wp:anchor>
          </w:drawing>
        </mc:Choice>
        <mc:Fallback>
          <w:pict>
            <v:shape id="_x0000_s1026" o:spid="_x0000_s1026" o:spt="202" type="#_x0000_t202" style="position:absolute;left:0pt;margin-left:118.35pt;margin-top:34.45pt;height:18.75pt;width:163.2pt;z-index:251659264;mso-width-relative:page;mso-height-relative:page;" filled="f" stroked="f" coordsize="21600,21600" o:gfxdata="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VX3Ke2gAAAAoB&#10;AAAPAAAAAAAAAAEAIAAAACIAAABkcnMvZG93bnJldi54bWxQSwECFAAUAAAACACHTuJAi6X56xkC&#10;AAAlBAAADgAAAAAAAAABACAAAAApAQAAZHJzL2Uyb0RvYy54bWxQSwUGAAAAAAYABgBZAQAAtAUA&#10;AAAA&#10;">
              <v:fill on="f" focussize="0,0"/>
              <v:stroke on="f"/>
              <v:imagedata o:title=""/>
              <o:lock v:ext="edit" aspectratio="f"/>
              <v:textbox inset="1.016mm,1.016mm,1.016mm,1.016mm">
                <w:txbxContent>
                  <w:p>
                    <w:pPr>
                      <w:jc w:val="center"/>
                      <w:rPr>
                        <w:rFonts w:hint="eastAsia"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r>
      <w:drawing>
        <wp:anchor distT="0" distB="0" distL="114300" distR="114300" simplePos="0" relativeHeight="251663360" behindDoc="0" locked="0" layoutInCell="1" allowOverlap="1">
          <wp:simplePos x="0" y="0"/>
          <wp:positionH relativeFrom="column">
            <wp:posOffset>-1029970</wp:posOffset>
          </wp:positionH>
          <wp:positionV relativeFrom="paragraph">
            <wp:posOffset>-455930</wp:posOffset>
          </wp:positionV>
          <wp:extent cx="1327150" cy="355600"/>
          <wp:effectExtent l="0" t="0" r="6350" b="6350"/>
          <wp:wrapNone/>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
                    <a:extLst>
                      <a:ext uri="{BEBA8EAE-BF5A-486C-A8C5-ECC9F3942E4B}">
                        <a14:imgProps xmlns:a14="http://schemas.microsoft.com/office/drawing/2010/main">
                          <a14:imgLayer r:embed="rId2">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1327150" cy="355600"/>
                  </a:xfrm>
                  <a:prstGeom prst="rect">
                    <a:avLst/>
                  </a:prstGeom>
                </pic:spPr>
              </pic:pic>
            </a:graphicData>
          </a:graphic>
        </wp:anchor>
      </w:drawing>
    </w:r>
    <w:r>
      <w:rPr>
        <w:rFonts w:hint="eastAsia"/>
      </w:rPr>
      <w:drawing>
        <wp:anchor distT="0" distB="0" distL="114300" distR="114300" simplePos="0" relativeHeight="251661312" behindDoc="0" locked="0" layoutInCell="1" allowOverlap="1">
          <wp:simplePos x="0" y="0"/>
          <wp:positionH relativeFrom="column">
            <wp:posOffset>-1163955</wp:posOffset>
          </wp:positionH>
          <wp:positionV relativeFrom="paragraph">
            <wp:posOffset>-539750</wp:posOffset>
          </wp:positionV>
          <wp:extent cx="7577455" cy="1724025"/>
          <wp:effectExtent l="0" t="0" r="4445" b="9525"/>
          <wp:wrapNone/>
          <wp:docPr id="5" name="图片 5" descr="C:\Users\shanjin\Desktop\6.j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hanjin\Desktop\6.jpg6"/>
                  <pic:cNvPicPr>
                    <a:picLocks noChangeAspect="1"/>
                  </pic:cNvPicPr>
                </pic:nvPicPr>
                <pic:blipFill>
                  <a:blip r:embed="rId3"/>
                  <a:srcRect/>
                  <a:stretch>
                    <a:fillRect/>
                  </a:stretch>
                </pic:blipFill>
                <pic:spPr>
                  <a:xfrm>
                    <a:off x="0" y="0"/>
                    <a:ext cx="7577455" cy="17240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widowControl/>
    </w:pPr>
    <w:r>
      <w:drawing>
        <wp:anchor distT="0" distB="0" distL="114300" distR="114300" simplePos="0" relativeHeight="251664384" behindDoc="0" locked="0" layoutInCell="1" allowOverlap="1">
          <wp:simplePos x="0" y="0"/>
          <wp:positionH relativeFrom="column">
            <wp:posOffset>-1145540</wp:posOffset>
          </wp:positionH>
          <wp:positionV relativeFrom="paragraph">
            <wp:posOffset>-527050</wp:posOffset>
          </wp:positionV>
          <wp:extent cx="7581265" cy="648970"/>
          <wp:effectExtent l="0" t="0" r="635" b="1778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
                  <a:stretch>
                    <a:fillRect/>
                  </a:stretch>
                </pic:blipFill>
                <pic:spPr>
                  <a:xfrm>
                    <a:off x="0" y="0"/>
                    <a:ext cx="7581265" cy="648970"/>
                  </a:xfrm>
                  <a:prstGeom prst="rect">
                    <a:avLst/>
                  </a:prstGeom>
                  <a:noFill/>
                  <a:ln w="9525">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FB6DD0"/>
    <w:rsid w:val="00000A27"/>
    <w:rsid w:val="00000EC9"/>
    <w:rsid w:val="00001107"/>
    <w:rsid w:val="00001276"/>
    <w:rsid w:val="00001747"/>
    <w:rsid w:val="0000291C"/>
    <w:rsid w:val="00002949"/>
    <w:rsid w:val="00002CA4"/>
    <w:rsid w:val="00002E23"/>
    <w:rsid w:val="00003F43"/>
    <w:rsid w:val="00003F60"/>
    <w:rsid w:val="00004709"/>
    <w:rsid w:val="00004775"/>
    <w:rsid w:val="00005BC5"/>
    <w:rsid w:val="00006C86"/>
    <w:rsid w:val="000076CD"/>
    <w:rsid w:val="00007A7D"/>
    <w:rsid w:val="00007FA5"/>
    <w:rsid w:val="0001076A"/>
    <w:rsid w:val="00010E78"/>
    <w:rsid w:val="000118A4"/>
    <w:rsid w:val="00013186"/>
    <w:rsid w:val="00013983"/>
    <w:rsid w:val="00014249"/>
    <w:rsid w:val="00014CA3"/>
    <w:rsid w:val="00014EB7"/>
    <w:rsid w:val="00015342"/>
    <w:rsid w:val="000165FB"/>
    <w:rsid w:val="00016840"/>
    <w:rsid w:val="00016EB4"/>
    <w:rsid w:val="000208A1"/>
    <w:rsid w:val="00020EBE"/>
    <w:rsid w:val="0002184D"/>
    <w:rsid w:val="00021A20"/>
    <w:rsid w:val="000220AF"/>
    <w:rsid w:val="00022772"/>
    <w:rsid w:val="000233C4"/>
    <w:rsid w:val="00023B4C"/>
    <w:rsid w:val="00025133"/>
    <w:rsid w:val="00026774"/>
    <w:rsid w:val="00026E14"/>
    <w:rsid w:val="0002751B"/>
    <w:rsid w:val="0002775F"/>
    <w:rsid w:val="0003016A"/>
    <w:rsid w:val="00030A39"/>
    <w:rsid w:val="00030C3F"/>
    <w:rsid w:val="00030D23"/>
    <w:rsid w:val="000312B1"/>
    <w:rsid w:val="000312EB"/>
    <w:rsid w:val="000320D6"/>
    <w:rsid w:val="00032A22"/>
    <w:rsid w:val="00033131"/>
    <w:rsid w:val="00034A8B"/>
    <w:rsid w:val="00034C7D"/>
    <w:rsid w:val="00034EE4"/>
    <w:rsid w:val="00035494"/>
    <w:rsid w:val="00036711"/>
    <w:rsid w:val="0003717F"/>
    <w:rsid w:val="00040463"/>
    <w:rsid w:val="00040FA9"/>
    <w:rsid w:val="000416E6"/>
    <w:rsid w:val="00041C43"/>
    <w:rsid w:val="00041CCC"/>
    <w:rsid w:val="00041E59"/>
    <w:rsid w:val="000424FE"/>
    <w:rsid w:val="00042713"/>
    <w:rsid w:val="00042A3C"/>
    <w:rsid w:val="00042F82"/>
    <w:rsid w:val="00043D69"/>
    <w:rsid w:val="0004467F"/>
    <w:rsid w:val="00044979"/>
    <w:rsid w:val="00044B3F"/>
    <w:rsid w:val="00044F48"/>
    <w:rsid w:val="0004513E"/>
    <w:rsid w:val="00045960"/>
    <w:rsid w:val="00045A25"/>
    <w:rsid w:val="00045DF6"/>
    <w:rsid w:val="00046E02"/>
    <w:rsid w:val="000479E9"/>
    <w:rsid w:val="000501DC"/>
    <w:rsid w:val="00050630"/>
    <w:rsid w:val="000506FE"/>
    <w:rsid w:val="00050F17"/>
    <w:rsid w:val="0005246F"/>
    <w:rsid w:val="000527D7"/>
    <w:rsid w:val="000529B0"/>
    <w:rsid w:val="00052AC2"/>
    <w:rsid w:val="00052C2B"/>
    <w:rsid w:val="00052C62"/>
    <w:rsid w:val="00052F32"/>
    <w:rsid w:val="00053DD3"/>
    <w:rsid w:val="0005412A"/>
    <w:rsid w:val="0005422A"/>
    <w:rsid w:val="00055077"/>
    <w:rsid w:val="00055483"/>
    <w:rsid w:val="000554B6"/>
    <w:rsid w:val="00055614"/>
    <w:rsid w:val="0005720A"/>
    <w:rsid w:val="000609A9"/>
    <w:rsid w:val="00060E48"/>
    <w:rsid w:val="0006107F"/>
    <w:rsid w:val="0006123A"/>
    <w:rsid w:val="00062226"/>
    <w:rsid w:val="000624E2"/>
    <w:rsid w:val="00062BED"/>
    <w:rsid w:val="00062D38"/>
    <w:rsid w:val="00062E9B"/>
    <w:rsid w:val="00062FA9"/>
    <w:rsid w:val="00063268"/>
    <w:rsid w:val="000641AF"/>
    <w:rsid w:val="00064903"/>
    <w:rsid w:val="0006511A"/>
    <w:rsid w:val="00065290"/>
    <w:rsid w:val="00065D21"/>
    <w:rsid w:val="0006605D"/>
    <w:rsid w:val="00067290"/>
    <w:rsid w:val="00067956"/>
    <w:rsid w:val="00070009"/>
    <w:rsid w:val="00070187"/>
    <w:rsid w:val="00070318"/>
    <w:rsid w:val="00072DF0"/>
    <w:rsid w:val="00072F8A"/>
    <w:rsid w:val="000738C2"/>
    <w:rsid w:val="000738ED"/>
    <w:rsid w:val="00073C4C"/>
    <w:rsid w:val="000751C2"/>
    <w:rsid w:val="000752BB"/>
    <w:rsid w:val="00075531"/>
    <w:rsid w:val="000765E2"/>
    <w:rsid w:val="00076715"/>
    <w:rsid w:val="00077BEE"/>
    <w:rsid w:val="00077E7C"/>
    <w:rsid w:val="00080A5D"/>
    <w:rsid w:val="00080AF6"/>
    <w:rsid w:val="00081F34"/>
    <w:rsid w:val="00082A42"/>
    <w:rsid w:val="00082CD3"/>
    <w:rsid w:val="00082F0A"/>
    <w:rsid w:val="00082FF1"/>
    <w:rsid w:val="00083604"/>
    <w:rsid w:val="000836A6"/>
    <w:rsid w:val="00083A76"/>
    <w:rsid w:val="00084164"/>
    <w:rsid w:val="00084BA2"/>
    <w:rsid w:val="0008507A"/>
    <w:rsid w:val="00085254"/>
    <w:rsid w:val="00085482"/>
    <w:rsid w:val="0008549D"/>
    <w:rsid w:val="00085641"/>
    <w:rsid w:val="000858B4"/>
    <w:rsid w:val="000861FF"/>
    <w:rsid w:val="00086620"/>
    <w:rsid w:val="00086B04"/>
    <w:rsid w:val="00086F52"/>
    <w:rsid w:val="00087085"/>
    <w:rsid w:val="000874F1"/>
    <w:rsid w:val="00087DB9"/>
    <w:rsid w:val="000903FA"/>
    <w:rsid w:val="00090439"/>
    <w:rsid w:val="000906A5"/>
    <w:rsid w:val="00090831"/>
    <w:rsid w:val="00091502"/>
    <w:rsid w:val="000919F6"/>
    <w:rsid w:val="00091F94"/>
    <w:rsid w:val="00093156"/>
    <w:rsid w:val="000932D6"/>
    <w:rsid w:val="00093342"/>
    <w:rsid w:val="000934E4"/>
    <w:rsid w:val="00093B6F"/>
    <w:rsid w:val="000953E5"/>
    <w:rsid w:val="000959E9"/>
    <w:rsid w:val="000960BB"/>
    <w:rsid w:val="000963FA"/>
    <w:rsid w:val="00096656"/>
    <w:rsid w:val="00096BE5"/>
    <w:rsid w:val="0009738F"/>
    <w:rsid w:val="000974D1"/>
    <w:rsid w:val="00097B05"/>
    <w:rsid w:val="000A00B3"/>
    <w:rsid w:val="000A0185"/>
    <w:rsid w:val="000A05D6"/>
    <w:rsid w:val="000A0FAF"/>
    <w:rsid w:val="000A12D4"/>
    <w:rsid w:val="000A1B39"/>
    <w:rsid w:val="000A1E15"/>
    <w:rsid w:val="000A21B5"/>
    <w:rsid w:val="000A246F"/>
    <w:rsid w:val="000A25A7"/>
    <w:rsid w:val="000A291B"/>
    <w:rsid w:val="000A2AE8"/>
    <w:rsid w:val="000A2F2D"/>
    <w:rsid w:val="000A2F62"/>
    <w:rsid w:val="000A3333"/>
    <w:rsid w:val="000A3929"/>
    <w:rsid w:val="000A4090"/>
    <w:rsid w:val="000A4911"/>
    <w:rsid w:val="000A56CB"/>
    <w:rsid w:val="000A5775"/>
    <w:rsid w:val="000A5B20"/>
    <w:rsid w:val="000A5CEC"/>
    <w:rsid w:val="000A5D29"/>
    <w:rsid w:val="000A5F27"/>
    <w:rsid w:val="000A6496"/>
    <w:rsid w:val="000A677B"/>
    <w:rsid w:val="000A6A34"/>
    <w:rsid w:val="000A7065"/>
    <w:rsid w:val="000A75FF"/>
    <w:rsid w:val="000B0726"/>
    <w:rsid w:val="000B0DF2"/>
    <w:rsid w:val="000B160E"/>
    <w:rsid w:val="000B17C8"/>
    <w:rsid w:val="000B21FE"/>
    <w:rsid w:val="000B328D"/>
    <w:rsid w:val="000B32AF"/>
    <w:rsid w:val="000B3413"/>
    <w:rsid w:val="000B3938"/>
    <w:rsid w:val="000B3F22"/>
    <w:rsid w:val="000B4159"/>
    <w:rsid w:val="000B44CF"/>
    <w:rsid w:val="000B477B"/>
    <w:rsid w:val="000B488F"/>
    <w:rsid w:val="000B499F"/>
    <w:rsid w:val="000B5432"/>
    <w:rsid w:val="000B567D"/>
    <w:rsid w:val="000B610C"/>
    <w:rsid w:val="000B63AF"/>
    <w:rsid w:val="000B6905"/>
    <w:rsid w:val="000B6DB1"/>
    <w:rsid w:val="000C11B4"/>
    <w:rsid w:val="000C16AA"/>
    <w:rsid w:val="000C2352"/>
    <w:rsid w:val="000C3229"/>
    <w:rsid w:val="000C44F8"/>
    <w:rsid w:val="000C47BC"/>
    <w:rsid w:val="000C6956"/>
    <w:rsid w:val="000C6AA1"/>
    <w:rsid w:val="000C6EB0"/>
    <w:rsid w:val="000C7E45"/>
    <w:rsid w:val="000D04C9"/>
    <w:rsid w:val="000D0D0E"/>
    <w:rsid w:val="000D0F71"/>
    <w:rsid w:val="000D0FA8"/>
    <w:rsid w:val="000D2859"/>
    <w:rsid w:val="000D3375"/>
    <w:rsid w:val="000D4095"/>
    <w:rsid w:val="000D4384"/>
    <w:rsid w:val="000D43C2"/>
    <w:rsid w:val="000D4D78"/>
    <w:rsid w:val="000D5A73"/>
    <w:rsid w:val="000D6344"/>
    <w:rsid w:val="000D6FD0"/>
    <w:rsid w:val="000D745B"/>
    <w:rsid w:val="000E02A9"/>
    <w:rsid w:val="000E0469"/>
    <w:rsid w:val="000E0F38"/>
    <w:rsid w:val="000E1DA8"/>
    <w:rsid w:val="000E2B78"/>
    <w:rsid w:val="000E2DA7"/>
    <w:rsid w:val="000E2EF0"/>
    <w:rsid w:val="000E3A4B"/>
    <w:rsid w:val="000E45C3"/>
    <w:rsid w:val="000E4A38"/>
    <w:rsid w:val="000E4C25"/>
    <w:rsid w:val="000E4C64"/>
    <w:rsid w:val="000E64DC"/>
    <w:rsid w:val="000E674E"/>
    <w:rsid w:val="000E7601"/>
    <w:rsid w:val="000E7DBC"/>
    <w:rsid w:val="000E7F7E"/>
    <w:rsid w:val="000F01F3"/>
    <w:rsid w:val="000F0BA8"/>
    <w:rsid w:val="000F1095"/>
    <w:rsid w:val="000F1478"/>
    <w:rsid w:val="000F1AA5"/>
    <w:rsid w:val="000F1FAE"/>
    <w:rsid w:val="000F2CD6"/>
    <w:rsid w:val="000F2F86"/>
    <w:rsid w:val="000F3EE5"/>
    <w:rsid w:val="000F3F2C"/>
    <w:rsid w:val="000F4338"/>
    <w:rsid w:val="000F4C2D"/>
    <w:rsid w:val="000F565D"/>
    <w:rsid w:val="000F56F9"/>
    <w:rsid w:val="000F5C38"/>
    <w:rsid w:val="000F6210"/>
    <w:rsid w:val="000F675F"/>
    <w:rsid w:val="000F67A4"/>
    <w:rsid w:val="000F6F35"/>
    <w:rsid w:val="000F715A"/>
    <w:rsid w:val="000F7334"/>
    <w:rsid w:val="000F75E7"/>
    <w:rsid w:val="000F786F"/>
    <w:rsid w:val="000F789B"/>
    <w:rsid w:val="000F7A24"/>
    <w:rsid w:val="0010035E"/>
    <w:rsid w:val="0010047D"/>
    <w:rsid w:val="00101A50"/>
    <w:rsid w:val="00102456"/>
    <w:rsid w:val="00102EFE"/>
    <w:rsid w:val="001035FC"/>
    <w:rsid w:val="0010372C"/>
    <w:rsid w:val="0010380C"/>
    <w:rsid w:val="00103891"/>
    <w:rsid w:val="00103EC9"/>
    <w:rsid w:val="001041E9"/>
    <w:rsid w:val="00104426"/>
    <w:rsid w:val="00104515"/>
    <w:rsid w:val="0010475A"/>
    <w:rsid w:val="00104EE6"/>
    <w:rsid w:val="00105A7C"/>
    <w:rsid w:val="00105EDA"/>
    <w:rsid w:val="001061D0"/>
    <w:rsid w:val="00106437"/>
    <w:rsid w:val="0010654D"/>
    <w:rsid w:val="00107BB0"/>
    <w:rsid w:val="001102EF"/>
    <w:rsid w:val="00111DEA"/>
    <w:rsid w:val="00111E21"/>
    <w:rsid w:val="00111F41"/>
    <w:rsid w:val="00112166"/>
    <w:rsid w:val="00112367"/>
    <w:rsid w:val="00112A68"/>
    <w:rsid w:val="00112EBA"/>
    <w:rsid w:val="0011335B"/>
    <w:rsid w:val="00113915"/>
    <w:rsid w:val="00113C6C"/>
    <w:rsid w:val="00113C98"/>
    <w:rsid w:val="0011414F"/>
    <w:rsid w:val="00114E0C"/>
    <w:rsid w:val="00115E1A"/>
    <w:rsid w:val="0011633F"/>
    <w:rsid w:val="0011644F"/>
    <w:rsid w:val="00117511"/>
    <w:rsid w:val="0012014F"/>
    <w:rsid w:val="00120985"/>
    <w:rsid w:val="0012120D"/>
    <w:rsid w:val="00121AA3"/>
    <w:rsid w:val="00121D2F"/>
    <w:rsid w:val="00121DAF"/>
    <w:rsid w:val="00122377"/>
    <w:rsid w:val="00122BFD"/>
    <w:rsid w:val="00122C98"/>
    <w:rsid w:val="00122DE8"/>
    <w:rsid w:val="00123CB5"/>
    <w:rsid w:val="001240F6"/>
    <w:rsid w:val="0012578B"/>
    <w:rsid w:val="00125EEC"/>
    <w:rsid w:val="0012643F"/>
    <w:rsid w:val="0012699A"/>
    <w:rsid w:val="00126F97"/>
    <w:rsid w:val="0012704E"/>
    <w:rsid w:val="001271D5"/>
    <w:rsid w:val="00127229"/>
    <w:rsid w:val="00127A86"/>
    <w:rsid w:val="001304C7"/>
    <w:rsid w:val="00130568"/>
    <w:rsid w:val="00133199"/>
    <w:rsid w:val="0013396D"/>
    <w:rsid w:val="001340D9"/>
    <w:rsid w:val="001341CA"/>
    <w:rsid w:val="00134BF2"/>
    <w:rsid w:val="001352EC"/>
    <w:rsid w:val="00135D65"/>
    <w:rsid w:val="0013680F"/>
    <w:rsid w:val="0013708E"/>
    <w:rsid w:val="00137D27"/>
    <w:rsid w:val="00137F4E"/>
    <w:rsid w:val="0014001E"/>
    <w:rsid w:val="00140A09"/>
    <w:rsid w:val="00140D40"/>
    <w:rsid w:val="00141616"/>
    <w:rsid w:val="00141A4C"/>
    <w:rsid w:val="00141A66"/>
    <w:rsid w:val="001428E5"/>
    <w:rsid w:val="001433E3"/>
    <w:rsid w:val="001436C2"/>
    <w:rsid w:val="00144A10"/>
    <w:rsid w:val="00145752"/>
    <w:rsid w:val="001465BD"/>
    <w:rsid w:val="001468E9"/>
    <w:rsid w:val="00146D74"/>
    <w:rsid w:val="00147B1C"/>
    <w:rsid w:val="00147FF1"/>
    <w:rsid w:val="00150140"/>
    <w:rsid w:val="0015031B"/>
    <w:rsid w:val="0015056E"/>
    <w:rsid w:val="00150993"/>
    <w:rsid w:val="00150AAC"/>
    <w:rsid w:val="00150CB0"/>
    <w:rsid w:val="00150CBF"/>
    <w:rsid w:val="00150D6B"/>
    <w:rsid w:val="00150FA4"/>
    <w:rsid w:val="0015170A"/>
    <w:rsid w:val="001518F3"/>
    <w:rsid w:val="00151CAF"/>
    <w:rsid w:val="001523E4"/>
    <w:rsid w:val="00153ECA"/>
    <w:rsid w:val="00154381"/>
    <w:rsid w:val="0015468E"/>
    <w:rsid w:val="001551C2"/>
    <w:rsid w:val="00155520"/>
    <w:rsid w:val="00156100"/>
    <w:rsid w:val="00156365"/>
    <w:rsid w:val="00156470"/>
    <w:rsid w:val="00156C2E"/>
    <w:rsid w:val="00156D4E"/>
    <w:rsid w:val="001603F0"/>
    <w:rsid w:val="00160903"/>
    <w:rsid w:val="00160EE4"/>
    <w:rsid w:val="00161194"/>
    <w:rsid w:val="001615D9"/>
    <w:rsid w:val="0016224E"/>
    <w:rsid w:val="0016242D"/>
    <w:rsid w:val="00162491"/>
    <w:rsid w:val="0016283F"/>
    <w:rsid w:val="00162E8F"/>
    <w:rsid w:val="001632BC"/>
    <w:rsid w:val="00163E2D"/>
    <w:rsid w:val="001640C4"/>
    <w:rsid w:val="0016414C"/>
    <w:rsid w:val="00164A92"/>
    <w:rsid w:val="001651D0"/>
    <w:rsid w:val="001660AB"/>
    <w:rsid w:val="001661D0"/>
    <w:rsid w:val="0016744B"/>
    <w:rsid w:val="00167730"/>
    <w:rsid w:val="001678DD"/>
    <w:rsid w:val="00167D3E"/>
    <w:rsid w:val="00171C99"/>
    <w:rsid w:val="00172931"/>
    <w:rsid w:val="00172D51"/>
    <w:rsid w:val="001731C4"/>
    <w:rsid w:val="00173E7B"/>
    <w:rsid w:val="001745BD"/>
    <w:rsid w:val="00174CC1"/>
    <w:rsid w:val="00174D5A"/>
    <w:rsid w:val="001753E5"/>
    <w:rsid w:val="001758B8"/>
    <w:rsid w:val="001758ED"/>
    <w:rsid w:val="00175F18"/>
    <w:rsid w:val="001761C8"/>
    <w:rsid w:val="0017622E"/>
    <w:rsid w:val="001763AD"/>
    <w:rsid w:val="00176853"/>
    <w:rsid w:val="00176FDA"/>
    <w:rsid w:val="001773F7"/>
    <w:rsid w:val="00177477"/>
    <w:rsid w:val="001774E6"/>
    <w:rsid w:val="00177914"/>
    <w:rsid w:val="00177AE2"/>
    <w:rsid w:val="0018039B"/>
    <w:rsid w:val="00180B97"/>
    <w:rsid w:val="00181274"/>
    <w:rsid w:val="001817D5"/>
    <w:rsid w:val="00182453"/>
    <w:rsid w:val="001824B9"/>
    <w:rsid w:val="00182697"/>
    <w:rsid w:val="00182E8F"/>
    <w:rsid w:val="001836A2"/>
    <w:rsid w:val="00183D57"/>
    <w:rsid w:val="0018417D"/>
    <w:rsid w:val="001852D6"/>
    <w:rsid w:val="00185AE2"/>
    <w:rsid w:val="00185C25"/>
    <w:rsid w:val="00186197"/>
    <w:rsid w:val="0018658C"/>
    <w:rsid w:val="00186D77"/>
    <w:rsid w:val="00186F58"/>
    <w:rsid w:val="00191236"/>
    <w:rsid w:val="00191763"/>
    <w:rsid w:val="0019178A"/>
    <w:rsid w:val="00191C06"/>
    <w:rsid w:val="00191F5B"/>
    <w:rsid w:val="00192A57"/>
    <w:rsid w:val="0019324F"/>
    <w:rsid w:val="001934AD"/>
    <w:rsid w:val="001937D7"/>
    <w:rsid w:val="00194490"/>
    <w:rsid w:val="00194957"/>
    <w:rsid w:val="00194BBB"/>
    <w:rsid w:val="00195AD1"/>
    <w:rsid w:val="00195DD8"/>
    <w:rsid w:val="00195ECA"/>
    <w:rsid w:val="00196353"/>
    <w:rsid w:val="00197085"/>
    <w:rsid w:val="0019745C"/>
    <w:rsid w:val="0019762C"/>
    <w:rsid w:val="00197988"/>
    <w:rsid w:val="00197D2E"/>
    <w:rsid w:val="00197EFE"/>
    <w:rsid w:val="001A0987"/>
    <w:rsid w:val="001A0E3A"/>
    <w:rsid w:val="001A1353"/>
    <w:rsid w:val="001A17F6"/>
    <w:rsid w:val="001A2549"/>
    <w:rsid w:val="001A2C06"/>
    <w:rsid w:val="001A2F3D"/>
    <w:rsid w:val="001A3EF7"/>
    <w:rsid w:val="001A3F1B"/>
    <w:rsid w:val="001A3F7B"/>
    <w:rsid w:val="001A4AC3"/>
    <w:rsid w:val="001A4BD6"/>
    <w:rsid w:val="001A57C1"/>
    <w:rsid w:val="001A5869"/>
    <w:rsid w:val="001A6472"/>
    <w:rsid w:val="001A7233"/>
    <w:rsid w:val="001A784A"/>
    <w:rsid w:val="001A7E19"/>
    <w:rsid w:val="001B0370"/>
    <w:rsid w:val="001B07DD"/>
    <w:rsid w:val="001B0978"/>
    <w:rsid w:val="001B0F58"/>
    <w:rsid w:val="001B1243"/>
    <w:rsid w:val="001B1C4D"/>
    <w:rsid w:val="001B26BD"/>
    <w:rsid w:val="001B2767"/>
    <w:rsid w:val="001B2874"/>
    <w:rsid w:val="001B29C1"/>
    <w:rsid w:val="001B2AA7"/>
    <w:rsid w:val="001B37D3"/>
    <w:rsid w:val="001B4117"/>
    <w:rsid w:val="001B43CC"/>
    <w:rsid w:val="001B4742"/>
    <w:rsid w:val="001B4962"/>
    <w:rsid w:val="001B4A52"/>
    <w:rsid w:val="001B4AED"/>
    <w:rsid w:val="001B4C33"/>
    <w:rsid w:val="001B53B7"/>
    <w:rsid w:val="001B5746"/>
    <w:rsid w:val="001B5A08"/>
    <w:rsid w:val="001B6B8D"/>
    <w:rsid w:val="001B6D96"/>
    <w:rsid w:val="001B79E0"/>
    <w:rsid w:val="001B7EB7"/>
    <w:rsid w:val="001C0D6D"/>
    <w:rsid w:val="001C0E71"/>
    <w:rsid w:val="001C0EFB"/>
    <w:rsid w:val="001C1419"/>
    <w:rsid w:val="001C1D29"/>
    <w:rsid w:val="001C1E36"/>
    <w:rsid w:val="001C278E"/>
    <w:rsid w:val="001C2867"/>
    <w:rsid w:val="001C2D3F"/>
    <w:rsid w:val="001C2D7E"/>
    <w:rsid w:val="001C2F70"/>
    <w:rsid w:val="001C3AA3"/>
    <w:rsid w:val="001C3D08"/>
    <w:rsid w:val="001C4019"/>
    <w:rsid w:val="001C4C04"/>
    <w:rsid w:val="001C5300"/>
    <w:rsid w:val="001C544D"/>
    <w:rsid w:val="001C560F"/>
    <w:rsid w:val="001C5802"/>
    <w:rsid w:val="001C5863"/>
    <w:rsid w:val="001C5937"/>
    <w:rsid w:val="001C599B"/>
    <w:rsid w:val="001C5C39"/>
    <w:rsid w:val="001C6106"/>
    <w:rsid w:val="001C6D3D"/>
    <w:rsid w:val="001C6E6E"/>
    <w:rsid w:val="001C7C5F"/>
    <w:rsid w:val="001C7E1C"/>
    <w:rsid w:val="001D032B"/>
    <w:rsid w:val="001D0372"/>
    <w:rsid w:val="001D04BA"/>
    <w:rsid w:val="001D0545"/>
    <w:rsid w:val="001D14D9"/>
    <w:rsid w:val="001D1B20"/>
    <w:rsid w:val="001D1E62"/>
    <w:rsid w:val="001D22DC"/>
    <w:rsid w:val="001D2D98"/>
    <w:rsid w:val="001D3500"/>
    <w:rsid w:val="001D360B"/>
    <w:rsid w:val="001D3E31"/>
    <w:rsid w:val="001D5937"/>
    <w:rsid w:val="001D6111"/>
    <w:rsid w:val="001D61B2"/>
    <w:rsid w:val="001D6DB0"/>
    <w:rsid w:val="001D74BB"/>
    <w:rsid w:val="001D788D"/>
    <w:rsid w:val="001E168D"/>
    <w:rsid w:val="001E1C12"/>
    <w:rsid w:val="001E3166"/>
    <w:rsid w:val="001E31A4"/>
    <w:rsid w:val="001E3667"/>
    <w:rsid w:val="001E3A49"/>
    <w:rsid w:val="001E3FF7"/>
    <w:rsid w:val="001E458E"/>
    <w:rsid w:val="001E4A39"/>
    <w:rsid w:val="001E4A69"/>
    <w:rsid w:val="001E5419"/>
    <w:rsid w:val="001E5581"/>
    <w:rsid w:val="001E5CF1"/>
    <w:rsid w:val="001E6146"/>
    <w:rsid w:val="001E7A86"/>
    <w:rsid w:val="001E7F6B"/>
    <w:rsid w:val="001F0889"/>
    <w:rsid w:val="001F0E4C"/>
    <w:rsid w:val="001F0E50"/>
    <w:rsid w:val="001F1025"/>
    <w:rsid w:val="001F2B27"/>
    <w:rsid w:val="001F3082"/>
    <w:rsid w:val="001F3C94"/>
    <w:rsid w:val="001F3CB9"/>
    <w:rsid w:val="001F434A"/>
    <w:rsid w:val="001F4877"/>
    <w:rsid w:val="001F588E"/>
    <w:rsid w:val="001F59CB"/>
    <w:rsid w:val="001F5AED"/>
    <w:rsid w:val="001F5E29"/>
    <w:rsid w:val="001F6BE0"/>
    <w:rsid w:val="001F6E5B"/>
    <w:rsid w:val="001F6E6D"/>
    <w:rsid w:val="001F706E"/>
    <w:rsid w:val="001F73C2"/>
    <w:rsid w:val="001F7716"/>
    <w:rsid w:val="001F7EB7"/>
    <w:rsid w:val="00200227"/>
    <w:rsid w:val="00201213"/>
    <w:rsid w:val="002013E2"/>
    <w:rsid w:val="00201B3F"/>
    <w:rsid w:val="00201D8D"/>
    <w:rsid w:val="002023EC"/>
    <w:rsid w:val="00202A64"/>
    <w:rsid w:val="002030F0"/>
    <w:rsid w:val="0020391B"/>
    <w:rsid w:val="0020394C"/>
    <w:rsid w:val="002043F2"/>
    <w:rsid w:val="00204F68"/>
    <w:rsid w:val="002052FB"/>
    <w:rsid w:val="0020557F"/>
    <w:rsid w:val="00206117"/>
    <w:rsid w:val="00206D59"/>
    <w:rsid w:val="002073EF"/>
    <w:rsid w:val="00210980"/>
    <w:rsid w:val="002121FD"/>
    <w:rsid w:val="0021233F"/>
    <w:rsid w:val="002124C3"/>
    <w:rsid w:val="0021336F"/>
    <w:rsid w:val="002137CE"/>
    <w:rsid w:val="00213B26"/>
    <w:rsid w:val="00213C5F"/>
    <w:rsid w:val="002142D8"/>
    <w:rsid w:val="00214A2D"/>
    <w:rsid w:val="00215C66"/>
    <w:rsid w:val="00216706"/>
    <w:rsid w:val="00217325"/>
    <w:rsid w:val="002175B5"/>
    <w:rsid w:val="002175FF"/>
    <w:rsid w:val="0022154D"/>
    <w:rsid w:val="002218DF"/>
    <w:rsid w:val="002219D8"/>
    <w:rsid w:val="002222F9"/>
    <w:rsid w:val="00222BDF"/>
    <w:rsid w:val="002234DD"/>
    <w:rsid w:val="00223B0F"/>
    <w:rsid w:val="00223DE8"/>
    <w:rsid w:val="00223E72"/>
    <w:rsid w:val="0022416D"/>
    <w:rsid w:val="002241A1"/>
    <w:rsid w:val="002246EC"/>
    <w:rsid w:val="00224A50"/>
    <w:rsid w:val="002275CF"/>
    <w:rsid w:val="00227607"/>
    <w:rsid w:val="00230060"/>
    <w:rsid w:val="0023079E"/>
    <w:rsid w:val="00230BD2"/>
    <w:rsid w:val="00231243"/>
    <w:rsid w:val="0023155A"/>
    <w:rsid w:val="00231731"/>
    <w:rsid w:val="00231B64"/>
    <w:rsid w:val="002320A0"/>
    <w:rsid w:val="00232846"/>
    <w:rsid w:val="00232AC0"/>
    <w:rsid w:val="00232CA6"/>
    <w:rsid w:val="00232D45"/>
    <w:rsid w:val="00232F12"/>
    <w:rsid w:val="00232FDB"/>
    <w:rsid w:val="0023347E"/>
    <w:rsid w:val="00233A0A"/>
    <w:rsid w:val="00234AE4"/>
    <w:rsid w:val="00234B6F"/>
    <w:rsid w:val="00235205"/>
    <w:rsid w:val="00236015"/>
    <w:rsid w:val="002362B2"/>
    <w:rsid w:val="0023704A"/>
    <w:rsid w:val="00237ACB"/>
    <w:rsid w:val="002401A9"/>
    <w:rsid w:val="002415D6"/>
    <w:rsid w:val="0024203F"/>
    <w:rsid w:val="00242079"/>
    <w:rsid w:val="002420E3"/>
    <w:rsid w:val="00242511"/>
    <w:rsid w:val="0024303F"/>
    <w:rsid w:val="002430E6"/>
    <w:rsid w:val="00243AE7"/>
    <w:rsid w:val="00243C93"/>
    <w:rsid w:val="002461C3"/>
    <w:rsid w:val="0024631B"/>
    <w:rsid w:val="00246747"/>
    <w:rsid w:val="0024739B"/>
    <w:rsid w:val="002479D9"/>
    <w:rsid w:val="00247B9F"/>
    <w:rsid w:val="00247CE0"/>
    <w:rsid w:val="00247F33"/>
    <w:rsid w:val="00251128"/>
    <w:rsid w:val="002514F4"/>
    <w:rsid w:val="0025166D"/>
    <w:rsid w:val="0025186C"/>
    <w:rsid w:val="00251892"/>
    <w:rsid w:val="00253033"/>
    <w:rsid w:val="002530C5"/>
    <w:rsid w:val="00253458"/>
    <w:rsid w:val="00254301"/>
    <w:rsid w:val="002546BF"/>
    <w:rsid w:val="002553C0"/>
    <w:rsid w:val="00255405"/>
    <w:rsid w:val="0025595A"/>
    <w:rsid w:val="002564AD"/>
    <w:rsid w:val="00256FDE"/>
    <w:rsid w:val="00257216"/>
    <w:rsid w:val="00257B5E"/>
    <w:rsid w:val="00257C93"/>
    <w:rsid w:val="00260184"/>
    <w:rsid w:val="00260546"/>
    <w:rsid w:val="00261EAD"/>
    <w:rsid w:val="00262116"/>
    <w:rsid w:val="002621B2"/>
    <w:rsid w:val="00262398"/>
    <w:rsid w:val="00262943"/>
    <w:rsid w:val="00262BCF"/>
    <w:rsid w:val="00262DFE"/>
    <w:rsid w:val="00263DA4"/>
    <w:rsid w:val="00264069"/>
    <w:rsid w:val="00264833"/>
    <w:rsid w:val="00264987"/>
    <w:rsid w:val="00264E48"/>
    <w:rsid w:val="00266ADE"/>
    <w:rsid w:val="00267DA6"/>
    <w:rsid w:val="00270774"/>
    <w:rsid w:val="00270C45"/>
    <w:rsid w:val="00270EBD"/>
    <w:rsid w:val="00271641"/>
    <w:rsid w:val="00271F88"/>
    <w:rsid w:val="00271FB9"/>
    <w:rsid w:val="0027241D"/>
    <w:rsid w:val="00272786"/>
    <w:rsid w:val="00272A0A"/>
    <w:rsid w:val="002734AA"/>
    <w:rsid w:val="002736E4"/>
    <w:rsid w:val="00273C1B"/>
    <w:rsid w:val="00273D93"/>
    <w:rsid w:val="0027404B"/>
    <w:rsid w:val="0027492C"/>
    <w:rsid w:val="002750E7"/>
    <w:rsid w:val="00275C3B"/>
    <w:rsid w:val="00276C30"/>
    <w:rsid w:val="00276D13"/>
    <w:rsid w:val="00276FCD"/>
    <w:rsid w:val="00276FF3"/>
    <w:rsid w:val="00277017"/>
    <w:rsid w:val="002778DE"/>
    <w:rsid w:val="0028006E"/>
    <w:rsid w:val="0028070E"/>
    <w:rsid w:val="0028083A"/>
    <w:rsid w:val="00280D4A"/>
    <w:rsid w:val="0028197F"/>
    <w:rsid w:val="002819DD"/>
    <w:rsid w:val="00283020"/>
    <w:rsid w:val="0028432E"/>
    <w:rsid w:val="0028468F"/>
    <w:rsid w:val="00284E84"/>
    <w:rsid w:val="002859CD"/>
    <w:rsid w:val="00285BC0"/>
    <w:rsid w:val="00285F32"/>
    <w:rsid w:val="00286352"/>
    <w:rsid w:val="00286A1B"/>
    <w:rsid w:val="00287B3F"/>
    <w:rsid w:val="0029087C"/>
    <w:rsid w:val="00291193"/>
    <w:rsid w:val="0029159B"/>
    <w:rsid w:val="00291C70"/>
    <w:rsid w:val="00291DD6"/>
    <w:rsid w:val="00291E18"/>
    <w:rsid w:val="00292902"/>
    <w:rsid w:val="00292CC4"/>
    <w:rsid w:val="002936F4"/>
    <w:rsid w:val="002938D5"/>
    <w:rsid w:val="0029399F"/>
    <w:rsid w:val="00293CF9"/>
    <w:rsid w:val="00294A09"/>
    <w:rsid w:val="00295413"/>
    <w:rsid w:val="002954D5"/>
    <w:rsid w:val="00295C3F"/>
    <w:rsid w:val="00296A67"/>
    <w:rsid w:val="00296FD2"/>
    <w:rsid w:val="002971EA"/>
    <w:rsid w:val="0029723E"/>
    <w:rsid w:val="002975FF"/>
    <w:rsid w:val="00297CA1"/>
    <w:rsid w:val="002A03A7"/>
    <w:rsid w:val="002A0D05"/>
    <w:rsid w:val="002A128A"/>
    <w:rsid w:val="002A1C71"/>
    <w:rsid w:val="002A1FD7"/>
    <w:rsid w:val="002A3685"/>
    <w:rsid w:val="002A37FA"/>
    <w:rsid w:val="002A3806"/>
    <w:rsid w:val="002A3884"/>
    <w:rsid w:val="002A3B8E"/>
    <w:rsid w:val="002A4085"/>
    <w:rsid w:val="002A481C"/>
    <w:rsid w:val="002A482C"/>
    <w:rsid w:val="002A4E0A"/>
    <w:rsid w:val="002A601E"/>
    <w:rsid w:val="002A695A"/>
    <w:rsid w:val="002A6F26"/>
    <w:rsid w:val="002A707B"/>
    <w:rsid w:val="002A7F0D"/>
    <w:rsid w:val="002A7FC7"/>
    <w:rsid w:val="002B0721"/>
    <w:rsid w:val="002B0985"/>
    <w:rsid w:val="002B1D35"/>
    <w:rsid w:val="002B1E6C"/>
    <w:rsid w:val="002B2405"/>
    <w:rsid w:val="002B395C"/>
    <w:rsid w:val="002B44E2"/>
    <w:rsid w:val="002B50F7"/>
    <w:rsid w:val="002B5812"/>
    <w:rsid w:val="002B5D59"/>
    <w:rsid w:val="002B79E4"/>
    <w:rsid w:val="002B7CB2"/>
    <w:rsid w:val="002C0EED"/>
    <w:rsid w:val="002C13C5"/>
    <w:rsid w:val="002C21F8"/>
    <w:rsid w:val="002C27D6"/>
    <w:rsid w:val="002C34AF"/>
    <w:rsid w:val="002C3C55"/>
    <w:rsid w:val="002C53CC"/>
    <w:rsid w:val="002C57C4"/>
    <w:rsid w:val="002C5812"/>
    <w:rsid w:val="002C5A88"/>
    <w:rsid w:val="002C5E86"/>
    <w:rsid w:val="002C6086"/>
    <w:rsid w:val="002C6637"/>
    <w:rsid w:val="002C7461"/>
    <w:rsid w:val="002C7B3F"/>
    <w:rsid w:val="002C7C15"/>
    <w:rsid w:val="002C7D0F"/>
    <w:rsid w:val="002D07BA"/>
    <w:rsid w:val="002D0C48"/>
    <w:rsid w:val="002D13BA"/>
    <w:rsid w:val="002D14E6"/>
    <w:rsid w:val="002D177D"/>
    <w:rsid w:val="002D17CE"/>
    <w:rsid w:val="002D2DFC"/>
    <w:rsid w:val="002D385E"/>
    <w:rsid w:val="002D3A61"/>
    <w:rsid w:val="002D3AEF"/>
    <w:rsid w:val="002D50EF"/>
    <w:rsid w:val="002D587F"/>
    <w:rsid w:val="002D672B"/>
    <w:rsid w:val="002D77F6"/>
    <w:rsid w:val="002E0B1D"/>
    <w:rsid w:val="002E13A0"/>
    <w:rsid w:val="002E29CB"/>
    <w:rsid w:val="002E30C1"/>
    <w:rsid w:val="002E30F2"/>
    <w:rsid w:val="002E322A"/>
    <w:rsid w:val="002E3630"/>
    <w:rsid w:val="002E410A"/>
    <w:rsid w:val="002E424C"/>
    <w:rsid w:val="002E52B3"/>
    <w:rsid w:val="002E5320"/>
    <w:rsid w:val="002E7103"/>
    <w:rsid w:val="002E732C"/>
    <w:rsid w:val="002F0C02"/>
    <w:rsid w:val="002F0EED"/>
    <w:rsid w:val="002F1E92"/>
    <w:rsid w:val="002F2332"/>
    <w:rsid w:val="002F2F21"/>
    <w:rsid w:val="002F3D2B"/>
    <w:rsid w:val="002F3F3A"/>
    <w:rsid w:val="002F42A2"/>
    <w:rsid w:val="002F4E5B"/>
    <w:rsid w:val="002F67DA"/>
    <w:rsid w:val="002F6BE9"/>
    <w:rsid w:val="002F7243"/>
    <w:rsid w:val="002F7724"/>
    <w:rsid w:val="003008E7"/>
    <w:rsid w:val="00300DB5"/>
    <w:rsid w:val="003011FB"/>
    <w:rsid w:val="003014C4"/>
    <w:rsid w:val="00301631"/>
    <w:rsid w:val="00301A4B"/>
    <w:rsid w:val="00302731"/>
    <w:rsid w:val="003032E2"/>
    <w:rsid w:val="003036B8"/>
    <w:rsid w:val="00304581"/>
    <w:rsid w:val="00305096"/>
    <w:rsid w:val="0030631B"/>
    <w:rsid w:val="0030787C"/>
    <w:rsid w:val="00307A30"/>
    <w:rsid w:val="00307E49"/>
    <w:rsid w:val="00310D6B"/>
    <w:rsid w:val="003110A2"/>
    <w:rsid w:val="00311300"/>
    <w:rsid w:val="00311965"/>
    <w:rsid w:val="00311B75"/>
    <w:rsid w:val="00311E6E"/>
    <w:rsid w:val="0031204A"/>
    <w:rsid w:val="00312528"/>
    <w:rsid w:val="00312BCE"/>
    <w:rsid w:val="00314075"/>
    <w:rsid w:val="00315F49"/>
    <w:rsid w:val="00316A8C"/>
    <w:rsid w:val="0031763A"/>
    <w:rsid w:val="00317CDD"/>
    <w:rsid w:val="003202C8"/>
    <w:rsid w:val="003203FA"/>
    <w:rsid w:val="003208B4"/>
    <w:rsid w:val="00320D0A"/>
    <w:rsid w:val="00321227"/>
    <w:rsid w:val="00321A25"/>
    <w:rsid w:val="003227EA"/>
    <w:rsid w:val="00322DE0"/>
    <w:rsid w:val="0032331E"/>
    <w:rsid w:val="00323CB2"/>
    <w:rsid w:val="00324DE9"/>
    <w:rsid w:val="0032519C"/>
    <w:rsid w:val="003257D3"/>
    <w:rsid w:val="00325FAC"/>
    <w:rsid w:val="00326112"/>
    <w:rsid w:val="00326B69"/>
    <w:rsid w:val="00327734"/>
    <w:rsid w:val="003279EE"/>
    <w:rsid w:val="00327D75"/>
    <w:rsid w:val="003307EC"/>
    <w:rsid w:val="00331429"/>
    <w:rsid w:val="00331B57"/>
    <w:rsid w:val="0033291C"/>
    <w:rsid w:val="00332A02"/>
    <w:rsid w:val="00332BB7"/>
    <w:rsid w:val="00332E8B"/>
    <w:rsid w:val="0033317E"/>
    <w:rsid w:val="003332C3"/>
    <w:rsid w:val="00334BAE"/>
    <w:rsid w:val="00335180"/>
    <w:rsid w:val="003367EA"/>
    <w:rsid w:val="00336960"/>
    <w:rsid w:val="00340B2B"/>
    <w:rsid w:val="00340E3F"/>
    <w:rsid w:val="00342091"/>
    <w:rsid w:val="0034230A"/>
    <w:rsid w:val="003423C5"/>
    <w:rsid w:val="003429A3"/>
    <w:rsid w:val="00342AF1"/>
    <w:rsid w:val="00343541"/>
    <w:rsid w:val="0034427F"/>
    <w:rsid w:val="00344438"/>
    <w:rsid w:val="003447CA"/>
    <w:rsid w:val="00344FE6"/>
    <w:rsid w:val="00345385"/>
    <w:rsid w:val="003453E6"/>
    <w:rsid w:val="0034579D"/>
    <w:rsid w:val="00345C22"/>
    <w:rsid w:val="00345C91"/>
    <w:rsid w:val="00346866"/>
    <w:rsid w:val="00346979"/>
    <w:rsid w:val="00346989"/>
    <w:rsid w:val="00346ADB"/>
    <w:rsid w:val="0035151F"/>
    <w:rsid w:val="00351F62"/>
    <w:rsid w:val="0035270F"/>
    <w:rsid w:val="003532D0"/>
    <w:rsid w:val="0035369C"/>
    <w:rsid w:val="0035374C"/>
    <w:rsid w:val="00353D4A"/>
    <w:rsid w:val="00354F3F"/>
    <w:rsid w:val="003553EE"/>
    <w:rsid w:val="00355E68"/>
    <w:rsid w:val="0035636F"/>
    <w:rsid w:val="00356F23"/>
    <w:rsid w:val="00357253"/>
    <w:rsid w:val="00357328"/>
    <w:rsid w:val="00357491"/>
    <w:rsid w:val="003575D8"/>
    <w:rsid w:val="00357670"/>
    <w:rsid w:val="00357D7A"/>
    <w:rsid w:val="00360394"/>
    <w:rsid w:val="00360457"/>
    <w:rsid w:val="0036071C"/>
    <w:rsid w:val="0036072B"/>
    <w:rsid w:val="003608F4"/>
    <w:rsid w:val="00360DD6"/>
    <w:rsid w:val="00361263"/>
    <w:rsid w:val="00362397"/>
    <w:rsid w:val="00363606"/>
    <w:rsid w:val="003640AC"/>
    <w:rsid w:val="003641B4"/>
    <w:rsid w:val="00364F26"/>
    <w:rsid w:val="00365069"/>
    <w:rsid w:val="00365B03"/>
    <w:rsid w:val="00365CD0"/>
    <w:rsid w:val="00365CF3"/>
    <w:rsid w:val="00366C17"/>
    <w:rsid w:val="00366F17"/>
    <w:rsid w:val="0036783B"/>
    <w:rsid w:val="003678BC"/>
    <w:rsid w:val="00367DF1"/>
    <w:rsid w:val="00367EB6"/>
    <w:rsid w:val="003709EE"/>
    <w:rsid w:val="00371050"/>
    <w:rsid w:val="00371BCD"/>
    <w:rsid w:val="003735E7"/>
    <w:rsid w:val="00373755"/>
    <w:rsid w:val="00373DBD"/>
    <w:rsid w:val="003742E1"/>
    <w:rsid w:val="003749AC"/>
    <w:rsid w:val="003749FC"/>
    <w:rsid w:val="00374B04"/>
    <w:rsid w:val="00374BBA"/>
    <w:rsid w:val="00374C16"/>
    <w:rsid w:val="0037585F"/>
    <w:rsid w:val="00375B27"/>
    <w:rsid w:val="00375E1D"/>
    <w:rsid w:val="003769CA"/>
    <w:rsid w:val="003770B0"/>
    <w:rsid w:val="003777DC"/>
    <w:rsid w:val="00377F15"/>
    <w:rsid w:val="0038048A"/>
    <w:rsid w:val="003808A7"/>
    <w:rsid w:val="00381255"/>
    <w:rsid w:val="0038196C"/>
    <w:rsid w:val="00381DAF"/>
    <w:rsid w:val="0038208F"/>
    <w:rsid w:val="003822B7"/>
    <w:rsid w:val="0038271C"/>
    <w:rsid w:val="00382FB8"/>
    <w:rsid w:val="00383203"/>
    <w:rsid w:val="003832FF"/>
    <w:rsid w:val="00383C88"/>
    <w:rsid w:val="00384553"/>
    <w:rsid w:val="00384ACD"/>
    <w:rsid w:val="003855D1"/>
    <w:rsid w:val="0038591F"/>
    <w:rsid w:val="00385B4A"/>
    <w:rsid w:val="00385BA7"/>
    <w:rsid w:val="0038610D"/>
    <w:rsid w:val="00387267"/>
    <w:rsid w:val="0038784D"/>
    <w:rsid w:val="00387C5A"/>
    <w:rsid w:val="00387D33"/>
    <w:rsid w:val="00387EDC"/>
    <w:rsid w:val="003903D4"/>
    <w:rsid w:val="00390407"/>
    <w:rsid w:val="003906B3"/>
    <w:rsid w:val="0039086D"/>
    <w:rsid w:val="003908C6"/>
    <w:rsid w:val="00391109"/>
    <w:rsid w:val="0039181A"/>
    <w:rsid w:val="00391AB8"/>
    <w:rsid w:val="0039204F"/>
    <w:rsid w:val="003932FD"/>
    <w:rsid w:val="003954B8"/>
    <w:rsid w:val="00395BA2"/>
    <w:rsid w:val="0039634D"/>
    <w:rsid w:val="003964BC"/>
    <w:rsid w:val="00396BC5"/>
    <w:rsid w:val="00396EF3"/>
    <w:rsid w:val="003A0AB0"/>
    <w:rsid w:val="003A10C4"/>
    <w:rsid w:val="003A2B1A"/>
    <w:rsid w:val="003A3B2F"/>
    <w:rsid w:val="003A3E75"/>
    <w:rsid w:val="003A4329"/>
    <w:rsid w:val="003A45AC"/>
    <w:rsid w:val="003A4635"/>
    <w:rsid w:val="003A5065"/>
    <w:rsid w:val="003A5799"/>
    <w:rsid w:val="003A5AA4"/>
    <w:rsid w:val="003A5D5E"/>
    <w:rsid w:val="003A632E"/>
    <w:rsid w:val="003A6C2B"/>
    <w:rsid w:val="003A75BE"/>
    <w:rsid w:val="003A762D"/>
    <w:rsid w:val="003B00AC"/>
    <w:rsid w:val="003B083C"/>
    <w:rsid w:val="003B08AF"/>
    <w:rsid w:val="003B0CD5"/>
    <w:rsid w:val="003B0D3B"/>
    <w:rsid w:val="003B1837"/>
    <w:rsid w:val="003B2876"/>
    <w:rsid w:val="003B2985"/>
    <w:rsid w:val="003B2F3B"/>
    <w:rsid w:val="003B3032"/>
    <w:rsid w:val="003B312B"/>
    <w:rsid w:val="003B4328"/>
    <w:rsid w:val="003B4633"/>
    <w:rsid w:val="003B4BFB"/>
    <w:rsid w:val="003B4CEA"/>
    <w:rsid w:val="003B5522"/>
    <w:rsid w:val="003B5B7F"/>
    <w:rsid w:val="003B6A6C"/>
    <w:rsid w:val="003B70AA"/>
    <w:rsid w:val="003B7A72"/>
    <w:rsid w:val="003B7B81"/>
    <w:rsid w:val="003B7E1C"/>
    <w:rsid w:val="003C05E0"/>
    <w:rsid w:val="003C0AA6"/>
    <w:rsid w:val="003C1433"/>
    <w:rsid w:val="003C1703"/>
    <w:rsid w:val="003C26C3"/>
    <w:rsid w:val="003C4176"/>
    <w:rsid w:val="003C440D"/>
    <w:rsid w:val="003C4623"/>
    <w:rsid w:val="003C4700"/>
    <w:rsid w:val="003C4BD8"/>
    <w:rsid w:val="003C5734"/>
    <w:rsid w:val="003C628F"/>
    <w:rsid w:val="003C62DE"/>
    <w:rsid w:val="003C6499"/>
    <w:rsid w:val="003C6ADE"/>
    <w:rsid w:val="003C6C2C"/>
    <w:rsid w:val="003C73FD"/>
    <w:rsid w:val="003C7E34"/>
    <w:rsid w:val="003C7F15"/>
    <w:rsid w:val="003D00D7"/>
    <w:rsid w:val="003D1582"/>
    <w:rsid w:val="003D170E"/>
    <w:rsid w:val="003D17D6"/>
    <w:rsid w:val="003D181B"/>
    <w:rsid w:val="003D1AA1"/>
    <w:rsid w:val="003D1BA8"/>
    <w:rsid w:val="003D1C44"/>
    <w:rsid w:val="003D1CCC"/>
    <w:rsid w:val="003D2246"/>
    <w:rsid w:val="003D3E98"/>
    <w:rsid w:val="003D496E"/>
    <w:rsid w:val="003D50A3"/>
    <w:rsid w:val="003D53CD"/>
    <w:rsid w:val="003D5818"/>
    <w:rsid w:val="003D58DC"/>
    <w:rsid w:val="003D5C99"/>
    <w:rsid w:val="003D5FA5"/>
    <w:rsid w:val="003D60F9"/>
    <w:rsid w:val="003D6C82"/>
    <w:rsid w:val="003D6D14"/>
    <w:rsid w:val="003D6DA9"/>
    <w:rsid w:val="003D711E"/>
    <w:rsid w:val="003D7791"/>
    <w:rsid w:val="003D792D"/>
    <w:rsid w:val="003E03E8"/>
    <w:rsid w:val="003E0532"/>
    <w:rsid w:val="003E070D"/>
    <w:rsid w:val="003E0862"/>
    <w:rsid w:val="003E0E12"/>
    <w:rsid w:val="003E1B16"/>
    <w:rsid w:val="003E1D7D"/>
    <w:rsid w:val="003E1F3D"/>
    <w:rsid w:val="003E35A1"/>
    <w:rsid w:val="003E430F"/>
    <w:rsid w:val="003E46D0"/>
    <w:rsid w:val="003E4A3A"/>
    <w:rsid w:val="003E4D0E"/>
    <w:rsid w:val="003E586D"/>
    <w:rsid w:val="003E5CD7"/>
    <w:rsid w:val="003E61E4"/>
    <w:rsid w:val="003E6AE6"/>
    <w:rsid w:val="003E771B"/>
    <w:rsid w:val="003E7C33"/>
    <w:rsid w:val="003E7F6A"/>
    <w:rsid w:val="003F06C8"/>
    <w:rsid w:val="003F09D8"/>
    <w:rsid w:val="003F102B"/>
    <w:rsid w:val="003F265A"/>
    <w:rsid w:val="003F2684"/>
    <w:rsid w:val="003F373F"/>
    <w:rsid w:val="003F3F7B"/>
    <w:rsid w:val="003F3FCA"/>
    <w:rsid w:val="003F41DB"/>
    <w:rsid w:val="003F47A1"/>
    <w:rsid w:val="003F4C17"/>
    <w:rsid w:val="003F50CE"/>
    <w:rsid w:val="003F5380"/>
    <w:rsid w:val="003F5BA8"/>
    <w:rsid w:val="003F61E6"/>
    <w:rsid w:val="003F772D"/>
    <w:rsid w:val="003F779D"/>
    <w:rsid w:val="00400512"/>
    <w:rsid w:val="00400B9B"/>
    <w:rsid w:val="00402C45"/>
    <w:rsid w:val="004033D7"/>
    <w:rsid w:val="0040344F"/>
    <w:rsid w:val="00403D7A"/>
    <w:rsid w:val="00403F87"/>
    <w:rsid w:val="004047E7"/>
    <w:rsid w:val="00404B74"/>
    <w:rsid w:val="004054BB"/>
    <w:rsid w:val="00405B9A"/>
    <w:rsid w:val="00406B22"/>
    <w:rsid w:val="00406B8E"/>
    <w:rsid w:val="004079A9"/>
    <w:rsid w:val="0041012F"/>
    <w:rsid w:val="00410AE5"/>
    <w:rsid w:val="00410C6C"/>
    <w:rsid w:val="00410D87"/>
    <w:rsid w:val="00410F59"/>
    <w:rsid w:val="00411039"/>
    <w:rsid w:val="004113AD"/>
    <w:rsid w:val="0041168A"/>
    <w:rsid w:val="0041215A"/>
    <w:rsid w:val="00412594"/>
    <w:rsid w:val="0041282E"/>
    <w:rsid w:val="00412AEA"/>
    <w:rsid w:val="00413254"/>
    <w:rsid w:val="00413507"/>
    <w:rsid w:val="00414677"/>
    <w:rsid w:val="00414914"/>
    <w:rsid w:val="0041524C"/>
    <w:rsid w:val="0041530B"/>
    <w:rsid w:val="0041566B"/>
    <w:rsid w:val="00416013"/>
    <w:rsid w:val="004166CA"/>
    <w:rsid w:val="0041678E"/>
    <w:rsid w:val="00416B52"/>
    <w:rsid w:val="00420789"/>
    <w:rsid w:val="00420977"/>
    <w:rsid w:val="00420ABB"/>
    <w:rsid w:val="00420D1E"/>
    <w:rsid w:val="00420E7C"/>
    <w:rsid w:val="004223E7"/>
    <w:rsid w:val="00423F0E"/>
    <w:rsid w:val="00424B98"/>
    <w:rsid w:val="00424D6F"/>
    <w:rsid w:val="00425001"/>
    <w:rsid w:val="00425BFC"/>
    <w:rsid w:val="00426308"/>
    <w:rsid w:val="0042730A"/>
    <w:rsid w:val="00427508"/>
    <w:rsid w:val="00427A2D"/>
    <w:rsid w:val="00427F6A"/>
    <w:rsid w:val="00431CEC"/>
    <w:rsid w:val="00432D6C"/>
    <w:rsid w:val="00433AD8"/>
    <w:rsid w:val="00433E9C"/>
    <w:rsid w:val="00434287"/>
    <w:rsid w:val="00434678"/>
    <w:rsid w:val="0043482A"/>
    <w:rsid w:val="00434B10"/>
    <w:rsid w:val="00434B56"/>
    <w:rsid w:val="004350A2"/>
    <w:rsid w:val="00435357"/>
    <w:rsid w:val="00436E0A"/>
    <w:rsid w:val="004376C8"/>
    <w:rsid w:val="00437759"/>
    <w:rsid w:val="0043786D"/>
    <w:rsid w:val="0043796B"/>
    <w:rsid w:val="00440119"/>
    <w:rsid w:val="00440646"/>
    <w:rsid w:val="00440AB6"/>
    <w:rsid w:val="00440B18"/>
    <w:rsid w:val="00441261"/>
    <w:rsid w:val="004419BF"/>
    <w:rsid w:val="004429FA"/>
    <w:rsid w:val="00443667"/>
    <w:rsid w:val="004437C7"/>
    <w:rsid w:val="004451A4"/>
    <w:rsid w:val="00445A29"/>
    <w:rsid w:val="00445ABC"/>
    <w:rsid w:val="004464BE"/>
    <w:rsid w:val="00446615"/>
    <w:rsid w:val="00450659"/>
    <w:rsid w:val="004519BF"/>
    <w:rsid w:val="00451B53"/>
    <w:rsid w:val="00451E62"/>
    <w:rsid w:val="0045215D"/>
    <w:rsid w:val="00452AD5"/>
    <w:rsid w:val="00453D33"/>
    <w:rsid w:val="0045515D"/>
    <w:rsid w:val="00455464"/>
    <w:rsid w:val="00455BF5"/>
    <w:rsid w:val="00455C04"/>
    <w:rsid w:val="00455D7D"/>
    <w:rsid w:val="00456DB1"/>
    <w:rsid w:val="004579FD"/>
    <w:rsid w:val="00457BEA"/>
    <w:rsid w:val="00457F40"/>
    <w:rsid w:val="004601FE"/>
    <w:rsid w:val="00460ECA"/>
    <w:rsid w:val="00461819"/>
    <w:rsid w:val="0046196B"/>
    <w:rsid w:val="00461EE9"/>
    <w:rsid w:val="00462843"/>
    <w:rsid w:val="004628F5"/>
    <w:rsid w:val="00462949"/>
    <w:rsid w:val="004631E5"/>
    <w:rsid w:val="0046454D"/>
    <w:rsid w:val="00464C24"/>
    <w:rsid w:val="004655B9"/>
    <w:rsid w:val="00465770"/>
    <w:rsid w:val="00465856"/>
    <w:rsid w:val="004660B1"/>
    <w:rsid w:val="004667FB"/>
    <w:rsid w:val="00466984"/>
    <w:rsid w:val="00466A85"/>
    <w:rsid w:val="00467593"/>
    <w:rsid w:val="0047097F"/>
    <w:rsid w:val="00471E11"/>
    <w:rsid w:val="0047202E"/>
    <w:rsid w:val="00474D3E"/>
    <w:rsid w:val="00475539"/>
    <w:rsid w:val="00475872"/>
    <w:rsid w:val="00475D62"/>
    <w:rsid w:val="004761CB"/>
    <w:rsid w:val="00476B47"/>
    <w:rsid w:val="00477649"/>
    <w:rsid w:val="00477B20"/>
    <w:rsid w:val="00480117"/>
    <w:rsid w:val="004804E3"/>
    <w:rsid w:val="004808E8"/>
    <w:rsid w:val="004814E1"/>
    <w:rsid w:val="00481A10"/>
    <w:rsid w:val="00482792"/>
    <w:rsid w:val="00482E2B"/>
    <w:rsid w:val="0048314E"/>
    <w:rsid w:val="0048329B"/>
    <w:rsid w:val="004847D4"/>
    <w:rsid w:val="00484DD8"/>
    <w:rsid w:val="00484E72"/>
    <w:rsid w:val="004852C6"/>
    <w:rsid w:val="00485470"/>
    <w:rsid w:val="00485696"/>
    <w:rsid w:val="00485B58"/>
    <w:rsid w:val="00485C4B"/>
    <w:rsid w:val="00485C81"/>
    <w:rsid w:val="00485F65"/>
    <w:rsid w:val="004862F7"/>
    <w:rsid w:val="00486810"/>
    <w:rsid w:val="00487128"/>
    <w:rsid w:val="00490736"/>
    <w:rsid w:val="004908CA"/>
    <w:rsid w:val="00490AC2"/>
    <w:rsid w:val="0049137F"/>
    <w:rsid w:val="004929A9"/>
    <w:rsid w:val="00492CAD"/>
    <w:rsid w:val="00492D2D"/>
    <w:rsid w:val="0049367B"/>
    <w:rsid w:val="00493831"/>
    <w:rsid w:val="00493CA7"/>
    <w:rsid w:val="004952E2"/>
    <w:rsid w:val="00495371"/>
    <w:rsid w:val="0049576C"/>
    <w:rsid w:val="00495914"/>
    <w:rsid w:val="00496290"/>
    <w:rsid w:val="004A016B"/>
    <w:rsid w:val="004A02DD"/>
    <w:rsid w:val="004A05D3"/>
    <w:rsid w:val="004A080A"/>
    <w:rsid w:val="004A08B8"/>
    <w:rsid w:val="004A1751"/>
    <w:rsid w:val="004A2963"/>
    <w:rsid w:val="004A36CD"/>
    <w:rsid w:val="004A370E"/>
    <w:rsid w:val="004A4168"/>
    <w:rsid w:val="004A4258"/>
    <w:rsid w:val="004A4D96"/>
    <w:rsid w:val="004A4D99"/>
    <w:rsid w:val="004A4EDA"/>
    <w:rsid w:val="004A62F9"/>
    <w:rsid w:val="004A68B8"/>
    <w:rsid w:val="004A6B90"/>
    <w:rsid w:val="004A6C4E"/>
    <w:rsid w:val="004A6E06"/>
    <w:rsid w:val="004A79AB"/>
    <w:rsid w:val="004A7ABC"/>
    <w:rsid w:val="004B0928"/>
    <w:rsid w:val="004B09D4"/>
    <w:rsid w:val="004B0A65"/>
    <w:rsid w:val="004B0C64"/>
    <w:rsid w:val="004B1907"/>
    <w:rsid w:val="004B1ACC"/>
    <w:rsid w:val="004B1CFB"/>
    <w:rsid w:val="004B2D0D"/>
    <w:rsid w:val="004B3062"/>
    <w:rsid w:val="004B35D2"/>
    <w:rsid w:val="004B37D8"/>
    <w:rsid w:val="004B46CA"/>
    <w:rsid w:val="004B4EB3"/>
    <w:rsid w:val="004B5A06"/>
    <w:rsid w:val="004B637D"/>
    <w:rsid w:val="004B7E32"/>
    <w:rsid w:val="004B7E3F"/>
    <w:rsid w:val="004C07B1"/>
    <w:rsid w:val="004C0E64"/>
    <w:rsid w:val="004C118C"/>
    <w:rsid w:val="004C2171"/>
    <w:rsid w:val="004C21F0"/>
    <w:rsid w:val="004C21F6"/>
    <w:rsid w:val="004C2C9B"/>
    <w:rsid w:val="004C30DB"/>
    <w:rsid w:val="004C37FC"/>
    <w:rsid w:val="004C3848"/>
    <w:rsid w:val="004C4B12"/>
    <w:rsid w:val="004C4FBB"/>
    <w:rsid w:val="004C5539"/>
    <w:rsid w:val="004C575A"/>
    <w:rsid w:val="004C5D98"/>
    <w:rsid w:val="004C6B32"/>
    <w:rsid w:val="004C6DC3"/>
    <w:rsid w:val="004C7736"/>
    <w:rsid w:val="004C7D8C"/>
    <w:rsid w:val="004C7FC9"/>
    <w:rsid w:val="004D024A"/>
    <w:rsid w:val="004D0788"/>
    <w:rsid w:val="004D0F8B"/>
    <w:rsid w:val="004D1C54"/>
    <w:rsid w:val="004D1FB8"/>
    <w:rsid w:val="004D38D5"/>
    <w:rsid w:val="004D3D8B"/>
    <w:rsid w:val="004D404D"/>
    <w:rsid w:val="004D4362"/>
    <w:rsid w:val="004D52B2"/>
    <w:rsid w:val="004D54DB"/>
    <w:rsid w:val="004D6BB7"/>
    <w:rsid w:val="004D6C72"/>
    <w:rsid w:val="004D798E"/>
    <w:rsid w:val="004D79C8"/>
    <w:rsid w:val="004E01E1"/>
    <w:rsid w:val="004E04E3"/>
    <w:rsid w:val="004E09EF"/>
    <w:rsid w:val="004E0D2B"/>
    <w:rsid w:val="004E1458"/>
    <w:rsid w:val="004E20CC"/>
    <w:rsid w:val="004E21DF"/>
    <w:rsid w:val="004E22A1"/>
    <w:rsid w:val="004E230C"/>
    <w:rsid w:val="004E25A8"/>
    <w:rsid w:val="004E263B"/>
    <w:rsid w:val="004E3019"/>
    <w:rsid w:val="004E4261"/>
    <w:rsid w:val="004E4C1C"/>
    <w:rsid w:val="004E4C26"/>
    <w:rsid w:val="004E4EA8"/>
    <w:rsid w:val="004E510E"/>
    <w:rsid w:val="004E5239"/>
    <w:rsid w:val="004E5BF8"/>
    <w:rsid w:val="004E5C36"/>
    <w:rsid w:val="004E6A20"/>
    <w:rsid w:val="004E6BFA"/>
    <w:rsid w:val="004E6FC4"/>
    <w:rsid w:val="004E7560"/>
    <w:rsid w:val="004E78A5"/>
    <w:rsid w:val="004F0607"/>
    <w:rsid w:val="004F2D1A"/>
    <w:rsid w:val="004F2DA6"/>
    <w:rsid w:val="004F2FF4"/>
    <w:rsid w:val="004F4588"/>
    <w:rsid w:val="004F477A"/>
    <w:rsid w:val="004F4853"/>
    <w:rsid w:val="004F4C43"/>
    <w:rsid w:val="004F584C"/>
    <w:rsid w:val="004F5D62"/>
    <w:rsid w:val="004F6452"/>
    <w:rsid w:val="004F69A4"/>
    <w:rsid w:val="004F741F"/>
    <w:rsid w:val="004F74EB"/>
    <w:rsid w:val="004F796C"/>
    <w:rsid w:val="004F7BC6"/>
    <w:rsid w:val="00500E21"/>
    <w:rsid w:val="00501C2F"/>
    <w:rsid w:val="00501F42"/>
    <w:rsid w:val="0050200D"/>
    <w:rsid w:val="005023D8"/>
    <w:rsid w:val="00502BE3"/>
    <w:rsid w:val="00503322"/>
    <w:rsid w:val="00503599"/>
    <w:rsid w:val="00503749"/>
    <w:rsid w:val="0050598A"/>
    <w:rsid w:val="00507477"/>
    <w:rsid w:val="00507E08"/>
    <w:rsid w:val="00507E61"/>
    <w:rsid w:val="005102AA"/>
    <w:rsid w:val="005117F9"/>
    <w:rsid w:val="00512EE4"/>
    <w:rsid w:val="00512FF7"/>
    <w:rsid w:val="005133B3"/>
    <w:rsid w:val="005139B3"/>
    <w:rsid w:val="0051406F"/>
    <w:rsid w:val="00514304"/>
    <w:rsid w:val="005144B3"/>
    <w:rsid w:val="005145A2"/>
    <w:rsid w:val="0051465A"/>
    <w:rsid w:val="0051552C"/>
    <w:rsid w:val="00515CEC"/>
    <w:rsid w:val="0051603B"/>
    <w:rsid w:val="00516AA6"/>
    <w:rsid w:val="00520A36"/>
    <w:rsid w:val="005210CD"/>
    <w:rsid w:val="005214DD"/>
    <w:rsid w:val="00521AB3"/>
    <w:rsid w:val="00522E1D"/>
    <w:rsid w:val="00522E74"/>
    <w:rsid w:val="00522F76"/>
    <w:rsid w:val="0052335F"/>
    <w:rsid w:val="005245D0"/>
    <w:rsid w:val="00524C30"/>
    <w:rsid w:val="0052518D"/>
    <w:rsid w:val="005258DB"/>
    <w:rsid w:val="00526F76"/>
    <w:rsid w:val="00526FA3"/>
    <w:rsid w:val="00527830"/>
    <w:rsid w:val="00527AB7"/>
    <w:rsid w:val="00527FAE"/>
    <w:rsid w:val="00532F1B"/>
    <w:rsid w:val="00533A55"/>
    <w:rsid w:val="00534F9E"/>
    <w:rsid w:val="00535AFD"/>
    <w:rsid w:val="00535D50"/>
    <w:rsid w:val="005361E7"/>
    <w:rsid w:val="005362B5"/>
    <w:rsid w:val="00536DBE"/>
    <w:rsid w:val="00536EA8"/>
    <w:rsid w:val="00537D47"/>
    <w:rsid w:val="0054145B"/>
    <w:rsid w:val="005420CD"/>
    <w:rsid w:val="0054254B"/>
    <w:rsid w:val="0054317A"/>
    <w:rsid w:val="005435C8"/>
    <w:rsid w:val="0054387F"/>
    <w:rsid w:val="00543A75"/>
    <w:rsid w:val="00544A89"/>
    <w:rsid w:val="00545C98"/>
    <w:rsid w:val="00545E4A"/>
    <w:rsid w:val="00545F10"/>
    <w:rsid w:val="005466AE"/>
    <w:rsid w:val="005469EB"/>
    <w:rsid w:val="00546B5C"/>
    <w:rsid w:val="00546BED"/>
    <w:rsid w:val="00546D50"/>
    <w:rsid w:val="00547108"/>
    <w:rsid w:val="005471E4"/>
    <w:rsid w:val="00547874"/>
    <w:rsid w:val="00547976"/>
    <w:rsid w:val="00550316"/>
    <w:rsid w:val="00550AE4"/>
    <w:rsid w:val="00550BB4"/>
    <w:rsid w:val="00550FEE"/>
    <w:rsid w:val="00551297"/>
    <w:rsid w:val="005514A8"/>
    <w:rsid w:val="005516D3"/>
    <w:rsid w:val="00551F9E"/>
    <w:rsid w:val="005527C0"/>
    <w:rsid w:val="0055297B"/>
    <w:rsid w:val="00552BB3"/>
    <w:rsid w:val="00552F3B"/>
    <w:rsid w:val="005533A1"/>
    <w:rsid w:val="005539BC"/>
    <w:rsid w:val="00553BDD"/>
    <w:rsid w:val="00553CCE"/>
    <w:rsid w:val="005540A8"/>
    <w:rsid w:val="00554DB2"/>
    <w:rsid w:val="005552CA"/>
    <w:rsid w:val="00555508"/>
    <w:rsid w:val="00555B30"/>
    <w:rsid w:val="00555C5A"/>
    <w:rsid w:val="00555F14"/>
    <w:rsid w:val="00555FC1"/>
    <w:rsid w:val="00556B10"/>
    <w:rsid w:val="00556D35"/>
    <w:rsid w:val="0055776B"/>
    <w:rsid w:val="00557921"/>
    <w:rsid w:val="005606B4"/>
    <w:rsid w:val="00560829"/>
    <w:rsid w:val="00560D07"/>
    <w:rsid w:val="0056196B"/>
    <w:rsid w:val="00561A3E"/>
    <w:rsid w:val="00562E58"/>
    <w:rsid w:val="00564B6C"/>
    <w:rsid w:val="00564B7D"/>
    <w:rsid w:val="00564E62"/>
    <w:rsid w:val="00564FFD"/>
    <w:rsid w:val="00566040"/>
    <w:rsid w:val="00566C0A"/>
    <w:rsid w:val="00566DE4"/>
    <w:rsid w:val="005673DC"/>
    <w:rsid w:val="005675BD"/>
    <w:rsid w:val="00567E77"/>
    <w:rsid w:val="00567FD8"/>
    <w:rsid w:val="00570748"/>
    <w:rsid w:val="0057075C"/>
    <w:rsid w:val="00570F1D"/>
    <w:rsid w:val="00571126"/>
    <w:rsid w:val="00571625"/>
    <w:rsid w:val="005717D5"/>
    <w:rsid w:val="00572590"/>
    <w:rsid w:val="005725B3"/>
    <w:rsid w:val="00572CB8"/>
    <w:rsid w:val="00572DB1"/>
    <w:rsid w:val="005730DF"/>
    <w:rsid w:val="00573CC5"/>
    <w:rsid w:val="00574B0A"/>
    <w:rsid w:val="005752EA"/>
    <w:rsid w:val="00576035"/>
    <w:rsid w:val="00577612"/>
    <w:rsid w:val="005779DC"/>
    <w:rsid w:val="00580A07"/>
    <w:rsid w:val="005824CA"/>
    <w:rsid w:val="00582CB2"/>
    <w:rsid w:val="00582DBE"/>
    <w:rsid w:val="0058336D"/>
    <w:rsid w:val="00583516"/>
    <w:rsid w:val="00583C86"/>
    <w:rsid w:val="00584165"/>
    <w:rsid w:val="0058441D"/>
    <w:rsid w:val="00584A9D"/>
    <w:rsid w:val="005863E5"/>
    <w:rsid w:val="00586478"/>
    <w:rsid w:val="0058665A"/>
    <w:rsid w:val="005866AD"/>
    <w:rsid w:val="00586A12"/>
    <w:rsid w:val="00586D0A"/>
    <w:rsid w:val="0058701B"/>
    <w:rsid w:val="00587479"/>
    <w:rsid w:val="00587F02"/>
    <w:rsid w:val="00590742"/>
    <w:rsid w:val="00590BFF"/>
    <w:rsid w:val="00590D2D"/>
    <w:rsid w:val="0059203A"/>
    <w:rsid w:val="0059235D"/>
    <w:rsid w:val="005927D4"/>
    <w:rsid w:val="00592A98"/>
    <w:rsid w:val="0059301D"/>
    <w:rsid w:val="00593205"/>
    <w:rsid w:val="0059390F"/>
    <w:rsid w:val="00593D1C"/>
    <w:rsid w:val="0059430D"/>
    <w:rsid w:val="00594810"/>
    <w:rsid w:val="00594A7E"/>
    <w:rsid w:val="00594BFE"/>
    <w:rsid w:val="0059540F"/>
    <w:rsid w:val="00595B89"/>
    <w:rsid w:val="00595D2C"/>
    <w:rsid w:val="00595F37"/>
    <w:rsid w:val="00596279"/>
    <w:rsid w:val="0059655A"/>
    <w:rsid w:val="0059667F"/>
    <w:rsid w:val="00596710"/>
    <w:rsid w:val="005969CF"/>
    <w:rsid w:val="00596A17"/>
    <w:rsid w:val="00596AB9"/>
    <w:rsid w:val="005970CF"/>
    <w:rsid w:val="005979B5"/>
    <w:rsid w:val="00597BD5"/>
    <w:rsid w:val="00597C87"/>
    <w:rsid w:val="00597E35"/>
    <w:rsid w:val="005A0660"/>
    <w:rsid w:val="005A0888"/>
    <w:rsid w:val="005A0933"/>
    <w:rsid w:val="005A0B6D"/>
    <w:rsid w:val="005A0BEF"/>
    <w:rsid w:val="005A16FB"/>
    <w:rsid w:val="005A2F41"/>
    <w:rsid w:val="005A3172"/>
    <w:rsid w:val="005A36B1"/>
    <w:rsid w:val="005A3779"/>
    <w:rsid w:val="005A4435"/>
    <w:rsid w:val="005A5174"/>
    <w:rsid w:val="005A5408"/>
    <w:rsid w:val="005A55D7"/>
    <w:rsid w:val="005A55E0"/>
    <w:rsid w:val="005A58F4"/>
    <w:rsid w:val="005A5FC5"/>
    <w:rsid w:val="005A62E0"/>
    <w:rsid w:val="005A65CA"/>
    <w:rsid w:val="005A7298"/>
    <w:rsid w:val="005A74C9"/>
    <w:rsid w:val="005A7912"/>
    <w:rsid w:val="005B105A"/>
    <w:rsid w:val="005B107E"/>
    <w:rsid w:val="005B1933"/>
    <w:rsid w:val="005B1C96"/>
    <w:rsid w:val="005B2248"/>
    <w:rsid w:val="005B24D5"/>
    <w:rsid w:val="005B2C70"/>
    <w:rsid w:val="005B35CA"/>
    <w:rsid w:val="005B369F"/>
    <w:rsid w:val="005B3BCD"/>
    <w:rsid w:val="005B5A6A"/>
    <w:rsid w:val="005B6CA6"/>
    <w:rsid w:val="005B7CE1"/>
    <w:rsid w:val="005C0F72"/>
    <w:rsid w:val="005C132E"/>
    <w:rsid w:val="005C1B3B"/>
    <w:rsid w:val="005C23C2"/>
    <w:rsid w:val="005C23DB"/>
    <w:rsid w:val="005C2906"/>
    <w:rsid w:val="005C4029"/>
    <w:rsid w:val="005C437B"/>
    <w:rsid w:val="005C4C7F"/>
    <w:rsid w:val="005C51DA"/>
    <w:rsid w:val="005C54E6"/>
    <w:rsid w:val="005C5D8F"/>
    <w:rsid w:val="005C5F1C"/>
    <w:rsid w:val="005C62F2"/>
    <w:rsid w:val="005C6A78"/>
    <w:rsid w:val="005C6CA7"/>
    <w:rsid w:val="005C7A3C"/>
    <w:rsid w:val="005D0327"/>
    <w:rsid w:val="005D0844"/>
    <w:rsid w:val="005D148F"/>
    <w:rsid w:val="005D1544"/>
    <w:rsid w:val="005D1990"/>
    <w:rsid w:val="005D1B31"/>
    <w:rsid w:val="005D25B2"/>
    <w:rsid w:val="005D2809"/>
    <w:rsid w:val="005D3294"/>
    <w:rsid w:val="005D34DE"/>
    <w:rsid w:val="005D3F02"/>
    <w:rsid w:val="005D5795"/>
    <w:rsid w:val="005D5BFB"/>
    <w:rsid w:val="005D6189"/>
    <w:rsid w:val="005D63A3"/>
    <w:rsid w:val="005D70D6"/>
    <w:rsid w:val="005D76CE"/>
    <w:rsid w:val="005D7AA1"/>
    <w:rsid w:val="005D7E19"/>
    <w:rsid w:val="005D7EA8"/>
    <w:rsid w:val="005D7EF7"/>
    <w:rsid w:val="005E0944"/>
    <w:rsid w:val="005E1318"/>
    <w:rsid w:val="005E22B8"/>
    <w:rsid w:val="005E243A"/>
    <w:rsid w:val="005E2981"/>
    <w:rsid w:val="005E2B35"/>
    <w:rsid w:val="005E3DAF"/>
    <w:rsid w:val="005E4357"/>
    <w:rsid w:val="005E4A8D"/>
    <w:rsid w:val="005E6734"/>
    <w:rsid w:val="005E711B"/>
    <w:rsid w:val="005E748D"/>
    <w:rsid w:val="005F0A45"/>
    <w:rsid w:val="005F0E38"/>
    <w:rsid w:val="005F14C7"/>
    <w:rsid w:val="005F1A54"/>
    <w:rsid w:val="005F2125"/>
    <w:rsid w:val="005F2306"/>
    <w:rsid w:val="005F2799"/>
    <w:rsid w:val="005F3657"/>
    <w:rsid w:val="005F3BD0"/>
    <w:rsid w:val="005F3E33"/>
    <w:rsid w:val="005F3FA8"/>
    <w:rsid w:val="005F4917"/>
    <w:rsid w:val="005F5097"/>
    <w:rsid w:val="005F5A1C"/>
    <w:rsid w:val="005F5C9D"/>
    <w:rsid w:val="005F6591"/>
    <w:rsid w:val="005F6D00"/>
    <w:rsid w:val="005F70BA"/>
    <w:rsid w:val="005F7DFE"/>
    <w:rsid w:val="0060245F"/>
    <w:rsid w:val="006029DF"/>
    <w:rsid w:val="00602F5E"/>
    <w:rsid w:val="0060321C"/>
    <w:rsid w:val="0060386B"/>
    <w:rsid w:val="00603B6C"/>
    <w:rsid w:val="00603D27"/>
    <w:rsid w:val="00603DBC"/>
    <w:rsid w:val="006043DB"/>
    <w:rsid w:val="0060560F"/>
    <w:rsid w:val="0060592F"/>
    <w:rsid w:val="006059C6"/>
    <w:rsid w:val="00605E0D"/>
    <w:rsid w:val="00605EC5"/>
    <w:rsid w:val="00607ACD"/>
    <w:rsid w:val="00607C41"/>
    <w:rsid w:val="00607FE0"/>
    <w:rsid w:val="00610591"/>
    <w:rsid w:val="00610958"/>
    <w:rsid w:val="00610A0E"/>
    <w:rsid w:val="00610EFB"/>
    <w:rsid w:val="006112A1"/>
    <w:rsid w:val="00612E6F"/>
    <w:rsid w:val="0061359D"/>
    <w:rsid w:val="006136E5"/>
    <w:rsid w:val="006137E8"/>
    <w:rsid w:val="00613FD8"/>
    <w:rsid w:val="00614236"/>
    <w:rsid w:val="00614398"/>
    <w:rsid w:val="00614883"/>
    <w:rsid w:val="0061534A"/>
    <w:rsid w:val="00615929"/>
    <w:rsid w:val="00615B4E"/>
    <w:rsid w:val="00615D34"/>
    <w:rsid w:val="00615FA3"/>
    <w:rsid w:val="00616781"/>
    <w:rsid w:val="00616C2E"/>
    <w:rsid w:val="00616C93"/>
    <w:rsid w:val="006171FB"/>
    <w:rsid w:val="00620BFF"/>
    <w:rsid w:val="00620C7C"/>
    <w:rsid w:val="00620D3A"/>
    <w:rsid w:val="00621697"/>
    <w:rsid w:val="00622AA2"/>
    <w:rsid w:val="00622D7C"/>
    <w:rsid w:val="00623624"/>
    <w:rsid w:val="00623E43"/>
    <w:rsid w:val="00625B45"/>
    <w:rsid w:val="006266BF"/>
    <w:rsid w:val="00626E84"/>
    <w:rsid w:val="0062787E"/>
    <w:rsid w:val="00627DDD"/>
    <w:rsid w:val="0063077A"/>
    <w:rsid w:val="00631D4D"/>
    <w:rsid w:val="00631E0A"/>
    <w:rsid w:val="00632058"/>
    <w:rsid w:val="0063206F"/>
    <w:rsid w:val="00632493"/>
    <w:rsid w:val="00632A50"/>
    <w:rsid w:val="00633A20"/>
    <w:rsid w:val="006343D2"/>
    <w:rsid w:val="00635115"/>
    <w:rsid w:val="0063584D"/>
    <w:rsid w:val="00635CA8"/>
    <w:rsid w:val="00637A2F"/>
    <w:rsid w:val="00637C9F"/>
    <w:rsid w:val="00637E6E"/>
    <w:rsid w:val="0064049D"/>
    <w:rsid w:val="0064069F"/>
    <w:rsid w:val="00640BEF"/>
    <w:rsid w:val="006418FD"/>
    <w:rsid w:val="00641A02"/>
    <w:rsid w:val="00642CAE"/>
    <w:rsid w:val="00643625"/>
    <w:rsid w:val="0064455F"/>
    <w:rsid w:val="006448EB"/>
    <w:rsid w:val="006452CC"/>
    <w:rsid w:val="006454A0"/>
    <w:rsid w:val="006457D2"/>
    <w:rsid w:val="00645B42"/>
    <w:rsid w:val="006462DD"/>
    <w:rsid w:val="00646510"/>
    <w:rsid w:val="00647A4D"/>
    <w:rsid w:val="00650279"/>
    <w:rsid w:val="00650EE5"/>
    <w:rsid w:val="0065193B"/>
    <w:rsid w:val="00651E79"/>
    <w:rsid w:val="006529A9"/>
    <w:rsid w:val="00652B85"/>
    <w:rsid w:val="00653E69"/>
    <w:rsid w:val="006546BC"/>
    <w:rsid w:val="006553DA"/>
    <w:rsid w:val="006566D4"/>
    <w:rsid w:val="00656935"/>
    <w:rsid w:val="006569DB"/>
    <w:rsid w:val="00656D5E"/>
    <w:rsid w:val="00656F85"/>
    <w:rsid w:val="006574A7"/>
    <w:rsid w:val="0065778B"/>
    <w:rsid w:val="006578A1"/>
    <w:rsid w:val="00660DCA"/>
    <w:rsid w:val="00661A3D"/>
    <w:rsid w:val="00662069"/>
    <w:rsid w:val="00662450"/>
    <w:rsid w:val="00662669"/>
    <w:rsid w:val="00662B6F"/>
    <w:rsid w:val="00663423"/>
    <w:rsid w:val="0066344A"/>
    <w:rsid w:val="006635A9"/>
    <w:rsid w:val="006637E2"/>
    <w:rsid w:val="00663DC5"/>
    <w:rsid w:val="00664DBB"/>
    <w:rsid w:val="00664EC4"/>
    <w:rsid w:val="0066549F"/>
    <w:rsid w:val="0066678D"/>
    <w:rsid w:val="0066696A"/>
    <w:rsid w:val="00667135"/>
    <w:rsid w:val="00667764"/>
    <w:rsid w:val="00667B6F"/>
    <w:rsid w:val="00667ED2"/>
    <w:rsid w:val="00670663"/>
    <w:rsid w:val="00670853"/>
    <w:rsid w:val="00670D4F"/>
    <w:rsid w:val="0067112F"/>
    <w:rsid w:val="006717EE"/>
    <w:rsid w:val="006721A3"/>
    <w:rsid w:val="00672E17"/>
    <w:rsid w:val="00673F41"/>
    <w:rsid w:val="00673FDE"/>
    <w:rsid w:val="006745A9"/>
    <w:rsid w:val="00674A77"/>
    <w:rsid w:val="00674CDE"/>
    <w:rsid w:val="0067549A"/>
    <w:rsid w:val="0067589C"/>
    <w:rsid w:val="006758F0"/>
    <w:rsid w:val="00675A4F"/>
    <w:rsid w:val="00677573"/>
    <w:rsid w:val="00677578"/>
    <w:rsid w:val="00677AF3"/>
    <w:rsid w:val="00677D85"/>
    <w:rsid w:val="00680C65"/>
    <w:rsid w:val="00680CA2"/>
    <w:rsid w:val="00680EEC"/>
    <w:rsid w:val="00681486"/>
    <w:rsid w:val="0068268B"/>
    <w:rsid w:val="00682B53"/>
    <w:rsid w:val="0068349D"/>
    <w:rsid w:val="006849ED"/>
    <w:rsid w:val="0068599C"/>
    <w:rsid w:val="006861CA"/>
    <w:rsid w:val="006863EB"/>
    <w:rsid w:val="0068653B"/>
    <w:rsid w:val="00687C6E"/>
    <w:rsid w:val="006911AC"/>
    <w:rsid w:val="0069177E"/>
    <w:rsid w:val="006917D7"/>
    <w:rsid w:val="00691BE9"/>
    <w:rsid w:val="00691DED"/>
    <w:rsid w:val="00692E88"/>
    <w:rsid w:val="006930CE"/>
    <w:rsid w:val="00693EC1"/>
    <w:rsid w:val="006940F8"/>
    <w:rsid w:val="0069415B"/>
    <w:rsid w:val="00695607"/>
    <w:rsid w:val="006958AE"/>
    <w:rsid w:val="00696538"/>
    <w:rsid w:val="006A016E"/>
    <w:rsid w:val="006A0573"/>
    <w:rsid w:val="006A09EC"/>
    <w:rsid w:val="006A0ADC"/>
    <w:rsid w:val="006A0C81"/>
    <w:rsid w:val="006A153F"/>
    <w:rsid w:val="006A1F26"/>
    <w:rsid w:val="006A3DF0"/>
    <w:rsid w:val="006A3EF6"/>
    <w:rsid w:val="006A50CE"/>
    <w:rsid w:val="006A5848"/>
    <w:rsid w:val="006A5E21"/>
    <w:rsid w:val="006A62CC"/>
    <w:rsid w:val="006A6AC3"/>
    <w:rsid w:val="006A6FF0"/>
    <w:rsid w:val="006A74F6"/>
    <w:rsid w:val="006A7B47"/>
    <w:rsid w:val="006A7D72"/>
    <w:rsid w:val="006A7ECE"/>
    <w:rsid w:val="006B0436"/>
    <w:rsid w:val="006B0717"/>
    <w:rsid w:val="006B09D6"/>
    <w:rsid w:val="006B0DAB"/>
    <w:rsid w:val="006B0E36"/>
    <w:rsid w:val="006B1074"/>
    <w:rsid w:val="006B2497"/>
    <w:rsid w:val="006B2D7F"/>
    <w:rsid w:val="006B4113"/>
    <w:rsid w:val="006B418D"/>
    <w:rsid w:val="006B44DC"/>
    <w:rsid w:val="006B4D2A"/>
    <w:rsid w:val="006B4F03"/>
    <w:rsid w:val="006B5721"/>
    <w:rsid w:val="006B578E"/>
    <w:rsid w:val="006B6015"/>
    <w:rsid w:val="006B655B"/>
    <w:rsid w:val="006B6A46"/>
    <w:rsid w:val="006B6AE1"/>
    <w:rsid w:val="006B789E"/>
    <w:rsid w:val="006B799D"/>
    <w:rsid w:val="006C0865"/>
    <w:rsid w:val="006C0DA0"/>
    <w:rsid w:val="006C13F6"/>
    <w:rsid w:val="006C1564"/>
    <w:rsid w:val="006C169E"/>
    <w:rsid w:val="006C1704"/>
    <w:rsid w:val="006C23FD"/>
    <w:rsid w:val="006C2681"/>
    <w:rsid w:val="006C2E89"/>
    <w:rsid w:val="006C3ADD"/>
    <w:rsid w:val="006C3D94"/>
    <w:rsid w:val="006C3F3A"/>
    <w:rsid w:val="006C43FE"/>
    <w:rsid w:val="006C4E16"/>
    <w:rsid w:val="006C5203"/>
    <w:rsid w:val="006C553B"/>
    <w:rsid w:val="006C5B84"/>
    <w:rsid w:val="006C60FE"/>
    <w:rsid w:val="006C64F4"/>
    <w:rsid w:val="006C6A45"/>
    <w:rsid w:val="006C6B60"/>
    <w:rsid w:val="006C6FB2"/>
    <w:rsid w:val="006C71BD"/>
    <w:rsid w:val="006C7A30"/>
    <w:rsid w:val="006C7C9D"/>
    <w:rsid w:val="006D03A2"/>
    <w:rsid w:val="006D050C"/>
    <w:rsid w:val="006D07F0"/>
    <w:rsid w:val="006D0848"/>
    <w:rsid w:val="006D08D5"/>
    <w:rsid w:val="006D0B47"/>
    <w:rsid w:val="006D1125"/>
    <w:rsid w:val="006D1423"/>
    <w:rsid w:val="006D2255"/>
    <w:rsid w:val="006D4C50"/>
    <w:rsid w:val="006D4C7C"/>
    <w:rsid w:val="006D55C1"/>
    <w:rsid w:val="006D5C05"/>
    <w:rsid w:val="006D5E3B"/>
    <w:rsid w:val="006D613C"/>
    <w:rsid w:val="006D67E9"/>
    <w:rsid w:val="006D68E6"/>
    <w:rsid w:val="006D6D2B"/>
    <w:rsid w:val="006D7A58"/>
    <w:rsid w:val="006D7B01"/>
    <w:rsid w:val="006E0029"/>
    <w:rsid w:val="006E0387"/>
    <w:rsid w:val="006E0BB8"/>
    <w:rsid w:val="006E167E"/>
    <w:rsid w:val="006E1CB0"/>
    <w:rsid w:val="006E1E6D"/>
    <w:rsid w:val="006E20B0"/>
    <w:rsid w:val="006E39AC"/>
    <w:rsid w:val="006E444D"/>
    <w:rsid w:val="006E529C"/>
    <w:rsid w:val="006E531C"/>
    <w:rsid w:val="006E58B4"/>
    <w:rsid w:val="006E5979"/>
    <w:rsid w:val="006E5B36"/>
    <w:rsid w:val="006E655A"/>
    <w:rsid w:val="006E7A65"/>
    <w:rsid w:val="006F03F5"/>
    <w:rsid w:val="006F0787"/>
    <w:rsid w:val="006F0CE3"/>
    <w:rsid w:val="006F14B8"/>
    <w:rsid w:val="006F1679"/>
    <w:rsid w:val="006F1798"/>
    <w:rsid w:val="006F2FFE"/>
    <w:rsid w:val="006F30FB"/>
    <w:rsid w:val="006F30FC"/>
    <w:rsid w:val="006F361E"/>
    <w:rsid w:val="006F418A"/>
    <w:rsid w:val="006F4D2E"/>
    <w:rsid w:val="006F50EA"/>
    <w:rsid w:val="006F5802"/>
    <w:rsid w:val="006F5BA7"/>
    <w:rsid w:val="006F5CCE"/>
    <w:rsid w:val="006F61AA"/>
    <w:rsid w:val="006F6D18"/>
    <w:rsid w:val="006F6F46"/>
    <w:rsid w:val="00700030"/>
    <w:rsid w:val="007008AD"/>
    <w:rsid w:val="007008CA"/>
    <w:rsid w:val="00701215"/>
    <w:rsid w:val="00701450"/>
    <w:rsid w:val="007017E4"/>
    <w:rsid w:val="00701B60"/>
    <w:rsid w:val="007022F6"/>
    <w:rsid w:val="00702510"/>
    <w:rsid w:val="007028B8"/>
    <w:rsid w:val="00702F2A"/>
    <w:rsid w:val="00703130"/>
    <w:rsid w:val="007037F7"/>
    <w:rsid w:val="00704217"/>
    <w:rsid w:val="007049FC"/>
    <w:rsid w:val="00704DB0"/>
    <w:rsid w:val="00704F5E"/>
    <w:rsid w:val="00704FA5"/>
    <w:rsid w:val="00704FA9"/>
    <w:rsid w:val="00705417"/>
    <w:rsid w:val="00706535"/>
    <w:rsid w:val="007076DD"/>
    <w:rsid w:val="00707F3D"/>
    <w:rsid w:val="00711088"/>
    <w:rsid w:val="00711863"/>
    <w:rsid w:val="007120D3"/>
    <w:rsid w:val="0071240E"/>
    <w:rsid w:val="00712B9B"/>
    <w:rsid w:val="007135AA"/>
    <w:rsid w:val="00713CA2"/>
    <w:rsid w:val="007145A6"/>
    <w:rsid w:val="00714ACA"/>
    <w:rsid w:val="00715041"/>
    <w:rsid w:val="00715262"/>
    <w:rsid w:val="0071597B"/>
    <w:rsid w:val="00715CEF"/>
    <w:rsid w:val="00715F02"/>
    <w:rsid w:val="007163ED"/>
    <w:rsid w:val="00717548"/>
    <w:rsid w:val="007176E4"/>
    <w:rsid w:val="007177D5"/>
    <w:rsid w:val="00717CB8"/>
    <w:rsid w:val="00717D13"/>
    <w:rsid w:val="0072214A"/>
    <w:rsid w:val="007221F5"/>
    <w:rsid w:val="0072246C"/>
    <w:rsid w:val="00722B54"/>
    <w:rsid w:val="00722B73"/>
    <w:rsid w:val="00722D12"/>
    <w:rsid w:val="0072369F"/>
    <w:rsid w:val="00724032"/>
    <w:rsid w:val="0072412B"/>
    <w:rsid w:val="00724ACE"/>
    <w:rsid w:val="00724F8A"/>
    <w:rsid w:val="00724FA9"/>
    <w:rsid w:val="00725B73"/>
    <w:rsid w:val="00725EF7"/>
    <w:rsid w:val="00726531"/>
    <w:rsid w:val="00726813"/>
    <w:rsid w:val="00726827"/>
    <w:rsid w:val="00726FC6"/>
    <w:rsid w:val="007275C2"/>
    <w:rsid w:val="0073085C"/>
    <w:rsid w:val="0073144B"/>
    <w:rsid w:val="007315E7"/>
    <w:rsid w:val="00731888"/>
    <w:rsid w:val="00731CCF"/>
    <w:rsid w:val="00732150"/>
    <w:rsid w:val="007327E6"/>
    <w:rsid w:val="00732951"/>
    <w:rsid w:val="00732984"/>
    <w:rsid w:val="00732B87"/>
    <w:rsid w:val="00732BA8"/>
    <w:rsid w:val="007330C4"/>
    <w:rsid w:val="00733393"/>
    <w:rsid w:val="0073341C"/>
    <w:rsid w:val="00733E1E"/>
    <w:rsid w:val="00734594"/>
    <w:rsid w:val="007346DC"/>
    <w:rsid w:val="0073520F"/>
    <w:rsid w:val="00737AE0"/>
    <w:rsid w:val="007409D1"/>
    <w:rsid w:val="00740C80"/>
    <w:rsid w:val="0074162D"/>
    <w:rsid w:val="00741D42"/>
    <w:rsid w:val="00742A1B"/>
    <w:rsid w:val="007431DD"/>
    <w:rsid w:val="00743656"/>
    <w:rsid w:val="0074389D"/>
    <w:rsid w:val="00743B4F"/>
    <w:rsid w:val="007440D4"/>
    <w:rsid w:val="007446AE"/>
    <w:rsid w:val="007448D8"/>
    <w:rsid w:val="00744FAD"/>
    <w:rsid w:val="007459BF"/>
    <w:rsid w:val="00745A27"/>
    <w:rsid w:val="00745C66"/>
    <w:rsid w:val="007461A0"/>
    <w:rsid w:val="007461FD"/>
    <w:rsid w:val="007465E7"/>
    <w:rsid w:val="00746F45"/>
    <w:rsid w:val="00750617"/>
    <w:rsid w:val="007511F7"/>
    <w:rsid w:val="007512D1"/>
    <w:rsid w:val="00752C56"/>
    <w:rsid w:val="00753105"/>
    <w:rsid w:val="007533BC"/>
    <w:rsid w:val="00753B8C"/>
    <w:rsid w:val="00754324"/>
    <w:rsid w:val="007548DD"/>
    <w:rsid w:val="0075550E"/>
    <w:rsid w:val="00755A58"/>
    <w:rsid w:val="00755DBC"/>
    <w:rsid w:val="00755DF9"/>
    <w:rsid w:val="00756275"/>
    <w:rsid w:val="00756C76"/>
    <w:rsid w:val="00756E17"/>
    <w:rsid w:val="00757C38"/>
    <w:rsid w:val="0076000E"/>
    <w:rsid w:val="007615EE"/>
    <w:rsid w:val="00761FB0"/>
    <w:rsid w:val="00762255"/>
    <w:rsid w:val="007625D8"/>
    <w:rsid w:val="00762B6F"/>
    <w:rsid w:val="0076310C"/>
    <w:rsid w:val="0076363D"/>
    <w:rsid w:val="007636D1"/>
    <w:rsid w:val="0076392C"/>
    <w:rsid w:val="00763B74"/>
    <w:rsid w:val="00763E9B"/>
    <w:rsid w:val="0076410A"/>
    <w:rsid w:val="007641C2"/>
    <w:rsid w:val="007644D3"/>
    <w:rsid w:val="00764FD4"/>
    <w:rsid w:val="00765166"/>
    <w:rsid w:val="00765F31"/>
    <w:rsid w:val="007660D8"/>
    <w:rsid w:val="00766280"/>
    <w:rsid w:val="007662A8"/>
    <w:rsid w:val="00766446"/>
    <w:rsid w:val="0076644E"/>
    <w:rsid w:val="00766A4A"/>
    <w:rsid w:val="0076789F"/>
    <w:rsid w:val="00770D2D"/>
    <w:rsid w:val="00770F75"/>
    <w:rsid w:val="007710F1"/>
    <w:rsid w:val="00771654"/>
    <w:rsid w:val="00771B8D"/>
    <w:rsid w:val="007725BF"/>
    <w:rsid w:val="007729CD"/>
    <w:rsid w:val="007730EE"/>
    <w:rsid w:val="00773411"/>
    <w:rsid w:val="007738B2"/>
    <w:rsid w:val="00774285"/>
    <w:rsid w:val="007742D5"/>
    <w:rsid w:val="00774DB3"/>
    <w:rsid w:val="00775283"/>
    <w:rsid w:val="00775391"/>
    <w:rsid w:val="00775CD6"/>
    <w:rsid w:val="00775F3B"/>
    <w:rsid w:val="00776A30"/>
    <w:rsid w:val="0077761E"/>
    <w:rsid w:val="00777649"/>
    <w:rsid w:val="00777AE3"/>
    <w:rsid w:val="00777CD1"/>
    <w:rsid w:val="007804C1"/>
    <w:rsid w:val="00780A66"/>
    <w:rsid w:val="007817E0"/>
    <w:rsid w:val="007818D3"/>
    <w:rsid w:val="00781BF1"/>
    <w:rsid w:val="00781D9A"/>
    <w:rsid w:val="0078224D"/>
    <w:rsid w:val="00783474"/>
    <w:rsid w:val="007842F0"/>
    <w:rsid w:val="0078480A"/>
    <w:rsid w:val="00785852"/>
    <w:rsid w:val="00785DD7"/>
    <w:rsid w:val="00785F2B"/>
    <w:rsid w:val="00786A8D"/>
    <w:rsid w:val="00786CF8"/>
    <w:rsid w:val="00787523"/>
    <w:rsid w:val="00790E0A"/>
    <w:rsid w:val="00790E1B"/>
    <w:rsid w:val="0079121E"/>
    <w:rsid w:val="00791848"/>
    <w:rsid w:val="00791FBC"/>
    <w:rsid w:val="00792B7A"/>
    <w:rsid w:val="00793636"/>
    <w:rsid w:val="00794531"/>
    <w:rsid w:val="00794904"/>
    <w:rsid w:val="00794911"/>
    <w:rsid w:val="007951D0"/>
    <w:rsid w:val="00795E7E"/>
    <w:rsid w:val="007A0998"/>
    <w:rsid w:val="007A0BA5"/>
    <w:rsid w:val="007A132F"/>
    <w:rsid w:val="007A154A"/>
    <w:rsid w:val="007A1AB3"/>
    <w:rsid w:val="007A28E0"/>
    <w:rsid w:val="007A3392"/>
    <w:rsid w:val="007A3963"/>
    <w:rsid w:val="007A3CC3"/>
    <w:rsid w:val="007A4365"/>
    <w:rsid w:val="007A4393"/>
    <w:rsid w:val="007A4425"/>
    <w:rsid w:val="007A499F"/>
    <w:rsid w:val="007A510B"/>
    <w:rsid w:val="007A6101"/>
    <w:rsid w:val="007A6CE6"/>
    <w:rsid w:val="007A7BFB"/>
    <w:rsid w:val="007A7D38"/>
    <w:rsid w:val="007B03BA"/>
    <w:rsid w:val="007B04BA"/>
    <w:rsid w:val="007B09C5"/>
    <w:rsid w:val="007B0C42"/>
    <w:rsid w:val="007B0FAE"/>
    <w:rsid w:val="007B225A"/>
    <w:rsid w:val="007B3EF6"/>
    <w:rsid w:val="007B402F"/>
    <w:rsid w:val="007B517D"/>
    <w:rsid w:val="007B5BDF"/>
    <w:rsid w:val="007B5E94"/>
    <w:rsid w:val="007B60A4"/>
    <w:rsid w:val="007B6471"/>
    <w:rsid w:val="007B6B8A"/>
    <w:rsid w:val="007B6F1A"/>
    <w:rsid w:val="007B76C8"/>
    <w:rsid w:val="007B7BAE"/>
    <w:rsid w:val="007C0C92"/>
    <w:rsid w:val="007C1166"/>
    <w:rsid w:val="007C153A"/>
    <w:rsid w:val="007C2343"/>
    <w:rsid w:val="007C2E78"/>
    <w:rsid w:val="007C3158"/>
    <w:rsid w:val="007C33EC"/>
    <w:rsid w:val="007C3740"/>
    <w:rsid w:val="007C3812"/>
    <w:rsid w:val="007C3854"/>
    <w:rsid w:val="007C4339"/>
    <w:rsid w:val="007C4F14"/>
    <w:rsid w:val="007C6EA7"/>
    <w:rsid w:val="007C701B"/>
    <w:rsid w:val="007C77E1"/>
    <w:rsid w:val="007D0350"/>
    <w:rsid w:val="007D0BA0"/>
    <w:rsid w:val="007D1482"/>
    <w:rsid w:val="007D1EB6"/>
    <w:rsid w:val="007D2686"/>
    <w:rsid w:val="007D279F"/>
    <w:rsid w:val="007D315D"/>
    <w:rsid w:val="007D350C"/>
    <w:rsid w:val="007D3801"/>
    <w:rsid w:val="007D3F66"/>
    <w:rsid w:val="007D4264"/>
    <w:rsid w:val="007D4435"/>
    <w:rsid w:val="007D47E2"/>
    <w:rsid w:val="007D4AE8"/>
    <w:rsid w:val="007D548E"/>
    <w:rsid w:val="007D5EEC"/>
    <w:rsid w:val="007D7768"/>
    <w:rsid w:val="007E1927"/>
    <w:rsid w:val="007E1CDD"/>
    <w:rsid w:val="007E1D0A"/>
    <w:rsid w:val="007E209D"/>
    <w:rsid w:val="007E2A9D"/>
    <w:rsid w:val="007E3A8C"/>
    <w:rsid w:val="007E3CFB"/>
    <w:rsid w:val="007E49F5"/>
    <w:rsid w:val="007E4D0D"/>
    <w:rsid w:val="007E5021"/>
    <w:rsid w:val="007E5660"/>
    <w:rsid w:val="007E595D"/>
    <w:rsid w:val="007E5C95"/>
    <w:rsid w:val="007E62FE"/>
    <w:rsid w:val="007E64D0"/>
    <w:rsid w:val="007E696F"/>
    <w:rsid w:val="007E768B"/>
    <w:rsid w:val="007E7967"/>
    <w:rsid w:val="007E7F0A"/>
    <w:rsid w:val="007F0463"/>
    <w:rsid w:val="007F0FEA"/>
    <w:rsid w:val="007F1496"/>
    <w:rsid w:val="007F22F4"/>
    <w:rsid w:val="007F2F5C"/>
    <w:rsid w:val="007F3740"/>
    <w:rsid w:val="007F3CD3"/>
    <w:rsid w:val="007F3D5B"/>
    <w:rsid w:val="007F3F94"/>
    <w:rsid w:val="007F4296"/>
    <w:rsid w:val="007F4997"/>
    <w:rsid w:val="007F4ED9"/>
    <w:rsid w:val="007F531B"/>
    <w:rsid w:val="007F56B8"/>
    <w:rsid w:val="007F6092"/>
    <w:rsid w:val="007F6243"/>
    <w:rsid w:val="007F69B5"/>
    <w:rsid w:val="007F6C23"/>
    <w:rsid w:val="007F6D7F"/>
    <w:rsid w:val="0080006E"/>
    <w:rsid w:val="008011B0"/>
    <w:rsid w:val="0080166C"/>
    <w:rsid w:val="00801771"/>
    <w:rsid w:val="00802C4E"/>
    <w:rsid w:val="00803277"/>
    <w:rsid w:val="0080333E"/>
    <w:rsid w:val="0080444C"/>
    <w:rsid w:val="008045B2"/>
    <w:rsid w:val="008046AF"/>
    <w:rsid w:val="00804807"/>
    <w:rsid w:val="00805926"/>
    <w:rsid w:val="0080656D"/>
    <w:rsid w:val="00807F3E"/>
    <w:rsid w:val="00810B88"/>
    <w:rsid w:val="00811038"/>
    <w:rsid w:val="00811438"/>
    <w:rsid w:val="008117D4"/>
    <w:rsid w:val="008118C4"/>
    <w:rsid w:val="00811E9A"/>
    <w:rsid w:val="00811F04"/>
    <w:rsid w:val="0081242F"/>
    <w:rsid w:val="00812593"/>
    <w:rsid w:val="00813BA5"/>
    <w:rsid w:val="00814356"/>
    <w:rsid w:val="00814B5E"/>
    <w:rsid w:val="00814EC9"/>
    <w:rsid w:val="00815597"/>
    <w:rsid w:val="0081730E"/>
    <w:rsid w:val="008173EE"/>
    <w:rsid w:val="00817EE5"/>
    <w:rsid w:val="008200A1"/>
    <w:rsid w:val="00820455"/>
    <w:rsid w:val="00820486"/>
    <w:rsid w:val="00820720"/>
    <w:rsid w:val="00820757"/>
    <w:rsid w:val="0082079F"/>
    <w:rsid w:val="0082109A"/>
    <w:rsid w:val="00821B90"/>
    <w:rsid w:val="00821D95"/>
    <w:rsid w:val="00822247"/>
    <w:rsid w:val="0082226F"/>
    <w:rsid w:val="00822378"/>
    <w:rsid w:val="0082249E"/>
    <w:rsid w:val="008228AF"/>
    <w:rsid w:val="008232DD"/>
    <w:rsid w:val="00823827"/>
    <w:rsid w:val="00823C70"/>
    <w:rsid w:val="00824045"/>
    <w:rsid w:val="00824670"/>
    <w:rsid w:val="00824B25"/>
    <w:rsid w:val="00824CA5"/>
    <w:rsid w:val="008252FD"/>
    <w:rsid w:val="00825674"/>
    <w:rsid w:val="0082570C"/>
    <w:rsid w:val="00825891"/>
    <w:rsid w:val="0082687D"/>
    <w:rsid w:val="00826FE1"/>
    <w:rsid w:val="0082787D"/>
    <w:rsid w:val="00830512"/>
    <w:rsid w:val="00832BEF"/>
    <w:rsid w:val="00832C9A"/>
    <w:rsid w:val="00833AE7"/>
    <w:rsid w:val="00833C87"/>
    <w:rsid w:val="00833F4E"/>
    <w:rsid w:val="008361DE"/>
    <w:rsid w:val="0083663B"/>
    <w:rsid w:val="00836B87"/>
    <w:rsid w:val="0083728F"/>
    <w:rsid w:val="0083730D"/>
    <w:rsid w:val="00837AA1"/>
    <w:rsid w:val="00837ADA"/>
    <w:rsid w:val="00837E1F"/>
    <w:rsid w:val="00837E5D"/>
    <w:rsid w:val="00837F70"/>
    <w:rsid w:val="008405F9"/>
    <w:rsid w:val="00840FCD"/>
    <w:rsid w:val="00841D94"/>
    <w:rsid w:val="0084282F"/>
    <w:rsid w:val="00842D87"/>
    <w:rsid w:val="00843972"/>
    <w:rsid w:val="00845299"/>
    <w:rsid w:val="008455A3"/>
    <w:rsid w:val="0084678D"/>
    <w:rsid w:val="00846F17"/>
    <w:rsid w:val="0084715B"/>
    <w:rsid w:val="00847243"/>
    <w:rsid w:val="00847B8F"/>
    <w:rsid w:val="008500DA"/>
    <w:rsid w:val="008506A6"/>
    <w:rsid w:val="00850832"/>
    <w:rsid w:val="00851477"/>
    <w:rsid w:val="00851CCE"/>
    <w:rsid w:val="008567F7"/>
    <w:rsid w:val="008571D6"/>
    <w:rsid w:val="00857916"/>
    <w:rsid w:val="00857ED6"/>
    <w:rsid w:val="00860DF8"/>
    <w:rsid w:val="00860FAF"/>
    <w:rsid w:val="008613E3"/>
    <w:rsid w:val="00861D46"/>
    <w:rsid w:val="00862337"/>
    <w:rsid w:val="00862371"/>
    <w:rsid w:val="008625F4"/>
    <w:rsid w:val="00862FA4"/>
    <w:rsid w:val="00863544"/>
    <w:rsid w:val="00863A2A"/>
    <w:rsid w:val="00863A48"/>
    <w:rsid w:val="00863E90"/>
    <w:rsid w:val="0086438C"/>
    <w:rsid w:val="00864631"/>
    <w:rsid w:val="00864817"/>
    <w:rsid w:val="00864C09"/>
    <w:rsid w:val="0086653E"/>
    <w:rsid w:val="008666B6"/>
    <w:rsid w:val="0086671A"/>
    <w:rsid w:val="00866B4C"/>
    <w:rsid w:val="00870BED"/>
    <w:rsid w:val="0087100E"/>
    <w:rsid w:val="008712EB"/>
    <w:rsid w:val="00871F89"/>
    <w:rsid w:val="008733E8"/>
    <w:rsid w:val="00873530"/>
    <w:rsid w:val="00873E00"/>
    <w:rsid w:val="008741BB"/>
    <w:rsid w:val="00874217"/>
    <w:rsid w:val="00875764"/>
    <w:rsid w:val="00875A41"/>
    <w:rsid w:val="00875C32"/>
    <w:rsid w:val="008767E5"/>
    <w:rsid w:val="00876BD6"/>
    <w:rsid w:val="00876F7F"/>
    <w:rsid w:val="008776D0"/>
    <w:rsid w:val="0088011A"/>
    <w:rsid w:val="00880474"/>
    <w:rsid w:val="0088072A"/>
    <w:rsid w:val="008813A9"/>
    <w:rsid w:val="0088152D"/>
    <w:rsid w:val="008818AF"/>
    <w:rsid w:val="00881BDC"/>
    <w:rsid w:val="00882834"/>
    <w:rsid w:val="0088364A"/>
    <w:rsid w:val="008836CB"/>
    <w:rsid w:val="00883A5D"/>
    <w:rsid w:val="00884428"/>
    <w:rsid w:val="008854CF"/>
    <w:rsid w:val="008855AE"/>
    <w:rsid w:val="008857B8"/>
    <w:rsid w:val="00885C9E"/>
    <w:rsid w:val="00885F99"/>
    <w:rsid w:val="00885FDD"/>
    <w:rsid w:val="0088636F"/>
    <w:rsid w:val="00887358"/>
    <w:rsid w:val="008877F9"/>
    <w:rsid w:val="008915CC"/>
    <w:rsid w:val="00891C82"/>
    <w:rsid w:val="00891E67"/>
    <w:rsid w:val="00892880"/>
    <w:rsid w:val="008931DB"/>
    <w:rsid w:val="00893750"/>
    <w:rsid w:val="0089401A"/>
    <w:rsid w:val="00894622"/>
    <w:rsid w:val="00894A64"/>
    <w:rsid w:val="008951D4"/>
    <w:rsid w:val="008955AB"/>
    <w:rsid w:val="008957A9"/>
    <w:rsid w:val="008972FB"/>
    <w:rsid w:val="008A0777"/>
    <w:rsid w:val="008A0E76"/>
    <w:rsid w:val="008A11B4"/>
    <w:rsid w:val="008A2226"/>
    <w:rsid w:val="008A239D"/>
    <w:rsid w:val="008A2A3F"/>
    <w:rsid w:val="008A356A"/>
    <w:rsid w:val="008A3BD1"/>
    <w:rsid w:val="008A421E"/>
    <w:rsid w:val="008A47C3"/>
    <w:rsid w:val="008A4D63"/>
    <w:rsid w:val="008A548C"/>
    <w:rsid w:val="008A5B38"/>
    <w:rsid w:val="008A6E41"/>
    <w:rsid w:val="008A793F"/>
    <w:rsid w:val="008B0935"/>
    <w:rsid w:val="008B124C"/>
    <w:rsid w:val="008B228B"/>
    <w:rsid w:val="008B22B6"/>
    <w:rsid w:val="008B3095"/>
    <w:rsid w:val="008B3DCC"/>
    <w:rsid w:val="008B4785"/>
    <w:rsid w:val="008B545B"/>
    <w:rsid w:val="008B562C"/>
    <w:rsid w:val="008B5775"/>
    <w:rsid w:val="008B58C0"/>
    <w:rsid w:val="008B5A1A"/>
    <w:rsid w:val="008B5F9E"/>
    <w:rsid w:val="008B6A4E"/>
    <w:rsid w:val="008B6F8A"/>
    <w:rsid w:val="008B73EE"/>
    <w:rsid w:val="008B7964"/>
    <w:rsid w:val="008B7C8D"/>
    <w:rsid w:val="008C00CA"/>
    <w:rsid w:val="008C0F2F"/>
    <w:rsid w:val="008C2A31"/>
    <w:rsid w:val="008C3132"/>
    <w:rsid w:val="008C3F00"/>
    <w:rsid w:val="008C3F8F"/>
    <w:rsid w:val="008C477A"/>
    <w:rsid w:val="008C586C"/>
    <w:rsid w:val="008C608F"/>
    <w:rsid w:val="008C6391"/>
    <w:rsid w:val="008C703E"/>
    <w:rsid w:val="008C7224"/>
    <w:rsid w:val="008C75EB"/>
    <w:rsid w:val="008D0A38"/>
    <w:rsid w:val="008D0CDB"/>
    <w:rsid w:val="008D11CD"/>
    <w:rsid w:val="008D1475"/>
    <w:rsid w:val="008D183B"/>
    <w:rsid w:val="008D1965"/>
    <w:rsid w:val="008D1C7F"/>
    <w:rsid w:val="008D25D4"/>
    <w:rsid w:val="008D30F6"/>
    <w:rsid w:val="008D3515"/>
    <w:rsid w:val="008D3BDC"/>
    <w:rsid w:val="008D46D6"/>
    <w:rsid w:val="008D511E"/>
    <w:rsid w:val="008D5703"/>
    <w:rsid w:val="008D597C"/>
    <w:rsid w:val="008D5C6B"/>
    <w:rsid w:val="008D5E47"/>
    <w:rsid w:val="008D6860"/>
    <w:rsid w:val="008D686C"/>
    <w:rsid w:val="008D73A7"/>
    <w:rsid w:val="008D7885"/>
    <w:rsid w:val="008D7EC2"/>
    <w:rsid w:val="008E03E6"/>
    <w:rsid w:val="008E09A1"/>
    <w:rsid w:val="008E0A68"/>
    <w:rsid w:val="008E0BD7"/>
    <w:rsid w:val="008E0C51"/>
    <w:rsid w:val="008E1BD5"/>
    <w:rsid w:val="008E1FDB"/>
    <w:rsid w:val="008E24D5"/>
    <w:rsid w:val="008E281F"/>
    <w:rsid w:val="008E31A0"/>
    <w:rsid w:val="008E3563"/>
    <w:rsid w:val="008E366C"/>
    <w:rsid w:val="008E3E67"/>
    <w:rsid w:val="008E45DB"/>
    <w:rsid w:val="008E54A2"/>
    <w:rsid w:val="008E5BE7"/>
    <w:rsid w:val="008E6756"/>
    <w:rsid w:val="008E695C"/>
    <w:rsid w:val="008E6A0E"/>
    <w:rsid w:val="008E768F"/>
    <w:rsid w:val="008F01EF"/>
    <w:rsid w:val="008F04DD"/>
    <w:rsid w:val="008F088D"/>
    <w:rsid w:val="008F0F75"/>
    <w:rsid w:val="008F0FF0"/>
    <w:rsid w:val="008F22BA"/>
    <w:rsid w:val="008F27F8"/>
    <w:rsid w:val="008F2D6C"/>
    <w:rsid w:val="008F31E7"/>
    <w:rsid w:val="008F399F"/>
    <w:rsid w:val="008F5106"/>
    <w:rsid w:val="008F5DD8"/>
    <w:rsid w:val="008F6046"/>
    <w:rsid w:val="008F655A"/>
    <w:rsid w:val="008F6C80"/>
    <w:rsid w:val="008F6D26"/>
    <w:rsid w:val="008F72CA"/>
    <w:rsid w:val="009006AB"/>
    <w:rsid w:val="00900CE8"/>
    <w:rsid w:val="0090320A"/>
    <w:rsid w:val="009039B8"/>
    <w:rsid w:val="00904187"/>
    <w:rsid w:val="00904AB8"/>
    <w:rsid w:val="00904DE4"/>
    <w:rsid w:val="009059AA"/>
    <w:rsid w:val="00906F99"/>
    <w:rsid w:val="009078AB"/>
    <w:rsid w:val="00907BBF"/>
    <w:rsid w:val="00907C46"/>
    <w:rsid w:val="00907FD0"/>
    <w:rsid w:val="009102CD"/>
    <w:rsid w:val="00910596"/>
    <w:rsid w:val="0091124F"/>
    <w:rsid w:val="00911DF4"/>
    <w:rsid w:val="00912416"/>
    <w:rsid w:val="00913906"/>
    <w:rsid w:val="00913C9C"/>
    <w:rsid w:val="00914200"/>
    <w:rsid w:val="009142FE"/>
    <w:rsid w:val="00914AC5"/>
    <w:rsid w:val="00914E0B"/>
    <w:rsid w:val="00914EDD"/>
    <w:rsid w:val="00914FDD"/>
    <w:rsid w:val="009150A1"/>
    <w:rsid w:val="0091562A"/>
    <w:rsid w:val="00915D83"/>
    <w:rsid w:val="009160AD"/>
    <w:rsid w:val="009164DC"/>
    <w:rsid w:val="00916D53"/>
    <w:rsid w:val="009177E9"/>
    <w:rsid w:val="00917D0C"/>
    <w:rsid w:val="00920057"/>
    <w:rsid w:val="00921CA9"/>
    <w:rsid w:val="009220AE"/>
    <w:rsid w:val="009224D0"/>
    <w:rsid w:val="00922850"/>
    <w:rsid w:val="0092395C"/>
    <w:rsid w:val="009242ED"/>
    <w:rsid w:val="00925290"/>
    <w:rsid w:val="00926B77"/>
    <w:rsid w:val="00926E7B"/>
    <w:rsid w:val="0092754E"/>
    <w:rsid w:val="00930B08"/>
    <w:rsid w:val="00930D2A"/>
    <w:rsid w:val="00930E68"/>
    <w:rsid w:val="0093159E"/>
    <w:rsid w:val="009317FA"/>
    <w:rsid w:val="00931C4E"/>
    <w:rsid w:val="00932479"/>
    <w:rsid w:val="00932884"/>
    <w:rsid w:val="00932DAC"/>
    <w:rsid w:val="00932EC7"/>
    <w:rsid w:val="00933027"/>
    <w:rsid w:val="009335BB"/>
    <w:rsid w:val="009337E8"/>
    <w:rsid w:val="009339F3"/>
    <w:rsid w:val="00933DB1"/>
    <w:rsid w:val="009354DD"/>
    <w:rsid w:val="009358CC"/>
    <w:rsid w:val="00936813"/>
    <w:rsid w:val="0093782A"/>
    <w:rsid w:val="0094027F"/>
    <w:rsid w:val="0094057B"/>
    <w:rsid w:val="00940660"/>
    <w:rsid w:val="00940E8D"/>
    <w:rsid w:val="009411B4"/>
    <w:rsid w:val="00941276"/>
    <w:rsid w:val="00941689"/>
    <w:rsid w:val="009419C2"/>
    <w:rsid w:val="00941D69"/>
    <w:rsid w:val="0094231B"/>
    <w:rsid w:val="0094280A"/>
    <w:rsid w:val="0094324F"/>
    <w:rsid w:val="009434A4"/>
    <w:rsid w:val="00943B99"/>
    <w:rsid w:val="00945C88"/>
    <w:rsid w:val="00945CA8"/>
    <w:rsid w:val="009475F3"/>
    <w:rsid w:val="00947DAC"/>
    <w:rsid w:val="00950640"/>
    <w:rsid w:val="00950E25"/>
    <w:rsid w:val="00952BBE"/>
    <w:rsid w:val="00952BEB"/>
    <w:rsid w:val="00952EB6"/>
    <w:rsid w:val="009533F0"/>
    <w:rsid w:val="00953DD1"/>
    <w:rsid w:val="009542E6"/>
    <w:rsid w:val="0095439F"/>
    <w:rsid w:val="0095444C"/>
    <w:rsid w:val="00955264"/>
    <w:rsid w:val="00955676"/>
    <w:rsid w:val="00955D69"/>
    <w:rsid w:val="0095685D"/>
    <w:rsid w:val="009571E4"/>
    <w:rsid w:val="00957561"/>
    <w:rsid w:val="009578E3"/>
    <w:rsid w:val="009602B2"/>
    <w:rsid w:val="00960373"/>
    <w:rsid w:val="0096053B"/>
    <w:rsid w:val="00961C08"/>
    <w:rsid w:val="00961F0B"/>
    <w:rsid w:val="00961F3B"/>
    <w:rsid w:val="0096261F"/>
    <w:rsid w:val="00962683"/>
    <w:rsid w:val="0096268B"/>
    <w:rsid w:val="009629DE"/>
    <w:rsid w:val="00962C49"/>
    <w:rsid w:val="00962D14"/>
    <w:rsid w:val="00963A74"/>
    <w:rsid w:val="00963FBA"/>
    <w:rsid w:val="00964266"/>
    <w:rsid w:val="00964750"/>
    <w:rsid w:val="00964AB2"/>
    <w:rsid w:val="0096520C"/>
    <w:rsid w:val="0096522D"/>
    <w:rsid w:val="00965E57"/>
    <w:rsid w:val="0096605E"/>
    <w:rsid w:val="009660B5"/>
    <w:rsid w:val="00966FA8"/>
    <w:rsid w:val="00967C4D"/>
    <w:rsid w:val="00967F60"/>
    <w:rsid w:val="009702D5"/>
    <w:rsid w:val="0097058A"/>
    <w:rsid w:val="0097102D"/>
    <w:rsid w:val="00971212"/>
    <w:rsid w:val="00971664"/>
    <w:rsid w:val="00971C57"/>
    <w:rsid w:val="0097237F"/>
    <w:rsid w:val="00973780"/>
    <w:rsid w:val="00973834"/>
    <w:rsid w:val="00974210"/>
    <w:rsid w:val="0097551D"/>
    <w:rsid w:val="00975974"/>
    <w:rsid w:val="00975988"/>
    <w:rsid w:val="00976B21"/>
    <w:rsid w:val="0097701B"/>
    <w:rsid w:val="00977046"/>
    <w:rsid w:val="0097760D"/>
    <w:rsid w:val="009801A8"/>
    <w:rsid w:val="009801BF"/>
    <w:rsid w:val="0098052C"/>
    <w:rsid w:val="00980804"/>
    <w:rsid w:val="00980832"/>
    <w:rsid w:val="00980A9E"/>
    <w:rsid w:val="00980AB2"/>
    <w:rsid w:val="00980AD0"/>
    <w:rsid w:val="009816D2"/>
    <w:rsid w:val="009817ED"/>
    <w:rsid w:val="00981B61"/>
    <w:rsid w:val="0098247E"/>
    <w:rsid w:val="009824C6"/>
    <w:rsid w:val="0098255A"/>
    <w:rsid w:val="009829A4"/>
    <w:rsid w:val="00982C91"/>
    <w:rsid w:val="009832FC"/>
    <w:rsid w:val="00983B6E"/>
    <w:rsid w:val="00983BE8"/>
    <w:rsid w:val="00983C11"/>
    <w:rsid w:val="009841EA"/>
    <w:rsid w:val="00984205"/>
    <w:rsid w:val="00984989"/>
    <w:rsid w:val="00984D5E"/>
    <w:rsid w:val="00985312"/>
    <w:rsid w:val="00985771"/>
    <w:rsid w:val="0098670E"/>
    <w:rsid w:val="00986D49"/>
    <w:rsid w:val="0098742B"/>
    <w:rsid w:val="00987A83"/>
    <w:rsid w:val="0099005B"/>
    <w:rsid w:val="00990494"/>
    <w:rsid w:val="009905C5"/>
    <w:rsid w:val="00990CEA"/>
    <w:rsid w:val="0099151B"/>
    <w:rsid w:val="009921CD"/>
    <w:rsid w:val="0099238E"/>
    <w:rsid w:val="00992D7D"/>
    <w:rsid w:val="00993086"/>
    <w:rsid w:val="00993513"/>
    <w:rsid w:val="009937D6"/>
    <w:rsid w:val="009939BD"/>
    <w:rsid w:val="009953D8"/>
    <w:rsid w:val="0099559B"/>
    <w:rsid w:val="00995E5C"/>
    <w:rsid w:val="00995F60"/>
    <w:rsid w:val="009960E2"/>
    <w:rsid w:val="00996233"/>
    <w:rsid w:val="00996A52"/>
    <w:rsid w:val="00996A8A"/>
    <w:rsid w:val="00996B50"/>
    <w:rsid w:val="0099701C"/>
    <w:rsid w:val="009970AB"/>
    <w:rsid w:val="009974D2"/>
    <w:rsid w:val="009A036B"/>
    <w:rsid w:val="009A0923"/>
    <w:rsid w:val="009A0981"/>
    <w:rsid w:val="009A0C49"/>
    <w:rsid w:val="009A188B"/>
    <w:rsid w:val="009A20C3"/>
    <w:rsid w:val="009A2FBC"/>
    <w:rsid w:val="009A310D"/>
    <w:rsid w:val="009A33CF"/>
    <w:rsid w:val="009A3478"/>
    <w:rsid w:val="009A4032"/>
    <w:rsid w:val="009A42C4"/>
    <w:rsid w:val="009A489F"/>
    <w:rsid w:val="009A5705"/>
    <w:rsid w:val="009A6264"/>
    <w:rsid w:val="009A7440"/>
    <w:rsid w:val="009A7BA3"/>
    <w:rsid w:val="009B0507"/>
    <w:rsid w:val="009B083E"/>
    <w:rsid w:val="009B1B76"/>
    <w:rsid w:val="009B2101"/>
    <w:rsid w:val="009B2CE8"/>
    <w:rsid w:val="009B335B"/>
    <w:rsid w:val="009B3D70"/>
    <w:rsid w:val="009B42D9"/>
    <w:rsid w:val="009B52A9"/>
    <w:rsid w:val="009B53D1"/>
    <w:rsid w:val="009B5AB0"/>
    <w:rsid w:val="009B5BD1"/>
    <w:rsid w:val="009B5C98"/>
    <w:rsid w:val="009B5E19"/>
    <w:rsid w:val="009B68B1"/>
    <w:rsid w:val="009B6D1C"/>
    <w:rsid w:val="009B786C"/>
    <w:rsid w:val="009B7C37"/>
    <w:rsid w:val="009C00FE"/>
    <w:rsid w:val="009C1B1E"/>
    <w:rsid w:val="009C2075"/>
    <w:rsid w:val="009C2322"/>
    <w:rsid w:val="009C269F"/>
    <w:rsid w:val="009C330C"/>
    <w:rsid w:val="009C44E8"/>
    <w:rsid w:val="009C4E56"/>
    <w:rsid w:val="009C537C"/>
    <w:rsid w:val="009C54D5"/>
    <w:rsid w:val="009C5C37"/>
    <w:rsid w:val="009C5E14"/>
    <w:rsid w:val="009C6B68"/>
    <w:rsid w:val="009C74EF"/>
    <w:rsid w:val="009C76FD"/>
    <w:rsid w:val="009C789F"/>
    <w:rsid w:val="009C79E4"/>
    <w:rsid w:val="009C7D8A"/>
    <w:rsid w:val="009C7DA9"/>
    <w:rsid w:val="009D038B"/>
    <w:rsid w:val="009D0A8A"/>
    <w:rsid w:val="009D1A1B"/>
    <w:rsid w:val="009D1BB1"/>
    <w:rsid w:val="009D1EDC"/>
    <w:rsid w:val="009D28A5"/>
    <w:rsid w:val="009D292B"/>
    <w:rsid w:val="009D2C02"/>
    <w:rsid w:val="009D369C"/>
    <w:rsid w:val="009D3B7D"/>
    <w:rsid w:val="009D3F79"/>
    <w:rsid w:val="009D4BC1"/>
    <w:rsid w:val="009D4CAD"/>
    <w:rsid w:val="009D571A"/>
    <w:rsid w:val="009D5C59"/>
    <w:rsid w:val="009D5F08"/>
    <w:rsid w:val="009D6755"/>
    <w:rsid w:val="009D6D40"/>
    <w:rsid w:val="009D71D0"/>
    <w:rsid w:val="009D71DE"/>
    <w:rsid w:val="009D72B0"/>
    <w:rsid w:val="009D7A72"/>
    <w:rsid w:val="009E030A"/>
    <w:rsid w:val="009E0327"/>
    <w:rsid w:val="009E07D1"/>
    <w:rsid w:val="009E0991"/>
    <w:rsid w:val="009E09C4"/>
    <w:rsid w:val="009E0DFE"/>
    <w:rsid w:val="009E3322"/>
    <w:rsid w:val="009E38AB"/>
    <w:rsid w:val="009E3B37"/>
    <w:rsid w:val="009E3D40"/>
    <w:rsid w:val="009E42DF"/>
    <w:rsid w:val="009E47A8"/>
    <w:rsid w:val="009E4D3B"/>
    <w:rsid w:val="009E5247"/>
    <w:rsid w:val="009E593D"/>
    <w:rsid w:val="009E5D20"/>
    <w:rsid w:val="009E6D47"/>
    <w:rsid w:val="009E6E5E"/>
    <w:rsid w:val="009E7216"/>
    <w:rsid w:val="009E775A"/>
    <w:rsid w:val="009E7980"/>
    <w:rsid w:val="009E79B8"/>
    <w:rsid w:val="009E7B58"/>
    <w:rsid w:val="009F09DB"/>
    <w:rsid w:val="009F1658"/>
    <w:rsid w:val="009F1CE7"/>
    <w:rsid w:val="009F1E94"/>
    <w:rsid w:val="009F2B9E"/>
    <w:rsid w:val="009F2DED"/>
    <w:rsid w:val="009F3069"/>
    <w:rsid w:val="009F391D"/>
    <w:rsid w:val="009F3CAA"/>
    <w:rsid w:val="009F439A"/>
    <w:rsid w:val="009F456B"/>
    <w:rsid w:val="009F4759"/>
    <w:rsid w:val="009F476D"/>
    <w:rsid w:val="009F49EC"/>
    <w:rsid w:val="009F5827"/>
    <w:rsid w:val="009F645A"/>
    <w:rsid w:val="009F65FE"/>
    <w:rsid w:val="009F6F26"/>
    <w:rsid w:val="009F71A1"/>
    <w:rsid w:val="009F744D"/>
    <w:rsid w:val="009F75D5"/>
    <w:rsid w:val="009F7EA1"/>
    <w:rsid w:val="00A0074C"/>
    <w:rsid w:val="00A0128A"/>
    <w:rsid w:val="00A016DE"/>
    <w:rsid w:val="00A0182E"/>
    <w:rsid w:val="00A0250A"/>
    <w:rsid w:val="00A030EE"/>
    <w:rsid w:val="00A03696"/>
    <w:rsid w:val="00A037F1"/>
    <w:rsid w:val="00A041BE"/>
    <w:rsid w:val="00A04A45"/>
    <w:rsid w:val="00A05131"/>
    <w:rsid w:val="00A0574C"/>
    <w:rsid w:val="00A06121"/>
    <w:rsid w:val="00A06630"/>
    <w:rsid w:val="00A0698A"/>
    <w:rsid w:val="00A0757B"/>
    <w:rsid w:val="00A07943"/>
    <w:rsid w:val="00A07A2F"/>
    <w:rsid w:val="00A105C2"/>
    <w:rsid w:val="00A107F3"/>
    <w:rsid w:val="00A10888"/>
    <w:rsid w:val="00A108A2"/>
    <w:rsid w:val="00A11428"/>
    <w:rsid w:val="00A12578"/>
    <w:rsid w:val="00A12A7D"/>
    <w:rsid w:val="00A12BAF"/>
    <w:rsid w:val="00A12F5E"/>
    <w:rsid w:val="00A15844"/>
    <w:rsid w:val="00A1630B"/>
    <w:rsid w:val="00A16CD2"/>
    <w:rsid w:val="00A174A8"/>
    <w:rsid w:val="00A17C7D"/>
    <w:rsid w:val="00A20087"/>
    <w:rsid w:val="00A20A10"/>
    <w:rsid w:val="00A210FF"/>
    <w:rsid w:val="00A21115"/>
    <w:rsid w:val="00A21DE8"/>
    <w:rsid w:val="00A22D51"/>
    <w:rsid w:val="00A22EF0"/>
    <w:rsid w:val="00A22FB0"/>
    <w:rsid w:val="00A23C71"/>
    <w:rsid w:val="00A23D7B"/>
    <w:rsid w:val="00A2438A"/>
    <w:rsid w:val="00A25885"/>
    <w:rsid w:val="00A25F46"/>
    <w:rsid w:val="00A2624A"/>
    <w:rsid w:val="00A26B44"/>
    <w:rsid w:val="00A27093"/>
    <w:rsid w:val="00A278B8"/>
    <w:rsid w:val="00A279CA"/>
    <w:rsid w:val="00A30E41"/>
    <w:rsid w:val="00A31830"/>
    <w:rsid w:val="00A31F3F"/>
    <w:rsid w:val="00A32270"/>
    <w:rsid w:val="00A323E6"/>
    <w:rsid w:val="00A3245A"/>
    <w:rsid w:val="00A32783"/>
    <w:rsid w:val="00A3308C"/>
    <w:rsid w:val="00A34152"/>
    <w:rsid w:val="00A3489A"/>
    <w:rsid w:val="00A34CFD"/>
    <w:rsid w:val="00A35470"/>
    <w:rsid w:val="00A359B8"/>
    <w:rsid w:val="00A35AC6"/>
    <w:rsid w:val="00A3699D"/>
    <w:rsid w:val="00A37359"/>
    <w:rsid w:val="00A37F52"/>
    <w:rsid w:val="00A400BE"/>
    <w:rsid w:val="00A40375"/>
    <w:rsid w:val="00A403C9"/>
    <w:rsid w:val="00A41590"/>
    <w:rsid w:val="00A416FB"/>
    <w:rsid w:val="00A418EB"/>
    <w:rsid w:val="00A419EA"/>
    <w:rsid w:val="00A425C8"/>
    <w:rsid w:val="00A426AD"/>
    <w:rsid w:val="00A42708"/>
    <w:rsid w:val="00A42D33"/>
    <w:rsid w:val="00A436DF"/>
    <w:rsid w:val="00A43F4E"/>
    <w:rsid w:val="00A4444C"/>
    <w:rsid w:val="00A445B9"/>
    <w:rsid w:val="00A4537C"/>
    <w:rsid w:val="00A453D8"/>
    <w:rsid w:val="00A45890"/>
    <w:rsid w:val="00A459C4"/>
    <w:rsid w:val="00A459DF"/>
    <w:rsid w:val="00A46410"/>
    <w:rsid w:val="00A4648F"/>
    <w:rsid w:val="00A4676C"/>
    <w:rsid w:val="00A50285"/>
    <w:rsid w:val="00A509A2"/>
    <w:rsid w:val="00A509BD"/>
    <w:rsid w:val="00A50A66"/>
    <w:rsid w:val="00A50FEB"/>
    <w:rsid w:val="00A511FB"/>
    <w:rsid w:val="00A521E4"/>
    <w:rsid w:val="00A52526"/>
    <w:rsid w:val="00A53F42"/>
    <w:rsid w:val="00A53FAC"/>
    <w:rsid w:val="00A5401D"/>
    <w:rsid w:val="00A541D3"/>
    <w:rsid w:val="00A558EC"/>
    <w:rsid w:val="00A559B5"/>
    <w:rsid w:val="00A55E6E"/>
    <w:rsid w:val="00A55EAC"/>
    <w:rsid w:val="00A563FB"/>
    <w:rsid w:val="00A56A7F"/>
    <w:rsid w:val="00A56BB3"/>
    <w:rsid w:val="00A576F2"/>
    <w:rsid w:val="00A57990"/>
    <w:rsid w:val="00A579F4"/>
    <w:rsid w:val="00A57F16"/>
    <w:rsid w:val="00A606D4"/>
    <w:rsid w:val="00A61202"/>
    <w:rsid w:val="00A6154F"/>
    <w:rsid w:val="00A6194F"/>
    <w:rsid w:val="00A61A57"/>
    <w:rsid w:val="00A6250D"/>
    <w:rsid w:val="00A628A1"/>
    <w:rsid w:val="00A62FAB"/>
    <w:rsid w:val="00A632D9"/>
    <w:rsid w:val="00A64164"/>
    <w:rsid w:val="00A64ADB"/>
    <w:rsid w:val="00A65BC6"/>
    <w:rsid w:val="00A65C31"/>
    <w:rsid w:val="00A65F0A"/>
    <w:rsid w:val="00A65FC4"/>
    <w:rsid w:val="00A66CB3"/>
    <w:rsid w:val="00A674FD"/>
    <w:rsid w:val="00A676B8"/>
    <w:rsid w:val="00A67919"/>
    <w:rsid w:val="00A67E55"/>
    <w:rsid w:val="00A706F8"/>
    <w:rsid w:val="00A70BD9"/>
    <w:rsid w:val="00A70DD1"/>
    <w:rsid w:val="00A710DB"/>
    <w:rsid w:val="00A71272"/>
    <w:rsid w:val="00A71973"/>
    <w:rsid w:val="00A71E73"/>
    <w:rsid w:val="00A729B3"/>
    <w:rsid w:val="00A73171"/>
    <w:rsid w:val="00A73264"/>
    <w:rsid w:val="00A74487"/>
    <w:rsid w:val="00A75023"/>
    <w:rsid w:val="00A75AD1"/>
    <w:rsid w:val="00A7642C"/>
    <w:rsid w:val="00A76456"/>
    <w:rsid w:val="00A77AA8"/>
    <w:rsid w:val="00A77BF5"/>
    <w:rsid w:val="00A77DE0"/>
    <w:rsid w:val="00A80D45"/>
    <w:rsid w:val="00A80F06"/>
    <w:rsid w:val="00A8110D"/>
    <w:rsid w:val="00A814CD"/>
    <w:rsid w:val="00A81644"/>
    <w:rsid w:val="00A8292B"/>
    <w:rsid w:val="00A83E8F"/>
    <w:rsid w:val="00A84868"/>
    <w:rsid w:val="00A855EF"/>
    <w:rsid w:val="00A85ED3"/>
    <w:rsid w:val="00A86B45"/>
    <w:rsid w:val="00A8706D"/>
    <w:rsid w:val="00A87A40"/>
    <w:rsid w:val="00A90354"/>
    <w:rsid w:val="00A90771"/>
    <w:rsid w:val="00A92012"/>
    <w:rsid w:val="00A923E5"/>
    <w:rsid w:val="00A92788"/>
    <w:rsid w:val="00A93A52"/>
    <w:rsid w:val="00A93EEA"/>
    <w:rsid w:val="00A93F3E"/>
    <w:rsid w:val="00A94AFD"/>
    <w:rsid w:val="00A9565A"/>
    <w:rsid w:val="00A95CE4"/>
    <w:rsid w:val="00A95ED5"/>
    <w:rsid w:val="00A95FF4"/>
    <w:rsid w:val="00A96448"/>
    <w:rsid w:val="00A96516"/>
    <w:rsid w:val="00A96517"/>
    <w:rsid w:val="00A97272"/>
    <w:rsid w:val="00A97A56"/>
    <w:rsid w:val="00AA18CE"/>
    <w:rsid w:val="00AA1C2A"/>
    <w:rsid w:val="00AA2F4C"/>
    <w:rsid w:val="00AA31B4"/>
    <w:rsid w:val="00AA3D16"/>
    <w:rsid w:val="00AA3E9A"/>
    <w:rsid w:val="00AA3FD9"/>
    <w:rsid w:val="00AA4475"/>
    <w:rsid w:val="00AA4E6A"/>
    <w:rsid w:val="00AA4F05"/>
    <w:rsid w:val="00AA5831"/>
    <w:rsid w:val="00AA6136"/>
    <w:rsid w:val="00AA64C8"/>
    <w:rsid w:val="00AA6520"/>
    <w:rsid w:val="00AA66BE"/>
    <w:rsid w:val="00AA6941"/>
    <w:rsid w:val="00AA7040"/>
    <w:rsid w:val="00AA7F72"/>
    <w:rsid w:val="00AB0F11"/>
    <w:rsid w:val="00AB1202"/>
    <w:rsid w:val="00AB1BBE"/>
    <w:rsid w:val="00AB2B17"/>
    <w:rsid w:val="00AB2CC6"/>
    <w:rsid w:val="00AB2CEE"/>
    <w:rsid w:val="00AB30B0"/>
    <w:rsid w:val="00AB38B1"/>
    <w:rsid w:val="00AB4AFE"/>
    <w:rsid w:val="00AB5234"/>
    <w:rsid w:val="00AB533D"/>
    <w:rsid w:val="00AB5BB3"/>
    <w:rsid w:val="00AB6200"/>
    <w:rsid w:val="00AB655C"/>
    <w:rsid w:val="00AB6E0F"/>
    <w:rsid w:val="00AB760E"/>
    <w:rsid w:val="00AC01AB"/>
    <w:rsid w:val="00AC0485"/>
    <w:rsid w:val="00AC04F5"/>
    <w:rsid w:val="00AC0C39"/>
    <w:rsid w:val="00AC0EF1"/>
    <w:rsid w:val="00AC129B"/>
    <w:rsid w:val="00AC1537"/>
    <w:rsid w:val="00AC193E"/>
    <w:rsid w:val="00AC33A4"/>
    <w:rsid w:val="00AC3401"/>
    <w:rsid w:val="00AC3674"/>
    <w:rsid w:val="00AC3960"/>
    <w:rsid w:val="00AC449A"/>
    <w:rsid w:val="00AC566C"/>
    <w:rsid w:val="00AC5AC0"/>
    <w:rsid w:val="00AC6E13"/>
    <w:rsid w:val="00AC72DF"/>
    <w:rsid w:val="00AC72F7"/>
    <w:rsid w:val="00AC769B"/>
    <w:rsid w:val="00AC7870"/>
    <w:rsid w:val="00AC7C45"/>
    <w:rsid w:val="00AC7C50"/>
    <w:rsid w:val="00AC7D41"/>
    <w:rsid w:val="00AC7E5C"/>
    <w:rsid w:val="00AC7F1C"/>
    <w:rsid w:val="00AD0363"/>
    <w:rsid w:val="00AD06BA"/>
    <w:rsid w:val="00AD08DD"/>
    <w:rsid w:val="00AD15FE"/>
    <w:rsid w:val="00AD1615"/>
    <w:rsid w:val="00AD1BAB"/>
    <w:rsid w:val="00AD2139"/>
    <w:rsid w:val="00AD22EF"/>
    <w:rsid w:val="00AD237D"/>
    <w:rsid w:val="00AD3599"/>
    <w:rsid w:val="00AD362E"/>
    <w:rsid w:val="00AD4B93"/>
    <w:rsid w:val="00AD5DE1"/>
    <w:rsid w:val="00AD63AC"/>
    <w:rsid w:val="00AD657E"/>
    <w:rsid w:val="00AD67B7"/>
    <w:rsid w:val="00AD7988"/>
    <w:rsid w:val="00AD7DAD"/>
    <w:rsid w:val="00AD7EBA"/>
    <w:rsid w:val="00AE05D2"/>
    <w:rsid w:val="00AE07C7"/>
    <w:rsid w:val="00AE0AF3"/>
    <w:rsid w:val="00AE0B64"/>
    <w:rsid w:val="00AE1264"/>
    <w:rsid w:val="00AE2023"/>
    <w:rsid w:val="00AE2810"/>
    <w:rsid w:val="00AE33EC"/>
    <w:rsid w:val="00AE3E8B"/>
    <w:rsid w:val="00AE4A86"/>
    <w:rsid w:val="00AE4B69"/>
    <w:rsid w:val="00AE4E03"/>
    <w:rsid w:val="00AE4E19"/>
    <w:rsid w:val="00AE50A0"/>
    <w:rsid w:val="00AE51DB"/>
    <w:rsid w:val="00AE52E5"/>
    <w:rsid w:val="00AE5F91"/>
    <w:rsid w:val="00AE61A8"/>
    <w:rsid w:val="00AE6307"/>
    <w:rsid w:val="00AE65CB"/>
    <w:rsid w:val="00AE6AC7"/>
    <w:rsid w:val="00AE6B8B"/>
    <w:rsid w:val="00AE7BFB"/>
    <w:rsid w:val="00AE7FB1"/>
    <w:rsid w:val="00AF0017"/>
    <w:rsid w:val="00AF0618"/>
    <w:rsid w:val="00AF0969"/>
    <w:rsid w:val="00AF0F29"/>
    <w:rsid w:val="00AF1530"/>
    <w:rsid w:val="00AF17FC"/>
    <w:rsid w:val="00AF1893"/>
    <w:rsid w:val="00AF1EE1"/>
    <w:rsid w:val="00AF26CC"/>
    <w:rsid w:val="00AF26F7"/>
    <w:rsid w:val="00AF3298"/>
    <w:rsid w:val="00AF32F8"/>
    <w:rsid w:val="00AF3316"/>
    <w:rsid w:val="00AF4427"/>
    <w:rsid w:val="00AF4493"/>
    <w:rsid w:val="00AF4CE1"/>
    <w:rsid w:val="00AF5256"/>
    <w:rsid w:val="00AF554C"/>
    <w:rsid w:val="00AF6BBE"/>
    <w:rsid w:val="00AF7015"/>
    <w:rsid w:val="00AF765A"/>
    <w:rsid w:val="00AF7735"/>
    <w:rsid w:val="00AF7847"/>
    <w:rsid w:val="00AF7B2B"/>
    <w:rsid w:val="00B0012D"/>
    <w:rsid w:val="00B01C80"/>
    <w:rsid w:val="00B02C97"/>
    <w:rsid w:val="00B03BF1"/>
    <w:rsid w:val="00B0415A"/>
    <w:rsid w:val="00B04730"/>
    <w:rsid w:val="00B04BB9"/>
    <w:rsid w:val="00B04F65"/>
    <w:rsid w:val="00B05650"/>
    <w:rsid w:val="00B057EC"/>
    <w:rsid w:val="00B05A45"/>
    <w:rsid w:val="00B06491"/>
    <w:rsid w:val="00B065A3"/>
    <w:rsid w:val="00B0660F"/>
    <w:rsid w:val="00B076D3"/>
    <w:rsid w:val="00B07EDB"/>
    <w:rsid w:val="00B10357"/>
    <w:rsid w:val="00B10ECD"/>
    <w:rsid w:val="00B11038"/>
    <w:rsid w:val="00B118A5"/>
    <w:rsid w:val="00B11A34"/>
    <w:rsid w:val="00B1251B"/>
    <w:rsid w:val="00B12685"/>
    <w:rsid w:val="00B12DD0"/>
    <w:rsid w:val="00B1344D"/>
    <w:rsid w:val="00B1392B"/>
    <w:rsid w:val="00B13FA4"/>
    <w:rsid w:val="00B14493"/>
    <w:rsid w:val="00B14A7B"/>
    <w:rsid w:val="00B15399"/>
    <w:rsid w:val="00B15468"/>
    <w:rsid w:val="00B1575F"/>
    <w:rsid w:val="00B161C6"/>
    <w:rsid w:val="00B172FC"/>
    <w:rsid w:val="00B17D3E"/>
    <w:rsid w:val="00B200B3"/>
    <w:rsid w:val="00B201ED"/>
    <w:rsid w:val="00B2186D"/>
    <w:rsid w:val="00B220BD"/>
    <w:rsid w:val="00B220F4"/>
    <w:rsid w:val="00B225C8"/>
    <w:rsid w:val="00B22BCE"/>
    <w:rsid w:val="00B23D20"/>
    <w:rsid w:val="00B24003"/>
    <w:rsid w:val="00B244A6"/>
    <w:rsid w:val="00B251D6"/>
    <w:rsid w:val="00B25523"/>
    <w:rsid w:val="00B2570C"/>
    <w:rsid w:val="00B25CAD"/>
    <w:rsid w:val="00B26A89"/>
    <w:rsid w:val="00B26ECD"/>
    <w:rsid w:val="00B271F6"/>
    <w:rsid w:val="00B30472"/>
    <w:rsid w:val="00B305BB"/>
    <w:rsid w:val="00B305D7"/>
    <w:rsid w:val="00B32413"/>
    <w:rsid w:val="00B32D61"/>
    <w:rsid w:val="00B3319F"/>
    <w:rsid w:val="00B33296"/>
    <w:rsid w:val="00B35870"/>
    <w:rsid w:val="00B36493"/>
    <w:rsid w:val="00B369D2"/>
    <w:rsid w:val="00B36A1C"/>
    <w:rsid w:val="00B374A2"/>
    <w:rsid w:val="00B3790B"/>
    <w:rsid w:val="00B404C2"/>
    <w:rsid w:val="00B4080D"/>
    <w:rsid w:val="00B40847"/>
    <w:rsid w:val="00B41666"/>
    <w:rsid w:val="00B41749"/>
    <w:rsid w:val="00B4179B"/>
    <w:rsid w:val="00B41ACF"/>
    <w:rsid w:val="00B41D56"/>
    <w:rsid w:val="00B41FF0"/>
    <w:rsid w:val="00B4242F"/>
    <w:rsid w:val="00B43BB7"/>
    <w:rsid w:val="00B44A72"/>
    <w:rsid w:val="00B455EF"/>
    <w:rsid w:val="00B45654"/>
    <w:rsid w:val="00B45FCD"/>
    <w:rsid w:val="00B463E7"/>
    <w:rsid w:val="00B466FB"/>
    <w:rsid w:val="00B46A74"/>
    <w:rsid w:val="00B46D97"/>
    <w:rsid w:val="00B46F7E"/>
    <w:rsid w:val="00B47900"/>
    <w:rsid w:val="00B47E59"/>
    <w:rsid w:val="00B504CD"/>
    <w:rsid w:val="00B50BF8"/>
    <w:rsid w:val="00B510BD"/>
    <w:rsid w:val="00B51463"/>
    <w:rsid w:val="00B51487"/>
    <w:rsid w:val="00B51598"/>
    <w:rsid w:val="00B51842"/>
    <w:rsid w:val="00B526D3"/>
    <w:rsid w:val="00B53553"/>
    <w:rsid w:val="00B53661"/>
    <w:rsid w:val="00B53A37"/>
    <w:rsid w:val="00B54096"/>
    <w:rsid w:val="00B5477D"/>
    <w:rsid w:val="00B555DE"/>
    <w:rsid w:val="00B5596B"/>
    <w:rsid w:val="00B55E18"/>
    <w:rsid w:val="00B55F3B"/>
    <w:rsid w:val="00B56201"/>
    <w:rsid w:val="00B56370"/>
    <w:rsid w:val="00B5641B"/>
    <w:rsid w:val="00B5733E"/>
    <w:rsid w:val="00B601E5"/>
    <w:rsid w:val="00B602C1"/>
    <w:rsid w:val="00B60796"/>
    <w:rsid w:val="00B609EE"/>
    <w:rsid w:val="00B60C25"/>
    <w:rsid w:val="00B60FAC"/>
    <w:rsid w:val="00B612A8"/>
    <w:rsid w:val="00B61618"/>
    <w:rsid w:val="00B61757"/>
    <w:rsid w:val="00B61D5C"/>
    <w:rsid w:val="00B62298"/>
    <w:rsid w:val="00B63018"/>
    <w:rsid w:val="00B63291"/>
    <w:rsid w:val="00B63352"/>
    <w:rsid w:val="00B63437"/>
    <w:rsid w:val="00B639B8"/>
    <w:rsid w:val="00B63D28"/>
    <w:rsid w:val="00B645E2"/>
    <w:rsid w:val="00B65366"/>
    <w:rsid w:val="00B65463"/>
    <w:rsid w:val="00B669A9"/>
    <w:rsid w:val="00B66AF7"/>
    <w:rsid w:val="00B673D2"/>
    <w:rsid w:val="00B67442"/>
    <w:rsid w:val="00B7004F"/>
    <w:rsid w:val="00B7020F"/>
    <w:rsid w:val="00B70398"/>
    <w:rsid w:val="00B704BD"/>
    <w:rsid w:val="00B70FCB"/>
    <w:rsid w:val="00B719D2"/>
    <w:rsid w:val="00B71E33"/>
    <w:rsid w:val="00B734FD"/>
    <w:rsid w:val="00B748CC"/>
    <w:rsid w:val="00B763B8"/>
    <w:rsid w:val="00B77789"/>
    <w:rsid w:val="00B77825"/>
    <w:rsid w:val="00B7793D"/>
    <w:rsid w:val="00B77BDA"/>
    <w:rsid w:val="00B77DBD"/>
    <w:rsid w:val="00B80091"/>
    <w:rsid w:val="00B800F8"/>
    <w:rsid w:val="00B80696"/>
    <w:rsid w:val="00B80B45"/>
    <w:rsid w:val="00B8100F"/>
    <w:rsid w:val="00B817AD"/>
    <w:rsid w:val="00B821BB"/>
    <w:rsid w:val="00B825E0"/>
    <w:rsid w:val="00B82840"/>
    <w:rsid w:val="00B82873"/>
    <w:rsid w:val="00B83A2D"/>
    <w:rsid w:val="00B83BDC"/>
    <w:rsid w:val="00B84262"/>
    <w:rsid w:val="00B8438B"/>
    <w:rsid w:val="00B84931"/>
    <w:rsid w:val="00B84998"/>
    <w:rsid w:val="00B84E46"/>
    <w:rsid w:val="00B8539E"/>
    <w:rsid w:val="00B85432"/>
    <w:rsid w:val="00B8615D"/>
    <w:rsid w:val="00B86343"/>
    <w:rsid w:val="00B86380"/>
    <w:rsid w:val="00B8685D"/>
    <w:rsid w:val="00B872A3"/>
    <w:rsid w:val="00B8751E"/>
    <w:rsid w:val="00B8781B"/>
    <w:rsid w:val="00B9065F"/>
    <w:rsid w:val="00B907C8"/>
    <w:rsid w:val="00B90A80"/>
    <w:rsid w:val="00B9196E"/>
    <w:rsid w:val="00B91B24"/>
    <w:rsid w:val="00B91DE2"/>
    <w:rsid w:val="00B92AC0"/>
    <w:rsid w:val="00B92CA7"/>
    <w:rsid w:val="00B92FE3"/>
    <w:rsid w:val="00B9360D"/>
    <w:rsid w:val="00B93EA8"/>
    <w:rsid w:val="00B9483A"/>
    <w:rsid w:val="00B94C32"/>
    <w:rsid w:val="00B94D18"/>
    <w:rsid w:val="00B94D61"/>
    <w:rsid w:val="00B9574D"/>
    <w:rsid w:val="00B95B3F"/>
    <w:rsid w:val="00B96277"/>
    <w:rsid w:val="00B963EB"/>
    <w:rsid w:val="00B96445"/>
    <w:rsid w:val="00B978D5"/>
    <w:rsid w:val="00B97DBD"/>
    <w:rsid w:val="00BA02F3"/>
    <w:rsid w:val="00BA0CD1"/>
    <w:rsid w:val="00BA1D7E"/>
    <w:rsid w:val="00BA222F"/>
    <w:rsid w:val="00BA25A1"/>
    <w:rsid w:val="00BA2850"/>
    <w:rsid w:val="00BA2F40"/>
    <w:rsid w:val="00BA44DE"/>
    <w:rsid w:val="00BA46BC"/>
    <w:rsid w:val="00BA4BF5"/>
    <w:rsid w:val="00BA4D7E"/>
    <w:rsid w:val="00BA5723"/>
    <w:rsid w:val="00BA66D5"/>
    <w:rsid w:val="00BA67E5"/>
    <w:rsid w:val="00BA6FE9"/>
    <w:rsid w:val="00BA7527"/>
    <w:rsid w:val="00BA78EC"/>
    <w:rsid w:val="00BA7A08"/>
    <w:rsid w:val="00BB0351"/>
    <w:rsid w:val="00BB1A07"/>
    <w:rsid w:val="00BB219A"/>
    <w:rsid w:val="00BB2E14"/>
    <w:rsid w:val="00BB3AFB"/>
    <w:rsid w:val="00BB4111"/>
    <w:rsid w:val="00BB48A0"/>
    <w:rsid w:val="00BB4B7D"/>
    <w:rsid w:val="00BB5137"/>
    <w:rsid w:val="00BB577C"/>
    <w:rsid w:val="00BB722B"/>
    <w:rsid w:val="00BB7A05"/>
    <w:rsid w:val="00BC1578"/>
    <w:rsid w:val="00BC16AB"/>
    <w:rsid w:val="00BC18F0"/>
    <w:rsid w:val="00BC2D9B"/>
    <w:rsid w:val="00BC3489"/>
    <w:rsid w:val="00BC37C2"/>
    <w:rsid w:val="00BC4D11"/>
    <w:rsid w:val="00BC4DE0"/>
    <w:rsid w:val="00BC5177"/>
    <w:rsid w:val="00BC52DC"/>
    <w:rsid w:val="00BC5C62"/>
    <w:rsid w:val="00BC62E0"/>
    <w:rsid w:val="00BC6A5A"/>
    <w:rsid w:val="00BC6C84"/>
    <w:rsid w:val="00BC75B9"/>
    <w:rsid w:val="00BC77FF"/>
    <w:rsid w:val="00BC7882"/>
    <w:rsid w:val="00BC7C81"/>
    <w:rsid w:val="00BD1DDB"/>
    <w:rsid w:val="00BD1FAB"/>
    <w:rsid w:val="00BD2523"/>
    <w:rsid w:val="00BD2857"/>
    <w:rsid w:val="00BD2A06"/>
    <w:rsid w:val="00BD2D6D"/>
    <w:rsid w:val="00BD2E55"/>
    <w:rsid w:val="00BD2FFA"/>
    <w:rsid w:val="00BD30B4"/>
    <w:rsid w:val="00BD36F6"/>
    <w:rsid w:val="00BD3EF1"/>
    <w:rsid w:val="00BD4147"/>
    <w:rsid w:val="00BD49AB"/>
    <w:rsid w:val="00BD58AB"/>
    <w:rsid w:val="00BD59C0"/>
    <w:rsid w:val="00BD5BCB"/>
    <w:rsid w:val="00BD5C09"/>
    <w:rsid w:val="00BD5EEA"/>
    <w:rsid w:val="00BD65E2"/>
    <w:rsid w:val="00BD77E9"/>
    <w:rsid w:val="00BE0B51"/>
    <w:rsid w:val="00BE0D71"/>
    <w:rsid w:val="00BE141E"/>
    <w:rsid w:val="00BE163E"/>
    <w:rsid w:val="00BE1EA3"/>
    <w:rsid w:val="00BE2432"/>
    <w:rsid w:val="00BE2AB6"/>
    <w:rsid w:val="00BE2CA7"/>
    <w:rsid w:val="00BE35F5"/>
    <w:rsid w:val="00BE3FF5"/>
    <w:rsid w:val="00BE51ED"/>
    <w:rsid w:val="00BE5261"/>
    <w:rsid w:val="00BE5494"/>
    <w:rsid w:val="00BE5B1A"/>
    <w:rsid w:val="00BE60AB"/>
    <w:rsid w:val="00BE687B"/>
    <w:rsid w:val="00BE6F3E"/>
    <w:rsid w:val="00BE7B5B"/>
    <w:rsid w:val="00BF0298"/>
    <w:rsid w:val="00BF075A"/>
    <w:rsid w:val="00BF0C9B"/>
    <w:rsid w:val="00BF1A66"/>
    <w:rsid w:val="00BF2086"/>
    <w:rsid w:val="00BF23CD"/>
    <w:rsid w:val="00BF2C64"/>
    <w:rsid w:val="00BF388C"/>
    <w:rsid w:val="00BF3AB6"/>
    <w:rsid w:val="00BF468A"/>
    <w:rsid w:val="00BF4BE3"/>
    <w:rsid w:val="00BF51A9"/>
    <w:rsid w:val="00BF5ADB"/>
    <w:rsid w:val="00BF5AFD"/>
    <w:rsid w:val="00BF5C8A"/>
    <w:rsid w:val="00BF6273"/>
    <w:rsid w:val="00BF63F3"/>
    <w:rsid w:val="00BF6669"/>
    <w:rsid w:val="00BF6760"/>
    <w:rsid w:val="00BF6769"/>
    <w:rsid w:val="00BF69FF"/>
    <w:rsid w:val="00BF7AC6"/>
    <w:rsid w:val="00BF7F3E"/>
    <w:rsid w:val="00C00A03"/>
    <w:rsid w:val="00C00ED4"/>
    <w:rsid w:val="00C01D6A"/>
    <w:rsid w:val="00C01E0D"/>
    <w:rsid w:val="00C02262"/>
    <w:rsid w:val="00C02CAC"/>
    <w:rsid w:val="00C036C3"/>
    <w:rsid w:val="00C040E5"/>
    <w:rsid w:val="00C043B2"/>
    <w:rsid w:val="00C05111"/>
    <w:rsid w:val="00C052C3"/>
    <w:rsid w:val="00C0600C"/>
    <w:rsid w:val="00C060C5"/>
    <w:rsid w:val="00C0650C"/>
    <w:rsid w:val="00C0679A"/>
    <w:rsid w:val="00C07938"/>
    <w:rsid w:val="00C07AC6"/>
    <w:rsid w:val="00C1050D"/>
    <w:rsid w:val="00C1069E"/>
    <w:rsid w:val="00C10820"/>
    <w:rsid w:val="00C10EF3"/>
    <w:rsid w:val="00C11195"/>
    <w:rsid w:val="00C11491"/>
    <w:rsid w:val="00C115BB"/>
    <w:rsid w:val="00C116EA"/>
    <w:rsid w:val="00C1175A"/>
    <w:rsid w:val="00C11D1D"/>
    <w:rsid w:val="00C11F13"/>
    <w:rsid w:val="00C124F2"/>
    <w:rsid w:val="00C125F2"/>
    <w:rsid w:val="00C12B1D"/>
    <w:rsid w:val="00C12D2D"/>
    <w:rsid w:val="00C13254"/>
    <w:rsid w:val="00C1348F"/>
    <w:rsid w:val="00C13778"/>
    <w:rsid w:val="00C1395E"/>
    <w:rsid w:val="00C14399"/>
    <w:rsid w:val="00C14741"/>
    <w:rsid w:val="00C14A54"/>
    <w:rsid w:val="00C1551B"/>
    <w:rsid w:val="00C15537"/>
    <w:rsid w:val="00C15AE8"/>
    <w:rsid w:val="00C15EA3"/>
    <w:rsid w:val="00C162EA"/>
    <w:rsid w:val="00C20769"/>
    <w:rsid w:val="00C209E5"/>
    <w:rsid w:val="00C21019"/>
    <w:rsid w:val="00C211D4"/>
    <w:rsid w:val="00C214BF"/>
    <w:rsid w:val="00C216EC"/>
    <w:rsid w:val="00C21C3A"/>
    <w:rsid w:val="00C222C2"/>
    <w:rsid w:val="00C234E7"/>
    <w:rsid w:val="00C2396C"/>
    <w:rsid w:val="00C245C9"/>
    <w:rsid w:val="00C245CE"/>
    <w:rsid w:val="00C25803"/>
    <w:rsid w:val="00C27B6E"/>
    <w:rsid w:val="00C27E5B"/>
    <w:rsid w:val="00C31FC9"/>
    <w:rsid w:val="00C32DA4"/>
    <w:rsid w:val="00C3496E"/>
    <w:rsid w:val="00C34C32"/>
    <w:rsid w:val="00C362F9"/>
    <w:rsid w:val="00C3682D"/>
    <w:rsid w:val="00C3747B"/>
    <w:rsid w:val="00C4027C"/>
    <w:rsid w:val="00C40ABB"/>
    <w:rsid w:val="00C40B56"/>
    <w:rsid w:val="00C40E05"/>
    <w:rsid w:val="00C41BFE"/>
    <w:rsid w:val="00C41D10"/>
    <w:rsid w:val="00C41DE6"/>
    <w:rsid w:val="00C41E17"/>
    <w:rsid w:val="00C42905"/>
    <w:rsid w:val="00C42F6C"/>
    <w:rsid w:val="00C449AD"/>
    <w:rsid w:val="00C454C0"/>
    <w:rsid w:val="00C45AF3"/>
    <w:rsid w:val="00C45DC8"/>
    <w:rsid w:val="00C46492"/>
    <w:rsid w:val="00C475B5"/>
    <w:rsid w:val="00C47C0F"/>
    <w:rsid w:val="00C501D0"/>
    <w:rsid w:val="00C5025B"/>
    <w:rsid w:val="00C50C4C"/>
    <w:rsid w:val="00C50E63"/>
    <w:rsid w:val="00C51424"/>
    <w:rsid w:val="00C517CD"/>
    <w:rsid w:val="00C51A05"/>
    <w:rsid w:val="00C523B0"/>
    <w:rsid w:val="00C526A9"/>
    <w:rsid w:val="00C528AB"/>
    <w:rsid w:val="00C529EC"/>
    <w:rsid w:val="00C535B2"/>
    <w:rsid w:val="00C53736"/>
    <w:rsid w:val="00C53A4D"/>
    <w:rsid w:val="00C53C13"/>
    <w:rsid w:val="00C53DB7"/>
    <w:rsid w:val="00C53DD0"/>
    <w:rsid w:val="00C54CFC"/>
    <w:rsid w:val="00C55BD2"/>
    <w:rsid w:val="00C56C72"/>
    <w:rsid w:val="00C57C41"/>
    <w:rsid w:val="00C57F8F"/>
    <w:rsid w:val="00C60029"/>
    <w:rsid w:val="00C60B14"/>
    <w:rsid w:val="00C61244"/>
    <w:rsid w:val="00C615A5"/>
    <w:rsid w:val="00C627A7"/>
    <w:rsid w:val="00C62E1E"/>
    <w:rsid w:val="00C62F10"/>
    <w:rsid w:val="00C634BA"/>
    <w:rsid w:val="00C63B86"/>
    <w:rsid w:val="00C6417B"/>
    <w:rsid w:val="00C643B0"/>
    <w:rsid w:val="00C6440A"/>
    <w:rsid w:val="00C64AD0"/>
    <w:rsid w:val="00C64DF0"/>
    <w:rsid w:val="00C64F53"/>
    <w:rsid w:val="00C66145"/>
    <w:rsid w:val="00C66309"/>
    <w:rsid w:val="00C66D5F"/>
    <w:rsid w:val="00C67967"/>
    <w:rsid w:val="00C7014B"/>
    <w:rsid w:val="00C706E7"/>
    <w:rsid w:val="00C707FD"/>
    <w:rsid w:val="00C708EE"/>
    <w:rsid w:val="00C71085"/>
    <w:rsid w:val="00C7114D"/>
    <w:rsid w:val="00C715DA"/>
    <w:rsid w:val="00C71BFD"/>
    <w:rsid w:val="00C72256"/>
    <w:rsid w:val="00C72336"/>
    <w:rsid w:val="00C731F2"/>
    <w:rsid w:val="00C73B28"/>
    <w:rsid w:val="00C73EB0"/>
    <w:rsid w:val="00C7561C"/>
    <w:rsid w:val="00C75AAA"/>
    <w:rsid w:val="00C7610C"/>
    <w:rsid w:val="00C76D7C"/>
    <w:rsid w:val="00C7712F"/>
    <w:rsid w:val="00C7714B"/>
    <w:rsid w:val="00C77AF1"/>
    <w:rsid w:val="00C77D63"/>
    <w:rsid w:val="00C810B6"/>
    <w:rsid w:val="00C81CC8"/>
    <w:rsid w:val="00C81F53"/>
    <w:rsid w:val="00C81FA6"/>
    <w:rsid w:val="00C821E0"/>
    <w:rsid w:val="00C82325"/>
    <w:rsid w:val="00C82FE8"/>
    <w:rsid w:val="00C83217"/>
    <w:rsid w:val="00C83DFB"/>
    <w:rsid w:val="00C8665E"/>
    <w:rsid w:val="00C87149"/>
    <w:rsid w:val="00C8769C"/>
    <w:rsid w:val="00C91484"/>
    <w:rsid w:val="00C914B5"/>
    <w:rsid w:val="00C91557"/>
    <w:rsid w:val="00C91D1E"/>
    <w:rsid w:val="00C922E0"/>
    <w:rsid w:val="00C9233B"/>
    <w:rsid w:val="00C923D1"/>
    <w:rsid w:val="00C92481"/>
    <w:rsid w:val="00C92C62"/>
    <w:rsid w:val="00C931A9"/>
    <w:rsid w:val="00C9352B"/>
    <w:rsid w:val="00C93662"/>
    <w:rsid w:val="00C93AEE"/>
    <w:rsid w:val="00C94313"/>
    <w:rsid w:val="00C948E1"/>
    <w:rsid w:val="00C95791"/>
    <w:rsid w:val="00C96CF5"/>
    <w:rsid w:val="00C9762F"/>
    <w:rsid w:val="00C97B0E"/>
    <w:rsid w:val="00CA02B7"/>
    <w:rsid w:val="00CA0735"/>
    <w:rsid w:val="00CA0A13"/>
    <w:rsid w:val="00CA173E"/>
    <w:rsid w:val="00CA2632"/>
    <w:rsid w:val="00CA2F17"/>
    <w:rsid w:val="00CA4184"/>
    <w:rsid w:val="00CA41E4"/>
    <w:rsid w:val="00CA47B8"/>
    <w:rsid w:val="00CA4F7A"/>
    <w:rsid w:val="00CA5119"/>
    <w:rsid w:val="00CA57E9"/>
    <w:rsid w:val="00CA5A33"/>
    <w:rsid w:val="00CA6054"/>
    <w:rsid w:val="00CA6679"/>
    <w:rsid w:val="00CA6BFB"/>
    <w:rsid w:val="00CA790A"/>
    <w:rsid w:val="00CA797D"/>
    <w:rsid w:val="00CA7B81"/>
    <w:rsid w:val="00CB0C3D"/>
    <w:rsid w:val="00CB0CCD"/>
    <w:rsid w:val="00CB1059"/>
    <w:rsid w:val="00CB1606"/>
    <w:rsid w:val="00CB1999"/>
    <w:rsid w:val="00CB1B6B"/>
    <w:rsid w:val="00CB3B65"/>
    <w:rsid w:val="00CB3FF3"/>
    <w:rsid w:val="00CB4D0D"/>
    <w:rsid w:val="00CB5404"/>
    <w:rsid w:val="00CB70B3"/>
    <w:rsid w:val="00CB735B"/>
    <w:rsid w:val="00CB75CE"/>
    <w:rsid w:val="00CB77BB"/>
    <w:rsid w:val="00CC01F2"/>
    <w:rsid w:val="00CC0604"/>
    <w:rsid w:val="00CC0CBE"/>
    <w:rsid w:val="00CC124B"/>
    <w:rsid w:val="00CC279D"/>
    <w:rsid w:val="00CC2CE3"/>
    <w:rsid w:val="00CC341B"/>
    <w:rsid w:val="00CC3D65"/>
    <w:rsid w:val="00CC4C17"/>
    <w:rsid w:val="00CC4EE7"/>
    <w:rsid w:val="00CC4F51"/>
    <w:rsid w:val="00CC4F93"/>
    <w:rsid w:val="00CC5299"/>
    <w:rsid w:val="00CC62BA"/>
    <w:rsid w:val="00CC71B6"/>
    <w:rsid w:val="00CC74C9"/>
    <w:rsid w:val="00CC775B"/>
    <w:rsid w:val="00CC7FAD"/>
    <w:rsid w:val="00CD02F7"/>
    <w:rsid w:val="00CD06D8"/>
    <w:rsid w:val="00CD0BE4"/>
    <w:rsid w:val="00CD1CCC"/>
    <w:rsid w:val="00CD1D97"/>
    <w:rsid w:val="00CD2F23"/>
    <w:rsid w:val="00CD2FF2"/>
    <w:rsid w:val="00CD3366"/>
    <w:rsid w:val="00CD3744"/>
    <w:rsid w:val="00CD37EA"/>
    <w:rsid w:val="00CD4AB2"/>
    <w:rsid w:val="00CD5097"/>
    <w:rsid w:val="00CD53DD"/>
    <w:rsid w:val="00CD5FD1"/>
    <w:rsid w:val="00CD639E"/>
    <w:rsid w:val="00CD7051"/>
    <w:rsid w:val="00CD71FF"/>
    <w:rsid w:val="00CE0628"/>
    <w:rsid w:val="00CE0ED6"/>
    <w:rsid w:val="00CE1164"/>
    <w:rsid w:val="00CE1256"/>
    <w:rsid w:val="00CE1297"/>
    <w:rsid w:val="00CE1832"/>
    <w:rsid w:val="00CE1932"/>
    <w:rsid w:val="00CE1D3C"/>
    <w:rsid w:val="00CE1ED4"/>
    <w:rsid w:val="00CE31AC"/>
    <w:rsid w:val="00CE39C5"/>
    <w:rsid w:val="00CE3BBE"/>
    <w:rsid w:val="00CE3FD0"/>
    <w:rsid w:val="00CE433F"/>
    <w:rsid w:val="00CE4565"/>
    <w:rsid w:val="00CE477C"/>
    <w:rsid w:val="00CE495B"/>
    <w:rsid w:val="00CE4B90"/>
    <w:rsid w:val="00CE5AFF"/>
    <w:rsid w:val="00CE62F1"/>
    <w:rsid w:val="00CE673C"/>
    <w:rsid w:val="00CE6791"/>
    <w:rsid w:val="00CE6975"/>
    <w:rsid w:val="00CE69C3"/>
    <w:rsid w:val="00CE6A01"/>
    <w:rsid w:val="00CE6CB3"/>
    <w:rsid w:val="00CE6EA2"/>
    <w:rsid w:val="00CE6FF6"/>
    <w:rsid w:val="00CE74E6"/>
    <w:rsid w:val="00CF0309"/>
    <w:rsid w:val="00CF0368"/>
    <w:rsid w:val="00CF0D5A"/>
    <w:rsid w:val="00CF1319"/>
    <w:rsid w:val="00CF184A"/>
    <w:rsid w:val="00CF2421"/>
    <w:rsid w:val="00CF2ABA"/>
    <w:rsid w:val="00CF2FF0"/>
    <w:rsid w:val="00CF39D4"/>
    <w:rsid w:val="00CF415A"/>
    <w:rsid w:val="00CF43A8"/>
    <w:rsid w:val="00CF462C"/>
    <w:rsid w:val="00CF55C0"/>
    <w:rsid w:val="00CF594D"/>
    <w:rsid w:val="00CF6307"/>
    <w:rsid w:val="00CF68E7"/>
    <w:rsid w:val="00CF727C"/>
    <w:rsid w:val="00CF743D"/>
    <w:rsid w:val="00CF7545"/>
    <w:rsid w:val="00CF7F2D"/>
    <w:rsid w:val="00D00204"/>
    <w:rsid w:val="00D00671"/>
    <w:rsid w:val="00D00A85"/>
    <w:rsid w:val="00D00AC3"/>
    <w:rsid w:val="00D00C48"/>
    <w:rsid w:val="00D00E6A"/>
    <w:rsid w:val="00D0161C"/>
    <w:rsid w:val="00D0271B"/>
    <w:rsid w:val="00D03577"/>
    <w:rsid w:val="00D03A9A"/>
    <w:rsid w:val="00D04035"/>
    <w:rsid w:val="00D045BC"/>
    <w:rsid w:val="00D0609C"/>
    <w:rsid w:val="00D06537"/>
    <w:rsid w:val="00D069E7"/>
    <w:rsid w:val="00D10288"/>
    <w:rsid w:val="00D103EC"/>
    <w:rsid w:val="00D10F00"/>
    <w:rsid w:val="00D11783"/>
    <w:rsid w:val="00D11A68"/>
    <w:rsid w:val="00D120AB"/>
    <w:rsid w:val="00D1299B"/>
    <w:rsid w:val="00D12BE4"/>
    <w:rsid w:val="00D13143"/>
    <w:rsid w:val="00D14359"/>
    <w:rsid w:val="00D145E1"/>
    <w:rsid w:val="00D149E6"/>
    <w:rsid w:val="00D14AB9"/>
    <w:rsid w:val="00D14AC6"/>
    <w:rsid w:val="00D153F3"/>
    <w:rsid w:val="00D1605B"/>
    <w:rsid w:val="00D164B5"/>
    <w:rsid w:val="00D1662A"/>
    <w:rsid w:val="00D16635"/>
    <w:rsid w:val="00D16B26"/>
    <w:rsid w:val="00D17EE8"/>
    <w:rsid w:val="00D20CAB"/>
    <w:rsid w:val="00D2105E"/>
    <w:rsid w:val="00D214DB"/>
    <w:rsid w:val="00D2161C"/>
    <w:rsid w:val="00D2168C"/>
    <w:rsid w:val="00D21B0F"/>
    <w:rsid w:val="00D21B27"/>
    <w:rsid w:val="00D2257C"/>
    <w:rsid w:val="00D22803"/>
    <w:rsid w:val="00D22A91"/>
    <w:rsid w:val="00D24142"/>
    <w:rsid w:val="00D2450C"/>
    <w:rsid w:val="00D24534"/>
    <w:rsid w:val="00D24E44"/>
    <w:rsid w:val="00D24F95"/>
    <w:rsid w:val="00D25D9E"/>
    <w:rsid w:val="00D25E49"/>
    <w:rsid w:val="00D25E7B"/>
    <w:rsid w:val="00D263B8"/>
    <w:rsid w:val="00D32886"/>
    <w:rsid w:val="00D3576D"/>
    <w:rsid w:val="00D358DB"/>
    <w:rsid w:val="00D36308"/>
    <w:rsid w:val="00D36436"/>
    <w:rsid w:val="00D36828"/>
    <w:rsid w:val="00D36B85"/>
    <w:rsid w:val="00D37001"/>
    <w:rsid w:val="00D37532"/>
    <w:rsid w:val="00D37538"/>
    <w:rsid w:val="00D377E8"/>
    <w:rsid w:val="00D402F0"/>
    <w:rsid w:val="00D40565"/>
    <w:rsid w:val="00D41138"/>
    <w:rsid w:val="00D41163"/>
    <w:rsid w:val="00D4125D"/>
    <w:rsid w:val="00D420AA"/>
    <w:rsid w:val="00D43B70"/>
    <w:rsid w:val="00D444FE"/>
    <w:rsid w:val="00D44C8E"/>
    <w:rsid w:val="00D4598C"/>
    <w:rsid w:val="00D45B46"/>
    <w:rsid w:val="00D46052"/>
    <w:rsid w:val="00D47D3E"/>
    <w:rsid w:val="00D500D8"/>
    <w:rsid w:val="00D505EC"/>
    <w:rsid w:val="00D50ACE"/>
    <w:rsid w:val="00D51298"/>
    <w:rsid w:val="00D51DCB"/>
    <w:rsid w:val="00D52185"/>
    <w:rsid w:val="00D52539"/>
    <w:rsid w:val="00D5382D"/>
    <w:rsid w:val="00D54407"/>
    <w:rsid w:val="00D548B2"/>
    <w:rsid w:val="00D557A7"/>
    <w:rsid w:val="00D55A2F"/>
    <w:rsid w:val="00D55FC5"/>
    <w:rsid w:val="00D560A2"/>
    <w:rsid w:val="00D56202"/>
    <w:rsid w:val="00D562C9"/>
    <w:rsid w:val="00D5645E"/>
    <w:rsid w:val="00D566ED"/>
    <w:rsid w:val="00D5762C"/>
    <w:rsid w:val="00D57955"/>
    <w:rsid w:val="00D603A2"/>
    <w:rsid w:val="00D60EFB"/>
    <w:rsid w:val="00D60F19"/>
    <w:rsid w:val="00D61587"/>
    <w:rsid w:val="00D621DB"/>
    <w:rsid w:val="00D624CF"/>
    <w:rsid w:val="00D626B9"/>
    <w:rsid w:val="00D62904"/>
    <w:rsid w:val="00D6312C"/>
    <w:rsid w:val="00D63462"/>
    <w:rsid w:val="00D63DEC"/>
    <w:rsid w:val="00D640F2"/>
    <w:rsid w:val="00D642D5"/>
    <w:rsid w:val="00D648EB"/>
    <w:rsid w:val="00D64A65"/>
    <w:rsid w:val="00D65452"/>
    <w:rsid w:val="00D65CB9"/>
    <w:rsid w:val="00D65ECF"/>
    <w:rsid w:val="00D66B5E"/>
    <w:rsid w:val="00D67327"/>
    <w:rsid w:val="00D6783C"/>
    <w:rsid w:val="00D67CD3"/>
    <w:rsid w:val="00D67E1C"/>
    <w:rsid w:val="00D701C3"/>
    <w:rsid w:val="00D70328"/>
    <w:rsid w:val="00D71C71"/>
    <w:rsid w:val="00D722BC"/>
    <w:rsid w:val="00D7266C"/>
    <w:rsid w:val="00D73776"/>
    <w:rsid w:val="00D73C68"/>
    <w:rsid w:val="00D73CE5"/>
    <w:rsid w:val="00D73D1D"/>
    <w:rsid w:val="00D740A5"/>
    <w:rsid w:val="00D740EF"/>
    <w:rsid w:val="00D748A9"/>
    <w:rsid w:val="00D7576F"/>
    <w:rsid w:val="00D75930"/>
    <w:rsid w:val="00D75F93"/>
    <w:rsid w:val="00D762D2"/>
    <w:rsid w:val="00D766A4"/>
    <w:rsid w:val="00D767DB"/>
    <w:rsid w:val="00D767E7"/>
    <w:rsid w:val="00D76B0C"/>
    <w:rsid w:val="00D76B23"/>
    <w:rsid w:val="00D76D62"/>
    <w:rsid w:val="00D77D42"/>
    <w:rsid w:val="00D77F6B"/>
    <w:rsid w:val="00D81552"/>
    <w:rsid w:val="00D83289"/>
    <w:rsid w:val="00D83CC1"/>
    <w:rsid w:val="00D83E0B"/>
    <w:rsid w:val="00D84642"/>
    <w:rsid w:val="00D86313"/>
    <w:rsid w:val="00D86873"/>
    <w:rsid w:val="00D86D2C"/>
    <w:rsid w:val="00D86E08"/>
    <w:rsid w:val="00D8731E"/>
    <w:rsid w:val="00D87ACC"/>
    <w:rsid w:val="00D87F0A"/>
    <w:rsid w:val="00D90511"/>
    <w:rsid w:val="00D90CDC"/>
    <w:rsid w:val="00D90F37"/>
    <w:rsid w:val="00D912D9"/>
    <w:rsid w:val="00D91386"/>
    <w:rsid w:val="00D91DDC"/>
    <w:rsid w:val="00D93101"/>
    <w:rsid w:val="00D938E0"/>
    <w:rsid w:val="00D93AC9"/>
    <w:rsid w:val="00D93F51"/>
    <w:rsid w:val="00D94063"/>
    <w:rsid w:val="00D945AB"/>
    <w:rsid w:val="00D9460D"/>
    <w:rsid w:val="00D948D6"/>
    <w:rsid w:val="00D94CA9"/>
    <w:rsid w:val="00D954B7"/>
    <w:rsid w:val="00D95639"/>
    <w:rsid w:val="00D95805"/>
    <w:rsid w:val="00D95CEA"/>
    <w:rsid w:val="00D96C8C"/>
    <w:rsid w:val="00DA0146"/>
    <w:rsid w:val="00DA0FAD"/>
    <w:rsid w:val="00DA1617"/>
    <w:rsid w:val="00DA18BB"/>
    <w:rsid w:val="00DA196B"/>
    <w:rsid w:val="00DA1AE7"/>
    <w:rsid w:val="00DA1EB4"/>
    <w:rsid w:val="00DA1FFF"/>
    <w:rsid w:val="00DA28F4"/>
    <w:rsid w:val="00DA2E36"/>
    <w:rsid w:val="00DA3016"/>
    <w:rsid w:val="00DA3505"/>
    <w:rsid w:val="00DA38C2"/>
    <w:rsid w:val="00DA4948"/>
    <w:rsid w:val="00DA49F9"/>
    <w:rsid w:val="00DA4A9E"/>
    <w:rsid w:val="00DA5039"/>
    <w:rsid w:val="00DA55ED"/>
    <w:rsid w:val="00DA59C4"/>
    <w:rsid w:val="00DA5AB4"/>
    <w:rsid w:val="00DA5BEB"/>
    <w:rsid w:val="00DA5DF5"/>
    <w:rsid w:val="00DA602F"/>
    <w:rsid w:val="00DA610F"/>
    <w:rsid w:val="00DA6206"/>
    <w:rsid w:val="00DA6640"/>
    <w:rsid w:val="00DA667D"/>
    <w:rsid w:val="00DA746A"/>
    <w:rsid w:val="00DA7872"/>
    <w:rsid w:val="00DA7F3F"/>
    <w:rsid w:val="00DB0C79"/>
    <w:rsid w:val="00DB16AF"/>
    <w:rsid w:val="00DB21C6"/>
    <w:rsid w:val="00DB2CE9"/>
    <w:rsid w:val="00DB4204"/>
    <w:rsid w:val="00DB4C44"/>
    <w:rsid w:val="00DB5152"/>
    <w:rsid w:val="00DB59B9"/>
    <w:rsid w:val="00DB5B8C"/>
    <w:rsid w:val="00DB5D85"/>
    <w:rsid w:val="00DB6E8D"/>
    <w:rsid w:val="00DB723C"/>
    <w:rsid w:val="00DB768F"/>
    <w:rsid w:val="00DB77EB"/>
    <w:rsid w:val="00DB7992"/>
    <w:rsid w:val="00DC048A"/>
    <w:rsid w:val="00DC0616"/>
    <w:rsid w:val="00DC0964"/>
    <w:rsid w:val="00DC0E48"/>
    <w:rsid w:val="00DC0E6F"/>
    <w:rsid w:val="00DC0E7E"/>
    <w:rsid w:val="00DC119B"/>
    <w:rsid w:val="00DC19CB"/>
    <w:rsid w:val="00DC1B74"/>
    <w:rsid w:val="00DC1C93"/>
    <w:rsid w:val="00DC29B8"/>
    <w:rsid w:val="00DC2D5D"/>
    <w:rsid w:val="00DC39B4"/>
    <w:rsid w:val="00DC40B0"/>
    <w:rsid w:val="00DC4E00"/>
    <w:rsid w:val="00DC51EF"/>
    <w:rsid w:val="00DC55D0"/>
    <w:rsid w:val="00DC5D88"/>
    <w:rsid w:val="00DC6971"/>
    <w:rsid w:val="00DC6F2A"/>
    <w:rsid w:val="00DC7429"/>
    <w:rsid w:val="00DC775E"/>
    <w:rsid w:val="00DC777B"/>
    <w:rsid w:val="00DC792B"/>
    <w:rsid w:val="00DC7F56"/>
    <w:rsid w:val="00DD06A7"/>
    <w:rsid w:val="00DD0A46"/>
    <w:rsid w:val="00DD0B86"/>
    <w:rsid w:val="00DD0D79"/>
    <w:rsid w:val="00DD114F"/>
    <w:rsid w:val="00DD1219"/>
    <w:rsid w:val="00DD1B7B"/>
    <w:rsid w:val="00DD31D2"/>
    <w:rsid w:val="00DD3279"/>
    <w:rsid w:val="00DD3BEF"/>
    <w:rsid w:val="00DD3FE3"/>
    <w:rsid w:val="00DD4124"/>
    <w:rsid w:val="00DD460A"/>
    <w:rsid w:val="00DD4618"/>
    <w:rsid w:val="00DD58E3"/>
    <w:rsid w:val="00DD629C"/>
    <w:rsid w:val="00DD69C0"/>
    <w:rsid w:val="00DD69F2"/>
    <w:rsid w:val="00DD770D"/>
    <w:rsid w:val="00DD7D11"/>
    <w:rsid w:val="00DE01E7"/>
    <w:rsid w:val="00DE0D08"/>
    <w:rsid w:val="00DE173D"/>
    <w:rsid w:val="00DE1780"/>
    <w:rsid w:val="00DE1812"/>
    <w:rsid w:val="00DE19B6"/>
    <w:rsid w:val="00DE1BE7"/>
    <w:rsid w:val="00DE2BEF"/>
    <w:rsid w:val="00DE2EA4"/>
    <w:rsid w:val="00DE373D"/>
    <w:rsid w:val="00DE4458"/>
    <w:rsid w:val="00DE45A0"/>
    <w:rsid w:val="00DE4783"/>
    <w:rsid w:val="00DE4A3B"/>
    <w:rsid w:val="00DE6145"/>
    <w:rsid w:val="00DE68E4"/>
    <w:rsid w:val="00DE771A"/>
    <w:rsid w:val="00DE779C"/>
    <w:rsid w:val="00DF04F5"/>
    <w:rsid w:val="00DF1616"/>
    <w:rsid w:val="00DF168C"/>
    <w:rsid w:val="00DF1806"/>
    <w:rsid w:val="00DF308C"/>
    <w:rsid w:val="00DF32EA"/>
    <w:rsid w:val="00DF3687"/>
    <w:rsid w:val="00DF4129"/>
    <w:rsid w:val="00DF46FF"/>
    <w:rsid w:val="00DF4988"/>
    <w:rsid w:val="00DF4CC4"/>
    <w:rsid w:val="00DF4F51"/>
    <w:rsid w:val="00DF5151"/>
    <w:rsid w:val="00DF5C29"/>
    <w:rsid w:val="00DF5D4E"/>
    <w:rsid w:val="00DF5E18"/>
    <w:rsid w:val="00DF5E64"/>
    <w:rsid w:val="00DF628E"/>
    <w:rsid w:val="00DF7AC6"/>
    <w:rsid w:val="00E00850"/>
    <w:rsid w:val="00E00971"/>
    <w:rsid w:val="00E015CF"/>
    <w:rsid w:val="00E0177A"/>
    <w:rsid w:val="00E027C5"/>
    <w:rsid w:val="00E0497C"/>
    <w:rsid w:val="00E049F2"/>
    <w:rsid w:val="00E04E64"/>
    <w:rsid w:val="00E05ADF"/>
    <w:rsid w:val="00E05FB2"/>
    <w:rsid w:val="00E065E2"/>
    <w:rsid w:val="00E06897"/>
    <w:rsid w:val="00E06B3B"/>
    <w:rsid w:val="00E06FFA"/>
    <w:rsid w:val="00E06FFF"/>
    <w:rsid w:val="00E07163"/>
    <w:rsid w:val="00E073FD"/>
    <w:rsid w:val="00E07411"/>
    <w:rsid w:val="00E07615"/>
    <w:rsid w:val="00E07C8E"/>
    <w:rsid w:val="00E07F6F"/>
    <w:rsid w:val="00E1020E"/>
    <w:rsid w:val="00E1049E"/>
    <w:rsid w:val="00E1071D"/>
    <w:rsid w:val="00E1354D"/>
    <w:rsid w:val="00E135EF"/>
    <w:rsid w:val="00E1365A"/>
    <w:rsid w:val="00E138BC"/>
    <w:rsid w:val="00E1411A"/>
    <w:rsid w:val="00E1434A"/>
    <w:rsid w:val="00E1469F"/>
    <w:rsid w:val="00E14A91"/>
    <w:rsid w:val="00E14ECE"/>
    <w:rsid w:val="00E153EC"/>
    <w:rsid w:val="00E15ACA"/>
    <w:rsid w:val="00E16545"/>
    <w:rsid w:val="00E20583"/>
    <w:rsid w:val="00E20BA0"/>
    <w:rsid w:val="00E2110F"/>
    <w:rsid w:val="00E21154"/>
    <w:rsid w:val="00E219D8"/>
    <w:rsid w:val="00E22412"/>
    <w:rsid w:val="00E23990"/>
    <w:rsid w:val="00E2415B"/>
    <w:rsid w:val="00E24672"/>
    <w:rsid w:val="00E24BF9"/>
    <w:rsid w:val="00E24E7F"/>
    <w:rsid w:val="00E25209"/>
    <w:rsid w:val="00E254F5"/>
    <w:rsid w:val="00E273C0"/>
    <w:rsid w:val="00E27721"/>
    <w:rsid w:val="00E3288F"/>
    <w:rsid w:val="00E3318E"/>
    <w:rsid w:val="00E3428D"/>
    <w:rsid w:val="00E355BD"/>
    <w:rsid w:val="00E35A1E"/>
    <w:rsid w:val="00E3662E"/>
    <w:rsid w:val="00E36DC6"/>
    <w:rsid w:val="00E37703"/>
    <w:rsid w:val="00E377A2"/>
    <w:rsid w:val="00E377C9"/>
    <w:rsid w:val="00E37967"/>
    <w:rsid w:val="00E406AC"/>
    <w:rsid w:val="00E40715"/>
    <w:rsid w:val="00E411D3"/>
    <w:rsid w:val="00E424AA"/>
    <w:rsid w:val="00E4279C"/>
    <w:rsid w:val="00E428C8"/>
    <w:rsid w:val="00E43691"/>
    <w:rsid w:val="00E43909"/>
    <w:rsid w:val="00E43C37"/>
    <w:rsid w:val="00E43DC2"/>
    <w:rsid w:val="00E44126"/>
    <w:rsid w:val="00E4443F"/>
    <w:rsid w:val="00E44A84"/>
    <w:rsid w:val="00E44FE2"/>
    <w:rsid w:val="00E45554"/>
    <w:rsid w:val="00E45704"/>
    <w:rsid w:val="00E4588A"/>
    <w:rsid w:val="00E45947"/>
    <w:rsid w:val="00E45D30"/>
    <w:rsid w:val="00E46068"/>
    <w:rsid w:val="00E46A5F"/>
    <w:rsid w:val="00E46C09"/>
    <w:rsid w:val="00E47013"/>
    <w:rsid w:val="00E47C11"/>
    <w:rsid w:val="00E508C4"/>
    <w:rsid w:val="00E50DB4"/>
    <w:rsid w:val="00E50DE4"/>
    <w:rsid w:val="00E51D14"/>
    <w:rsid w:val="00E52A75"/>
    <w:rsid w:val="00E54808"/>
    <w:rsid w:val="00E54FC7"/>
    <w:rsid w:val="00E55127"/>
    <w:rsid w:val="00E552C4"/>
    <w:rsid w:val="00E55BF6"/>
    <w:rsid w:val="00E55DE4"/>
    <w:rsid w:val="00E55DF3"/>
    <w:rsid w:val="00E56AE7"/>
    <w:rsid w:val="00E56D56"/>
    <w:rsid w:val="00E570B3"/>
    <w:rsid w:val="00E57E3D"/>
    <w:rsid w:val="00E60435"/>
    <w:rsid w:val="00E604F9"/>
    <w:rsid w:val="00E607E4"/>
    <w:rsid w:val="00E60F74"/>
    <w:rsid w:val="00E61626"/>
    <w:rsid w:val="00E61B8E"/>
    <w:rsid w:val="00E6207F"/>
    <w:rsid w:val="00E62308"/>
    <w:rsid w:val="00E6392D"/>
    <w:rsid w:val="00E641AB"/>
    <w:rsid w:val="00E6472E"/>
    <w:rsid w:val="00E647AC"/>
    <w:rsid w:val="00E65922"/>
    <w:rsid w:val="00E65A38"/>
    <w:rsid w:val="00E65B9D"/>
    <w:rsid w:val="00E66583"/>
    <w:rsid w:val="00E66676"/>
    <w:rsid w:val="00E6672A"/>
    <w:rsid w:val="00E66949"/>
    <w:rsid w:val="00E66A21"/>
    <w:rsid w:val="00E670AA"/>
    <w:rsid w:val="00E67446"/>
    <w:rsid w:val="00E67766"/>
    <w:rsid w:val="00E7061A"/>
    <w:rsid w:val="00E71405"/>
    <w:rsid w:val="00E71ECE"/>
    <w:rsid w:val="00E71F74"/>
    <w:rsid w:val="00E724D7"/>
    <w:rsid w:val="00E727DA"/>
    <w:rsid w:val="00E735D1"/>
    <w:rsid w:val="00E746E2"/>
    <w:rsid w:val="00E7499F"/>
    <w:rsid w:val="00E74A4D"/>
    <w:rsid w:val="00E75757"/>
    <w:rsid w:val="00E75B27"/>
    <w:rsid w:val="00E75F3F"/>
    <w:rsid w:val="00E763C1"/>
    <w:rsid w:val="00E76D84"/>
    <w:rsid w:val="00E774D5"/>
    <w:rsid w:val="00E77C7D"/>
    <w:rsid w:val="00E80964"/>
    <w:rsid w:val="00E80A5C"/>
    <w:rsid w:val="00E812D3"/>
    <w:rsid w:val="00E818CB"/>
    <w:rsid w:val="00E81D03"/>
    <w:rsid w:val="00E82102"/>
    <w:rsid w:val="00E828D3"/>
    <w:rsid w:val="00E835CC"/>
    <w:rsid w:val="00E83E52"/>
    <w:rsid w:val="00E84641"/>
    <w:rsid w:val="00E84914"/>
    <w:rsid w:val="00E84AC4"/>
    <w:rsid w:val="00E85049"/>
    <w:rsid w:val="00E850E1"/>
    <w:rsid w:val="00E85255"/>
    <w:rsid w:val="00E86301"/>
    <w:rsid w:val="00E869A8"/>
    <w:rsid w:val="00E87A48"/>
    <w:rsid w:val="00E87B04"/>
    <w:rsid w:val="00E87DB0"/>
    <w:rsid w:val="00E902B9"/>
    <w:rsid w:val="00E9059E"/>
    <w:rsid w:val="00E90A9B"/>
    <w:rsid w:val="00E91915"/>
    <w:rsid w:val="00E92086"/>
    <w:rsid w:val="00E92DE6"/>
    <w:rsid w:val="00E93213"/>
    <w:rsid w:val="00E94808"/>
    <w:rsid w:val="00E94E69"/>
    <w:rsid w:val="00E9514F"/>
    <w:rsid w:val="00E95A85"/>
    <w:rsid w:val="00E96069"/>
    <w:rsid w:val="00E9619D"/>
    <w:rsid w:val="00E96411"/>
    <w:rsid w:val="00E97973"/>
    <w:rsid w:val="00EA0EBD"/>
    <w:rsid w:val="00EA1233"/>
    <w:rsid w:val="00EA12F9"/>
    <w:rsid w:val="00EA1BEB"/>
    <w:rsid w:val="00EA20F9"/>
    <w:rsid w:val="00EA2BE7"/>
    <w:rsid w:val="00EA2DE0"/>
    <w:rsid w:val="00EA47A3"/>
    <w:rsid w:val="00EA49C5"/>
    <w:rsid w:val="00EA4A0D"/>
    <w:rsid w:val="00EA5ED6"/>
    <w:rsid w:val="00EA69D8"/>
    <w:rsid w:val="00EA6C0A"/>
    <w:rsid w:val="00EA766B"/>
    <w:rsid w:val="00EA7AC9"/>
    <w:rsid w:val="00EB0089"/>
    <w:rsid w:val="00EB0580"/>
    <w:rsid w:val="00EB0B1C"/>
    <w:rsid w:val="00EB1339"/>
    <w:rsid w:val="00EB19E1"/>
    <w:rsid w:val="00EB2624"/>
    <w:rsid w:val="00EB2C3D"/>
    <w:rsid w:val="00EB3602"/>
    <w:rsid w:val="00EB3900"/>
    <w:rsid w:val="00EB3A99"/>
    <w:rsid w:val="00EB3C2A"/>
    <w:rsid w:val="00EB3D56"/>
    <w:rsid w:val="00EB41B2"/>
    <w:rsid w:val="00EB46DF"/>
    <w:rsid w:val="00EB485D"/>
    <w:rsid w:val="00EB4A59"/>
    <w:rsid w:val="00EB51D8"/>
    <w:rsid w:val="00EB56E8"/>
    <w:rsid w:val="00EB6AE9"/>
    <w:rsid w:val="00EB6D05"/>
    <w:rsid w:val="00EB7924"/>
    <w:rsid w:val="00EC00B7"/>
    <w:rsid w:val="00EC05B7"/>
    <w:rsid w:val="00EC078E"/>
    <w:rsid w:val="00EC0B7C"/>
    <w:rsid w:val="00EC0D44"/>
    <w:rsid w:val="00EC1462"/>
    <w:rsid w:val="00EC1596"/>
    <w:rsid w:val="00EC1BDB"/>
    <w:rsid w:val="00EC1CC0"/>
    <w:rsid w:val="00EC27E6"/>
    <w:rsid w:val="00EC3B86"/>
    <w:rsid w:val="00EC58DF"/>
    <w:rsid w:val="00EC6B5B"/>
    <w:rsid w:val="00EC71DC"/>
    <w:rsid w:val="00EC71F6"/>
    <w:rsid w:val="00EC735A"/>
    <w:rsid w:val="00ED0D67"/>
    <w:rsid w:val="00ED0F16"/>
    <w:rsid w:val="00ED10DD"/>
    <w:rsid w:val="00ED1203"/>
    <w:rsid w:val="00ED13AC"/>
    <w:rsid w:val="00ED1712"/>
    <w:rsid w:val="00ED251F"/>
    <w:rsid w:val="00ED2716"/>
    <w:rsid w:val="00ED279E"/>
    <w:rsid w:val="00ED28D2"/>
    <w:rsid w:val="00ED2F3D"/>
    <w:rsid w:val="00ED3149"/>
    <w:rsid w:val="00ED31AF"/>
    <w:rsid w:val="00ED37A8"/>
    <w:rsid w:val="00ED38F2"/>
    <w:rsid w:val="00ED3CED"/>
    <w:rsid w:val="00ED55A4"/>
    <w:rsid w:val="00ED58F7"/>
    <w:rsid w:val="00EE00CB"/>
    <w:rsid w:val="00EE0A8D"/>
    <w:rsid w:val="00EE16D4"/>
    <w:rsid w:val="00EE1D41"/>
    <w:rsid w:val="00EE230B"/>
    <w:rsid w:val="00EE29DB"/>
    <w:rsid w:val="00EE2CCE"/>
    <w:rsid w:val="00EE57CC"/>
    <w:rsid w:val="00EE57F7"/>
    <w:rsid w:val="00EE59E1"/>
    <w:rsid w:val="00EE5D8B"/>
    <w:rsid w:val="00EE5F39"/>
    <w:rsid w:val="00EE62FF"/>
    <w:rsid w:val="00EE6464"/>
    <w:rsid w:val="00EE72A9"/>
    <w:rsid w:val="00EE7625"/>
    <w:rsid w:val="00EE77AA"/>
    <w:rsid w:val="00EE7BD8"/>
    <w:rsid w:val="00EF0952"/>
    <w:rsid w:val="00EF0F3B"/>
    <w:rsid w:val="00EF2538"/>
    <w:rsid w:val="00EF2BF8"/>
    <w:rsid w:val="00EF2EB6"/>
    <w:rsid w:val="00EF3C0D"/>
    <w:rsid w:val="00EF3CBF"/>
    <w:rsid w:val="00EF5278"/>
    <w:rsid w:val="00EF58A4"/>
    <w:rsid w:val="00EF6A0A"/>
    <w:rsid w:val="00EF6D7B"/>
    <w:rsid w:val="00EF7A57"/>
    <w:rsid w:val="00F01057"/>
    <w:rsid w:val="00F018D3"/>
    <w:rsid w:val="00F01BA1"/>
    <w:rsid w:val="00F02077"/>
    <w:rsid w:val="00F025AD"/>
    <w:rsid w:val="00F02D58"/>
    <w:rsid w:val="00F03B41"/>
    <w:rsid w:val="00F041FC"/>
    <w:rsid w:val="00F04B61"/>
    <w:rsid w:val="00F050D2"/>
    <w:rsid w:val="00F0571F"/>
    <w:rsid w:val="00F05724"/>
    <w:rsid w:val="00F05A02"/>
    <w:rsid w:val="00F06C26"/>
    <w:rsid w:val="00F06C4B"/>
    <w:rsid w:val="00F079CA"/>
    <w:rsid w:val="00F07F04"/>
    <w:rsid w:val="00F101A7"/>
    <w:rsid w:val="00F1161F"/>
    <w:rsid w:val="00F11886"/>
    <w:rsid w:val="00F122D0"/>
    <w:rsid w:val="00F14809"/>
    <w:rsid w:val="00F14DB0"/>
    <w:rsid w:val="00F150EF"/>
    <w:rsid w:val="00F15342"/>
    <w:rsid w:val="00F157C5"/>
    <w:rsid w:val="00F15D26"/>
    <w:rsid w:val="00F15D36"/>
    <w:rsid w:val="00F1648F"/>
    <w:rsid w:val="00F1773E"/>
    <w:rsid w:val="00F20529"/>
    <w:rsid w:val="00F20C31"/>
    <w:rsid w:val="00F2106E"/>
    <w:rsid w:val="00F22C63"/>
    <w:rsid w:val="00F22FB7"/>
    <w:rsid w:val="00F23A7F"/>
    <w:rsid w:val="00F23F21"/>
    <w:rsid w:val="00F24355"/>
    <w:rsid w:val="00F25742"/>
    <w:rsid w:val="00F2665E"/>
    <w:rsid w:val="00F26D88"/>
    <w:rsid w:val="00F27128"/>
    <w:rsid w:val="00F30972"/>
    <w:rsid w:val="00F31054"/>
    <w:rsid w:val="00F31485"/>
    <w:rsid w:val="00F3168E"/>
    <w:rsid w:val="00F31EC5"/>
    <w:rsid w:val="00F32220"/>
    <w:rsid w:val="00F3231F"/>
    <w:rsid w:val="00F32529"/>
    <w:rsid w:val="00F32F0F"/>
    <w:rsid w:val="00F33288"/>
    <w:rsid w:val="00F337C4"/>
    <w:rsid w:val="00F33EAB"/>
    <w:rsid w:val="00F341FC"/>
    <w:rsid w:val="00F342C9"/>
    <w:rsid w:val="00F34565"/>
    <w:rsid w:val="00F34DDA"/>
    <w:rsid w:val="00F35228"/>
    <w:rsid w:val="00F355AB"/>
    <w:rsid w:val="00F35CDB"/>
    <w:rsid w:val="00F36007"/>
    <w:rsid w:val="00F3620B"/>
    <w:rsid w:val="00F362D0"/>
    <w:rsid w:val="00F373F5"/>
    <w:rsid w:val="00F37ABD"/>
    <w:rsid w:val="00F37C95"/>
    <w:rsid w:val="00F4013A"/>
    <w:rsid w:val="00F407B7"/>
    <w:rsid w:val="00F40911"/>
    <w:rsid w:val="00F40924"/>
    <w:rsid w:val="00F415C4"/>
    <w:rsid w:val="00F4278D"/>
    <w:rsid w:val="00F430BA"/>
    <w:rsid w:val="00F4396B"/>
    <w:rsid w:val="00F43A5E"/>
    <w:rsid w:val="00F43E07"/>
    <w:rsid w:val="00F4469C"/>
    <w:rsid w:val="00F469C6"/>
    <w:rsid w:val="00F46A27"/>
    <w:rsid w:val="00F46CF8"/>
    <w:rsid w:val="00F46F13"/>
    <w:rsid w:val="00F472E9"/>
    <w:rsid w:val="00F5026E"/>
    <w:rsid w:val="00F50283"/>
    <w:rsid w:val="00F50699"/>
    <w:rsid w:val="00F5091F"/>
    <w:rsid w:val="00F50D30"/>
    <w:rsid w:val="00F51596"/>
    <w:rsid w:val="00F515E6"/>
    <w:rsid w:val="00F518BC"/>
    <w:rsid w:val="00F53F34"/>
    <w:rsid w:val="00F547DA"/>
    <w:rsid w:val="00F54A00"/>
    <w:rsid w:val="00F54A55"/>
    <w:rsid w:val="00F554D3"/>
    <w:rsid w:val="00F561DD"/>
    <w:rsid w:val="00F56531"/>
    <w:rsid w:val="00F57628"/>
    <w:rsid w:val="00F576D7"/>
    <w:rsid w:val="00F57A0E"/>
    <w:rsid w:val="00F6068A"/>
    <w:rsid w:val="00F60DF3"/>
    <w:rsid w:val="00F61100"/>
    <w:rsid w:val="00F61B14"/>
    <w:rsid w:val="00F61F87"/>
    <w:rsid w:val="00F62805"/>
    <w:rsid w:val="00F62889"/>
    <w:rsid w:val="00F63589"/>
    <w:rsid w:val="00F63AFF"/>
    <w:rsid w:val="00F63BD0"/>
    <w:rsid w:val="00F640C5"/>
    <w:rsid w:val="00F6493A"/>
    <w:rsid w:val="00F65B3D"/>
    <w:rsid w:val="00F6608E"/>
    <w:rsid w:val="00F66E92"/>
    <w:rsid w:val="00F67558"/>
    <w:rsid w:val="00F67CA5"/>
    <w:rsid w:val="00F70FE1"/>
    <w:rsid w:val="00F71132"/>
    <w:rsid w:val="00F7115E"/>
    <w:rsid w:val="00F716C5"/>
    <w:rsid w:val="00F71AD7"/>
    <w:rsid w:val="00F721B4"/>
    <w:rsid w:val="00F727E7"/>
    <w:rsid w:val="00F72D2E"/>
    <w:rsid w:val="00F73008"/>
    <w:rsid w:val="00F730C2"/>
    <w:rsid w:val="00F73311"/>
    <w:rsid w:val="00F734DA"/>
    <w:rsid w:val="00F737A8"/>
    <w:rsid w:val="00F74FCB"/>
    <w:rsid w:val="00F75101"/>
    <w:rsid w:val="00F75B7F"/>
    <w:rsid w:val="00F75C69"/>
    <w:rsid w:val="00F763CE"/>
    <w:rsid w:val="00F764C3"/>
    <w:rsid w:val="00F766C9"/>
    <w:rsid w:val="00F775D8"/>
    <w:rsid w:val="00F77993"/>
    <w:rsid w:val="00F77EBE"/>
    <w:rsid w:val="00F77ECF"/>
    <w:rsid w:val="00F80285"/>
    <w:rsid w:val="00F80C7D"/>
    <w:rsid w:val="00F80D44"/>
    <w:rsid w:val="00F81569"/>
    <w:rsid w:val="00F81B54"/>
    <w:rsid w:val="00F83972"/>
    <w:rsid w:val="00F84749"/>
    <w:rsid w:val="00F84D71"/>
    <w:rsid w:val="00F852A0"/>
    <w:rsid w:val="00F8587C"/>
    <w:rsid w:val="00F865C3"/>
    <w:rsid w:val="00F866EE"/>
    <w:rsid w:val="00F8675C"/>
    <w:rsid w:val="00F87A8F"/>
    <w:rsid w:val="00F901EF"/>
    <w:rsid w:val="00F90B4F"/>
    <w:rsid w:val="00F90B92"/>
    <w:rsid w:val="00F91A43"/>
    <w:rsid w:val="00F91BB6"/>
    <w:rsid w:val="00F92877"/>
    <w:rsid w:val="00F93FB9"/>
    <w:rsid w:val="00F942B2"/>
    <w:rsid w:val="00F9469C"/>
    <w:rsid w:val="00F9492A"/>
    <w:rsid w:val="00F94A5B"/>
    <w:rsid w:val="00F94B2F"/>
    <w:rsid w:val="00F94B40"/>
    <w:rsid w:val="00F9511A"/>
    <w:rsid w:val="00F95926"/>
    <w:rsid w:val="00F96179"/>
    <w:rsid w:val="00F9624C"/>
    <w:rsid w:val="00F96E00"/>
    <w:rsid w:val="00F97466"/>
    <w:rsid w:val="00F97696"/>
    <w:rsid w:val="00F97C1D"/>
    <w:rsid w:val="00FA0A57"/>
    <w:rsid w:val="00FA0C3A"/>
    <w:rsid w:val="00FA0CC2"/>
    <w:rsid w:val="00FA0F57"/>
    <w:rsid w:val="00FA0FBB"/>
    <w:rsid w:val="00FA1081"/>
    <w:rsid w:val="00FA1F84"/>
    <w:rsid w:val="00FA20E9"/>
    <w:rsid w:val="00FA2351"/>
    <w:rsid w:val="00FA25E0"/>
    <w:rsid w:val="00FA2858"/>
    <w:rsid w:val="00FA4645"/>
    <w:rsid w:val="00FA4E22"/>
    <w:rsid w:val="00FA550F"/>
    <w:rsid w:val="00FA6069"/>
    <w:rsid w:val="00FA6184"/>
    <w:rsid w:val="00FA6F0F"/>
    <w:rsid w:val="00FA744E"/>
    <w:rsid w:val="00FA7733"/>
    <w:rsid w:val="00FA7FBB"/>
    <w:rsid w:val="00FB0581"/>
    <w:rsid w:val="00FB1B21"/>
    <w:rsid w:val="00FB1E2E"/>
    <w:rsid w:val="00FB2426"/>
    <w:rsid w:val="00FB3AC2"/>
    <w:rsid w:val="00FB428D"/>
    <w:rsid w:val="00FB4F13"/>
    <w:rsid w:val="00FB58C5"/>
    <w:rsid w:val="00FB5CBE"/>
    <w:rsid w:val="00FB5CC8"/>
    <w:rsid w:val="00FB5F3A"/>
    <w:rsid w:val="00FB60E9"/>
    <w:rsid w:val="00FB67B0"/>
    <w:rsid w:val="00FB68C1"/>
    <w:rsid w:val="00FC0156"/>
    <w:rsid w:val="00FC0218"/>
    <w:rsid w:val="00FC0310"/>
    <w:rsid w:val="00FC03DE"/>
    <w:rsid w:val="00FC0F2E"/>
    <w:rsid w:val="00FC12B6"/>
    <w:rsid w:val="00FC1782"/>
    <w:rsid w:val="00FC1C7D"/>
    <w:rsid w:val="00FC20BF"/>
    <w:rsid w:val="00FC2100"/>
    <w:rsid w:val="00FC27E6"/>
    <w:rsid w:val="00FC3032"/>
    <w:rsid w:val="00FC31D0"/>
    <w:rsid w:val="00FC3217"/>
    <w:rsid w:val="00FC4762"/>
    <w:rsid w:val="00FC4BBB"/>
    <w:rsid w:val="00FC4D8E"/>
    <w:rsid w:val="00FC57A9"/>
    <w:rsid w:val="00FC6101"/>
    <w:rsid w:val="00FC66B7"/>
    <w:rsid w:val="00FC6760"/>
    <w:rsid w:val="00FC6B7B"/>
    <w:rsid w:val="00FC7012"/>
    <w:rsid w:val="00FC7757"/>
    <w:rsid w:val="00FC7CB9"/>
    <w:rsid w:val="00FD0468"/>
    <w:rsid w:val="00FD09CC"/>
    <w:rsid w:val="00FD17C9"/>
    <w:rsid w:val="00FD274D"/>
    <w:rsid w:val="00FD3352"/>
    <w:rsid w:val="00FD40B2"/>
    <w:rsid w:val="00FD4553"/>
    <w:rsid w:val="00FD4A4A"/>
    <w:rsid w:val="00FD5AA8"/>
    <w:rsid w:val="00FD5D35"/>
    <w:rsid w:val="00FD5FD9"/>
    <w:rsid w:val="00FD61F1"/>
    <w:rsid w:val="00FD643F"/>
    <w:rsid w:val="00FD6E77"/>
    <w:rsid w:val="00FD7504"/>
    <w:rsid w:val="00FD7797"/>
    <w:rsid w:val="00FE0C10"/>
    <w:rsid w:val="00FE131E"/>
    <w:rsid w:val="00FE1897"/>
    <w:rsid w:val="00FE1B51"/>
    <w:rsid w:val="00FE1EBC"/>
    <w:rsid w:val="00FE2170"/>
    <w:rsid w:val="00FE264F"/>
    <w:rsid w:val="00FE2BC5"/>
    <w:rsid w:val="00FE2F17"/>
    <w:rsid w:val="00FE3729"/>
    <w:rsid w:val="00FE40EC"/>
    <w:rsid w:val="00FE48F0"/>
    <w:rsid w:val="00FE4A29"/>
    <w:rsid w:val="00FE53D9"/>
    <w:rsid w:val="00FE5516"/>
    <w:rsid w:val="00FE5862"/>
    <w:rsid w:val="00FE5948"/>
    <w:rsid w:val="00FE6023"/>
    <w:rsid w:val="00FE6D37"/>
    <w:rsid w:val="00FE7838"/>
    <w:rsid w:val="00FE7986"/>
    <w:rsid w:val="00FE7C8A"/>
    <w:rsid w:val="00FE7CB0"/>
    <w:rsid w:val="00FE7D4D"/>
    <w:rsid w:val="00FF006D"/>
    <w:rsid w:val="00FF0709"/>
    <w:rsid w:val="00FF08C8"/>
    <w:rsid w:val="00FF0925"/>
    <w:rsid w:val="00FF0B85"/>
    <w:rsid w:val="00FF0FB6"/>
    <w:rsid w:val="00FF1889"/>
    <w:rsid w:val="00FF212C"/>
    <w:rsid w:val="00FF2A69"/>
    <w:rsid w:val="00FF4E20"/>
    <w:rsid w:val="00FF53ED"/>
    <w:rsid w:val="00FF649A"/>
    <w:rsid w:val="00FF6E0A"/>
    <w:rsid w:val="00FF7367"/>
    <w:rsid w:val="00FF7383"/>
    <w:rsid w:val="00FF7407"/>
    <w:rsid w:val="00FF7EE1"/>
    <w:rsid w:val="011C07DF"/>
    <w:rsid w:val="011C626C"/>
    <w:rsid w:val="01325FE6"/>
    <w:rsid w:val="01376E0A"/>
    <w:rsid w:val="01474EA6"/>
    <w:rsid w:val="014B38AD"/>
    <w:rsid w:val="015654C1"/>
    <w:rsid w:val="016C1863"/>
    <w:rsid w:val="017F0884"/>
    <w:rsid w:val="01826F51"/>
    <w:rsid w:val="01BE5DEA"/>
    <w:rsid w:val="01C436B3"/>
    <w:rsid w:val="01D3250C"/>
    <w:rsid w:val="01DD4D72"/>
    <w:rsid w:val="01DF79C5"/>
    <w:rsid w:val="01FB23CB"/>
    <w:rsid w:val="020E6655"/>
    <w:rsid w:val="02285570"/>
    <w:rsid w:val="022E1921"/>
    <w:rsid w:val="025575E2"/>
    <w:rsid w:val="02595FE8"/>
    <w:rsid w:val="026A241D"/>
    <w:rsid w:val="028710B6"/>
    <w:rsid w:val="0287124F"/>
    <w:rsid w:val="02971350"/>
    <w:rsid w:val="02A35163"/>
    <w:rsid w:val="02A7386D"/>
    <w:rsid w:val="02B844DC"/>
    <w:rsid w:val="02D87757"/>
    <w:rsid w:val="02E845D2"/>
    <w:rsid w:val="0314419D"/>
    <w:rsid w:val="035A6E90"/>
    <w:rsid w:val="03AE0B18"/>
    <w:rsid w:val="03B1713F"/>
    <w:rsid w:val="03FA7913"/>
    <w:rsid w:val="04055894"/>
    <w:rsid w:val="04087A6A"/>
    <w:rsid w:val="040E7491"/>
    <w:rsid w:val="04174CC4"/>
    <w:rsid w:val="041B36CB"/>
    <w:rsid w:val="041E2451"/>
    <w:rsid w:val="04472A79"/>
    <w:rsid w:val="04563557"/>
    <w:rsid w:val="0491110B"/>
    <w:rsid w:val="04926F71"/>
    <w:rsid w:val="04A967B2"/>
    <w:rsid w:val="04BB1F4F"/>
    <w:rsid w:val="04C602E0"/>
    <w:rsid w:val="04D035F5"/>
    <w:rsid w:val="04DB0285"/>
    <w:rsid w:val="050A5551"/>
    <w:rsid w:val="051D4572"/>
    <w:rsid w:val="0531798F"/>
    <w:rsid w:val="053945F9"/>
    <w:rsid w:val="05411EB8"/>
    <w:rsid w:val="05420F2F"/>
    <w:rsid w:val="054D4366"/>
    <w:rsid w:val="055943D7"/>
    <w:rsid w:val="056A0DEE"/>
    <w:rsid w:val="0583779A"/>
    <w:rsid w:val="05B559EA"/>
    <w:rsid w:val="05BA78F4"/>
    <w:rsid w:val="05E75273"/>
    <w:rsid w:val="05ED100C"/>
    <w:rsid w:val="05F30D52"/>
    <w:rsid w:val="063901C2"/>
    <w:rsid w:val="065F5E83"/>
    <w:rsid w:val="0683733C"/>
    <w:rsid w:val="068505DF"/>
    <w:rsid w:val="068715C6"/>
    <w:rsid w:val="06891246"/>
    <w:rsid w:val="068E19BA"/>
    <w:rsid w:val="06A27BF1"/>
    <w:rsid w:val="06AF6F07"/>
    <w:rsid w:val="06B27E8C"/>
    <w:rsid w:val="06B93F93"/>
    <w:rsid w:val="06C013A0"/>
    <w:rsid w:val="06DA5222"/>
    <w:rsid w:val="06E3065B"/>
    <w:rsid w:val="06E70556"/>
    <w:rsid w:val="07365808"/>
    <w:rsid w:val="075309AC"/>
    <w:rsid w:val="076654CA"/>
    <w:rsid w:val="076F4158"/>
    <w:rsid w:val="077730CD"/>
    <w:rsid w:val="078B23B3"/>
    <w:rsid w:val="079F680F"/>
    <w:rsid w:val="07A6619A"/>
    <w:rsid w:val="07C81BD2"/>
    <w:rsid w:val="07C923BB"/>
    <w:rsid w:val="07D371FC"/>
    <w:rsid w:val="07EB560A"/>
    <w:rsid w:val="07F91018"/>
    <w:rsid w:val="081F5E64"/>
    <w:rsid w:val="08246A68"/>
    <w:rsid w:val="082657EF"/>
    <w:rsid w:val="084954E5"/>
    <w:rsid w:val="084B2FB2"/>
    <w:rsid w:val="085D4644"/>
    <w:rsid w:val="08853C86"/>
    <w:rsid w:val="088F6118"/>
    <w:rsid w:val="089A1F2A"/>
    <w:rsid w:val="08A81240"/>
    <w:rsid w:val="08A92545"/>
    <w:rsid w:val="08B63DD9"/>
    <w:rsid w:val="08B7185B"/>
    <w:rsid w:val="08B84D5E"/>
    <w:rsid w:val="08CC5F7D"/>
    <w:rsid w:val="08F66DC1"/>
    <w:rsid w:val="08FA50E4"/>
    <w:rsid w:val="0972418C"/>
    <w:rsid w:val="09880942"/>
    <w:rsid w:val="09A4362E"/>
    <w:rsid w:val="09A45050"/>
    <w:rsid w:val="09BC1108"/>
    <w:rsid w:val="09DF629D"/>
    <w:rsid w:val="0A2552B4"/>
    <w:rsid w:val="0A2A0E00"/>
    <w:rsid w:val="0A3D4AA2"/>
    <w:rsid w:val="0A3E25DB"/>
    <w:rsid w:val="0A565A84"/>
    <w:rsid w:val="0A583185"/>
    <w:rsid w:val="0A5D7710"/>
    <w:rsid w:val="0A7E6C48"/>
    <w:rsid w:val="0A817BCD"/>
    <w:rsid w:val="0A87503C"/>
    <w:rsid w:val="0ABA06D3"/>
    <w:rsid w:val="0ADE488D"/>
    <w:rsid w:val="0AF40E05"/>
    <w:rsid w:val="0B071624"/>
    <w:rsid w:val="0B0E5232"/>
    <w:rsid w:val="0B1C6746"/>
    <w:rsid w:val="0B272559"/>
    <w:rsid w:val="0B47088F"/>
    <w:rsid w:val="0B4E09A1"/>
    <w:rsid w:val="0B5E7B32"/>
    <w:rsid w:val="0B621EC3"/>
    <w:rsid w:val="0B71702E"/>
    <w:rsid w:val="0BB56CC5"/>
    <w:rsid w:val="0BFB3BB6"/>
    <w:rsid w:val="0C311C32"/>
    <w:rsid w:val="0C58208C"/>
    <w:rsid w:val="0C892520"/>
    <w:rsid w:val="0CB92CEF"/>
    <w:rsid w:val="0CC021A1"/>
    <w:rsid w:val="0CE62A84"/>
    <w:rsid w:val="0CEB6D41"/>
    <w:rsid w:val="0CF5184F"/>
    <w:rsid w:val="0D0343E8"/>
    <w:rsid w:val="0D0A17F5"/>
    <w:rsid w:val="0D1F2693"/>
    <w:rsid w:val="0D202D3D"/>
    <w:rsid w:val="0D2A1301"/>
    <w:rsid w:val="0D4528D3"/>
    <w:rsid w:val="0D612203"/>
    <w:rsid w:val="0DAE2303"/>
    <w:rsid w:val="0DD0461E"/>
    <w:rsid w:val="0DD71E42"/>
    <w:rsid w:val="0DEB2125"/>
    <w:rsid w:val="0DEE1A67"/>
    <w:rsid w:val="0DF43BD6"/>
    <w:rsid w:val="0DFB6B7F"/>
    <w:rsid w:val="0E4711FC"/>
    <w:rsid w:val="0E4D0672"/>
    <w:rsid w:val="0E527771"/>
    <w:rsid w:val="0E554C8F"/>
    <w:rsid w:val="0E560192"/>
    <w:rsid w:val="0E565F93"/>
    <w:rsid w:val="0E682D38"/>
    <w:rsid w:val="0E92444C"/>
    <w:rsid w:val="0EDE4BF3"/>
    <w:rsid w:val="0EF64818"/>
    <w:rsid w:val="0EFA0CA0"/>
    <w:rsid w:val="0F0E5742"/>
    <w:rsid w:val="0F180250"/>
    <w:rsid w:val="0F484622"/>
    <w:rsid w:val="0F4C41C0"/>
    <w:rsid w:val="0F4E3FAD"/>
    <w:rsid w:val="0F5229B3"/>
    <w:rsid w:val="0F5F30E9"/>
    <w:rsid w:val="0F882210"/>
    <w:rsid w:val="0F8B058F"/>
    <w:rsid w:val="0F9603CF"/>
    <w:rsid w:val="0FAA7213"/>
    <w:rsid w:val="0FD30983"/>
    <w:rsid w:val="0FD57709"/>
    <w:rsid w:val="101F0E02"/>
    <w:rsid w:val="102D5B9A"/>
    <w:rsid w:val="103F1337"/>
    <w:rsid w:val="104D284B"/>
    <w:rsid w:val="10516795"/>
    <w:rsid w:val="105C75E2"/>
    <w:rsid w:val="108407A7"/>
    <w:rsid w:val="108C5940"/>
    <w:rsid w:val="108D6EB8"/>
    <w:rsid w:val="109819C6"/>
    <w:rsid w:val="10AC0666"/>
    <w:rsid w:val="10B9577E"/>
    <w:rsid w:val="10D003B7"/>
    <w:rsid w:val="10E478C7"/>
    <w:rsid w:val="10EA17D0"/>
    <w:rsid w:val="110A7E8F"/>
    <w:rsid w:val="112E6273"/>
    <w:rsid w:val="115C2E09"/>
    <w:rsid w:val="11915258"/>
    <w:rsid w:val="11AD150E"/>
    <w:rsid w:val="11AD4D91"/>
    <w:rsid w:val="11BB0823"/>
    <w:rsid w:val="11C67EB9"/>
    <w:rsid w:val="11C90E3E"/>
    <w:rsid w:val="11D11EAA"/>
    <w:rsid w:val="11D30BC8"/>
    <w:rsid w:val="11E00ADF"/>
    <w:rsid w:val="121421B7"/>
    <w:rsid w:val="12145A3A"/>
    <w:rsid w:val="123404ED"/>
    <w:rsid w:val="1239330E"/>
    <w:rsid w:val="128105EC"/>
    <w:rsid w:val="12DE7681"/>
    <w:rsid w:val="12F7022B"/>
    <w:rsid w:val="133B4F65"/>
    <w:rsid w:val="1346162F"/>
    <w:rsid w:val="135F1AA4"/>
    <w:rsid w:val="1364593E"/>
    <w:rsid w:val="136B5FEC"/>
    <w:rsid w:val="13781A7E"/>
    <w:rsid w:val="137974FF"/>
    <w:rsid w:val="1381490C"/>
    <w:rsid w:val="13845891"/>
    <w:rsid w:val="13B341E1"/>
    <w:rsid w:val="13BE7FF4"/>
    <w:rsid w:val="14162C01"/>
    <w:rsid w:val="1425541A"/>
    <w:rsid w:val="144114C7"/>
    <w:rsid w:val="146E5017"/>
    <w:rsid w:val="14795EEB"/>
    <w:rsid w:val="148B3EC5"/>
    <w:rsid w:val="14927FCC"/>
    <w:rsid w:val="14C052F1"/>
    <w:rsid w:val="14D84158"/>
    <w:rsid w:val="14DF145A"/>
    <w:rsid w:val="14F325EF"/>
    <w:rsid w:val="15123D9E"/>
    <w:rsid w:val="152877F1"/>
    <w:rsid w:val="153657AB"/>
    <w:rsid w:val="153F13EA"/>
    <w:rsid w:val="154532F3"/>
    <w:rsid w:val="154E1A04"/>
    <w:rsid w:val="157B5510"/>
    <w:rsid w:val="157B7F4A"/>
    <w:rsid w:val="158B01E4"/>
    <w:rsid w:val="158E1C28"/>
    <w:rsid w:val="159468C1"/>
    <w:rsid w:val="15B371AA"/>
    <w:rsid w:val="15CB3D08"/>
    <w:rsid w:val="15F17475"/>
    <w:rsid w:val="15F42192"/>
    <w:rsid w:val="160F623F"/>
    <w:rsid w:val="16265E64"/>
    <w:rsid w:val="164D3B25"/>
    <w:rsid w:val="165E1841"/>
    <w:rsid w:val="16764CEA"/>
    <w:rsid w:val="16810FC2"/>
    <w:rsid w:val="16915513"/>
    <w:rsid w:val="16922F95"/>
    <w:rsid w:val="169A7304"/>
    <w:rsid w:val="16BB47BE"/>
    <w:rsid w:val="16E363FB"/>
    <w:rsid w:val="16F7073B"/>
    <w:rsid w:val="17287A13"/>
    <w:rsid w:val="175639D6"/>
    <w:rsid w:val="175A07E0"/>
    <w:rsid w:val="17672074"/>
    <w:rsid w:val="177801D4"/>
    <w:rsid w:val="177B0D14"/>
    <w:rsid w:val="177B1022"/>
    <w:rsid w:val="17D06220"/>
    <w:rsid w:val="17EE0D76"/>
    <w:rsid w:val="17FB347A"/>
    <w:rsid w:val="180B0603"/>
    <w:rsid w:val="180D0283"/>
    <w:rsid w:val="18361447"/>
    <w:rsid w:val="18542BF6"/>
    <w:rsid w:val="18545A3F"/>
    <w:rsid w:val="18854A4A"/>
    <w:rsid w:val="18A03075"/>
    <w:rsid w:val="18AA1406"/>
    <w:rsid w:val="18B36492"/>
    <w:rsid w:val="18B505AB"/>
    <w:rsid w:val="18CA3EB9"/>
    <w:rsid w:val="18DA39CC"/>
    <w:rsid w:val="18F275FC"/>
    <w:rsid w:val="19267830"/>
    <w:rsid w:val="192E3BDE"/>
    <w:rsid w:val="19421580"/>
    <w:rsid w:val="194E33D7"/>
    <w:rsid w:val="19524ED3"/>
    <w:rsid w:val="19915E81"/>
    <w:rsid w:val="1998209F"/>
    <w:rsid w:val="1998580B"/>
    <w:rsid w:val="19A91329"/>
    <w:rsid w:val="19BB4AC7"/>
    <w:rsid w:val="19C13B65"/>
    <w:rsid w:val="19D96275"/>
    <w:rsid w:val="19E7558B"/>
    <w:rsid w:val="19F94C0D"/>
    <w:rsid w:val="1A166BC9"/>
    <w:rsid w:val="1A1C7FE3"/>
    <w:rsid w:val="1A2608F3"/>
    <w:rsid w:val="1A387913"/>
    <w:rsid w:val="1A563640"/>
    <w:rsid w:val="1A7C11C8"/>
    <w:rsid w:val="1A807D07"/>
    <w:rsid w:val="1A8C400A"/>
    <w:rsid w:val="1A8F0322"/>
    <w:rsid w:val="1AA9696A"/>
    <w:rsid w:val="1AAC404F"/>
    <w:rsid w:val="1AD81A1B"/>
    <w:rsid w:val="1ADD5EA3"/>
    <w:rsid w:val="1B28721C"/>
    <w:rsid w:val="1B4D19DA"/>
    <w:rsid w:val="1B5A5081"/>
    <w:rsid w:val="1B666D00"/>
    <w:rsid w:val="1B672584"/>
    <w:rsid w:val="1B682203"/>
    <w:rsid w:val="1B8236E8"/>
    <w:rsid w:val="1B9B1759"/>
    <w:rsid w:val="1B9D4C5C"/>
    <w:rsid w:val="1BA477C3"/>
    <w:rsid w:val="1BA82FED"/>
    <w:rsid w:val="1BD31C64"/>
    <w:rsid w:val="1BE07A5B"/>
    <w:rsid w:val="1BE268B4"/>
    <w:rsid w:val="1BF96116"/>
    <w:rsid w:val="1BFB4FF6"/>
    <w:rsid w:val="1C097B8F"/>
    <w:rsid w:val="1C142703"/>
    <w:rsid w:val="1C1D0A2D"/>
    <w:rsid w:val="1C3071CC"/>
    <w:rsid w:val="1C3715D7"/>
    <w:rsid w:val="1C3928DC"/>
    <w:rsid w:val="1C4221D7"/>
    <w:rsid w:val="1C46636E"/>
    <w:rsid w:val="1C4E0CFD"/>
    <w:rsid w:val="1C7E1710"/>
    <w:rsid w:val="1C820752"/>
    <w:rsid w:val="1C951971"/>
    <w:rsid w:val="1CA70991"/>
    <w:rsid w:val="1CDE344E"/>
    <w:rsid w:val="1CE21A70"/>
    <w:rsid w:val="1CFC5E9D"/>
    <w:rsid w:val="1D2F0E54"/>
    <w:rsid w:val="1D3102EB"/>
    <w:rsid w:val="1D4A5F81"/>
    <w:rsid w:val="1D74100E"/>
    <w:rsid w:val="1D8C3120"/>
    <w:rsid w:val="1DA2662B"/>
    <w:rsid w:val="1DAB4D3C"/>
    <w:rsid w:val="1DBE0159"/>
    <w:rsid w:val="1E0B27D7"/>
    <w:rsid w:val="1E405230"/>
    <w:rsid w:val="1E4361B4"/>
    <w:rsid w:val="1E48649A"/>
    <w:rsid w:val="1E4A6151"/>
    <w:rsid w:val="1E4A7B04"/>
    <w:rsid w:val="1E4F41C5"/>
    <w:rsid w:val="1E827C5E"/>
    <w:rsid w:val="1E8C78AD"/>
    <w:rsid w:val="1E8F29CA"/>
    <w:rsid w:val="1EA47481"/>
    <w:rsid w:val="1EA60457"/>
    <w:rsid w:val="1EA731C1"/>
    <w:rsid w:val="1EBB33A8"/>
    <w:rsid w:val="1ED2479E"/>
    <w:rsid w:val="1EEB5328"/>
    <w:rsid w:val="1F16618C"/>
    <w:rsid w:val="1F371F44"/>
    <w:rsid w:val="1F4D55DB"/>
    <w:rsid w:val="1F612D89"/>
    <w:rsid w:val="1FAC5786"/>
    <w:rsid w:val="1FBD4989"/>
    <w:rsid w:val="1FD00E3E"/>
    <w:rsid w:val="2008261D"/>
    <w:rsid w:val="200F6EB0"/>
    <w:rsid w:val="204F5EB9"/>
    <w:rsid w:val="20577E1E"/>
    <w:rsid w:val="205E77A8"/>
    <w:rsid w:val="20786C37"/>
    <w:rsid w:val="209B180C"/>
    <w:rsid w:val="20B31431"/>
    <w:rsid w:val="20C65ED3"/>
    <w:rsid w:val="20D32FEA"/>
    <w:rsid w:val="20F04B19"/>
    <w:rsid w:val="20F11390"/>
    <w:rsid w:val="21026F8C"/>
    <w:rsid w:val="210C02A0"/>
    <w:rsid w:val="21290176"/>
    <w:rsid w:val="214744F6"/>
    <w:rsid w:val="2167162D"/>
    <w:rsid w:val="216A315E"/>
    <w:rsid w:val="216C6661"/>
    <w:rsid w:val="216E2604"/>
    <w:rsid w:val="219537A4"/>
    <w:rsid w:val="21AC4ECC"/>
    <w:rsid w:val="21AE5DF5"/>
    <w:rsid w:val="21C67C74"/>
    <w:rsid w:val="21C76D7B"/>
    <w:rsid w:val="21CD5401"/>
    <w:rsid w:val="21D369EC"/>
    <w:rsid w:val="21DA2518"/>
    <w:rsid w:val="22125EF5"/>
    <w:rsid w:val="22233C11"/>
    <w:rsid w:val="22280099"/>
    <w:rsid w:val="22322BA7"/>
    <w:rsid w:val="22464811"/>
    <w:rsid w:val="2256349A"/>
    <w:rsid w:val="225D726E"/>
    <w:rsid w:val="22790D9D"/>
    <w:rsid w:val="227E3026"/>
    <w:rsid w:val="22802B82"/>
    <w:rsid w:val="2294492A"/>
    <w:rsid w:val="22AE5D73"/>
    <w:rsid w:val="22D1722D"/>
    <w:rsid w:val="22D81938"/>
    <w:rsid w:val="22EB365A"/>
    <w:rsid w:val="22FF3710"/>
    <w:rsid w:val="230B288A"/>
    <w:rsid w:val="23102595"/>
    <w:rsid w:val="231604F5"/>
    <w:rsid w:val="23197621"/>
    <w:rsid w:val="234B6EF7"/>
    <w:rsid w:val="23547806"/>
    <w:rsid w:val="23570AAB"/>
    <w:rsid w:val="237F4339"/>
    <w:rsid w:val="23A11E84"/>
    <w:rsid w:val="23A94D12"/>
    <w:rsid w:val="23D01397"/>
    <w:rsid w:val="245770BD"/>
    <w:rsid w:val="247C49CD"/>
    <w:rsid w:val="249E2CA0"/>
    <w:rsid w:val="24A37128"/>
    <w:rsid w:val="24B73BCA"/>
    <w:rsid w:val="24F133E8"/>
    <w:rsid w:val="25040446"/>
    <w:rsid w:val="25074C4E"/>
    <w:rsid w:val="253C3156"/>
    <w:rsid w:val="25583753"/>
    <w:rsid w:val="25626261"/>
    <w:rsid w:val="25766E41"/>
    <w:rsid w:val="25B22B68"/>
    <w:rsid w:val="25B5026A"/>
    <w:rsid w:val="25E93F44"/>
    <w:rsid w:val="260E0022"/>
    <w:rsid w:val="26261822"/>
    <w:rsid w:val="26315635"/>
    <w:rsid w:val="263578BE"/>
    <w:rsid w:val="26423351"/>
    <w:rsid w:val="26481607"/>
    <w:rsid w:val="266C0987"/>
    <w:rsid w:val="267D5AB4"/>
    <w:rsid w:val="269456DA"/>
    <w:rsid w:val="26A8437A"/>
    <w:rsid w:val="26D94B49"/>
    <w:rsid w:val="26E56F7C"/>
    <w:rsid w:val="26EC5D68"/>
    <w:rsid w:val="26F07FF2"/>
    <w:rsid w:val="26F50BF6"/>
    <w:rsid w:val="26F61EFB"/>
    <w:rsid w:val="271635D9"/>
    <w:rsid w:val="272F6103"/>
    <w:rsid w:val="274912B9"/>
    <w:rsid w:val="275E0626"/>
    <w:rsid w:val="277272C6"/>
    <w:rsid w:val="27755F04"/>
    <w:rsid w:val="27786E27"/>
    <w:rsid w:val="280F4BC6"/>
    <w:rsid w:val="28137FF9"/>
    <w:rsid w:val="281954D5"/>
    <w:rsid w:val="282647EB"/>
    <w:rsid w:val="282D0DC4"/>
    <w:rsid w:val="28331903"/>
    <w:rsid w:val="283D5F2C"/>
    <w:rsid w:val="284B6FA9"/>
    <w:rsid w:val="285F5C4A"/>
    <w:rsid w:val="28A7603E"/>
    <w:rsid w:val="28A91BE3"/>
    <w:rsid w:val="28C17575"/>
    <w:rsid w:val="28C30DF5"/>
    <w:rsid w:val="28D6225C"/>
    <w:rsid w:val="28EE2036"/>
    <w:rsid w:val="290C37E4"/>
    <w:rsid w:val="291D7302"/>
    <w:rsid w:val="29267C11"/>
    <w:rsid w:val="293900BF"/>
    <w:rsid w:val="299F65D6"/>
    <w:rsid w:val="29B5077A"/>
    <w:rsid w:val="29B77500"/>
    <w:rsid w:val="29C25891"/>
    <w:rsid w:val="29C50A14"/>
    <w:rsid w:val="29D25B2C"/>
    <w:rsid w:val="29D335AD"/>
    <w:rsid w:val="2A0240FC"/>
    <w:rsid w:val="2A105610"/>
    <w:rsid w:val="2A113092"/>
    <w:rsid w:val="2A1E4926"/>
    <w:rsid w:val="2A2C16BD"/>
    <w:rsid w:val="2A3967D5"/>
    <w:rsid w:val="2A3B3FD2"/>
    <w:rsid w:val="2A694DA5"/>
    <w:rsid w:val="2A7975BE"/>
    <w:rsid w:val="2A881DD7"/>
    <w:rsid w:val="2A9113E2"/>
    <w:rsid w:val="2A9C2748"/>
    <w:rsid w:val="2AA7405D"/>
    <w:rsid w:val="2AAB580F"/>
    <w:rsid w:val="2AB20824"/>
    <w:rsid w:val="2AB73A3B"/>
    <w:rsid w:val="2ACE366B"/>
    <w:rsid w:val="2AF06FA7"/>
    <w:rsid w:val="2AF4778E"/>
    <w:rsid w:val="2B1B7691"/>
    <w:rsid w:val="2B45218A"/>
    <w:rsid w:val="2B503D9E"/>
    <w:rsid w:val="2B65068C"/>
    <w:rsid w:val="2B6C2049"/>
    <w:rsid w:val="2B8F1148"/>
    <w:rsid w:val="2B9E6AF7"/>
    <w:rsid w:val="2BBD43D2"/>
    <w:rsid w:val="2BD15853"/>
    <w:rsid w:val="2C044B47"/>
    <w:rsid w:val="2C0C4151"/>
    <w:rsid w:val="2C20305A"/>
    <w:rsid w:val="2C36322C"/>
    <w:rsid w:val="2C5E06D8"/>
    <w:rsid w:val="2C6303E3"/>
    <w:rsid w:val="2CA91A51"/>
    <w:rsid w:val="2CB42B02"/>
    <w:rsid w:val="2CE742D3"/>
    <w:rsid w:val="2CEC7043"/>
    <w:rsid w:val="2D0B6272"/>
    <w:rsid w:val="2D384463"/>
    <w:rsid w:val="2D3938BF"/>
    <w:rsid w:val="2D3A4BC3"/>
    <w:rsid w:val="2D417641"/>
    <w:rsid w:val="2D466457"/>
    <w:rsid w:val="2D4B28DF"/>
    <w:rsid w:val="2D570C90"/>
    <w:rsid w:val="2D5B72F6"/>
    <w:rsid w:val="2D5C2B7A"/>
    <w:rsid w:val="2D665687"/>
    <w:rsid w:val="2D961A5A"/>
    <w:rsid w:val="2DC10320"/>
    <w:rsid w:val="2DCF1834"/>
    <w:rsid w:val="2DD105BA"/>
    <w:rsid w:val="2DEA692F"/>
    <w:rsid w:val="2E250044"/>
    <w:rsid w:val="2E2E2ED2"/>
    <w:rsid w:val="2E464B69"/>
    <w:rsid w:val="2E4722CA"/>
    <w:rsid w:val="2E5A7219"/>
    <w:rsid w:val="2E793490"/>
    <w:rsid w:val="2E7D64D4"/>
    <w:rsid w:val="2E8203DE"/>
    <w:rsid w:val="2E990003"/>
    <w:rsid w:val="2EA339A5"/>
    <w:rsid w:val="2EB156AA"/>
    <w:rsid w:val="2EB909CC"/>
    <w:rsid w:val="2ED049F3"/>
    <w:rsid w:val="2EE316FC"/>
    <w:rsid w:val="2EE9018A"/>
    <w:rsid w:val="2F2A406E"/>
    <w:rsid w:val="2F380E06"/>
    <w:rsid w:val="2F3D528D"/>
    <w:rsid w:val="2F475B9D"/>
    <w:rsid w:val="2F5807FF"/>
    <w:rsid w:val="2F5E57C2"/>
    <w:rsid w:val="2F60131B"/>
    <w:rsid w:val="2F605776"/>
    <w:rsid w:val="2F6241C8"/>
    <w:rsid w:val="2F6E12E0"/>
    <w:rsid w:val="2F721689"/>
    <w:rsid w:val="2FA801C0"/>
    <w:rsid w:val="2FB177CB"/>
    <w:rsid w:val="2FBE69E5"/>
    <w:rsid w:val="2FD1729F"/>
    <w:rsid w:val="2FE931A8"/>
    <w:rsid w:val="30002DCD"/>
    <w:rsid w:val="30172520"/>
    <w:rsid w:val="30435E75"/>
    <w:rsid w:val="305F38FB"/>
    <w:rsid w:val="30712E9C"/>
    <w:rsid w:val="3091214E"/>
    <w:rsid w:val="30A070D3"/>
    <w:rsid w:val="30CA159C"/>
    <w:rsid w:val="30E57BC8"/>
    <w:rsid w:val="30E74BC1"/>
    <w:rsid w:val="30ED4FD4"/>
    <w:rsid w:val="30F77AE2"/>
    <w:rsid w:val="31191884"/>
    <w:rsid w:val="31203039"/>
    <w:rsid w:val="31444B53"/>
    <w:rsid w:val="314865E7"/>
    <w:rsid w:val="31653999"/>
    <w:rsid w:val="316750A8"/>
    <w:rsid w:val="316A5DDF"/>
    <w:rsid w:val="317E6AC1"/>
    <w:rsid w:val="318409CB"/>
    <w:rsid w:val="31A87906"/>
    <w:rsid w:val="31C51434"/>
    <w:rsid w:val="31DC6E5B"/>
    <w:rsid w:val="32167F39"/>
    <w:rsid w:val="321F2DC7"/>
    <w:rsid w:val="32200849"/>
    <w:rsid w:val="322040CC"/>
    <w:rsid w:val="322162CA"/>
    <w:rsid w:val="322E33E2"/>
    <w:rsid w:val="323B6E74"/>
    <w:rsid w:val="32596087"/>
    <w:rsid w:val="325B51AB"/>
    <w:rsid w:val="32674841"/>
    <w:rsid w:val="326A3247"/>
    <w:rsid w:val="32873093"/>
    <w:rsid w:val="328F68FE"/>
    <w:rsid w:val="32AA07AD"/>
    <w:rsid w:val="32BC3F4B"/>
    <w:rsid w:val="32C75B5F"/>
    <w:rsid w:val="32D14A30"/>
    <w:rsid w:val="33421F83"/>
    <w:rsid w:val="336E500B"/>
    <w:rsid w:val="338B4A07"/>
    <w:rsid w:val="33AA3BD3"/>
    <w:rsid w:val="33BB3E6D"/>
    <w:rsid w:val="33BE6FF0"/>
    <w:rsid w:val="33C2127A"/>
    <w:rsid w:val="33D939C5"/>
    <w:rsid w:val="33F31EDF"/>
    <w:rsid w:val="341A770A"/>
    <w:rsid w:val="342722D8"/>
    <w:rsid w:val="34287A22"/>
    <w:rsid w:val="34527549"/>
    <w:rsid w:val="34646885"/>
    <w:rsid w:val="34802932"/>
    <w:rsid w:val="348D63C4"/>
    <w:rsid w:val="349E665E"/>
    <w:rsid w:val="34AC6C79"/>
    <w:rsid w:val="34BD4BC7"/>
    <w:rsid w:val="34BE4995"/>
    <w:rsid w:val="34D505CF"/>
    <w:rsid w:val="34D61C7F"/>
    <w:rsid w:val="34EF2BE5"/>
    <w:rsid w:val="34F96D78"/>
    <w:rsid w:val="34FC447A"/>
    <w:rsid w:val="352246B9"/>
    <w:rsid w:val="35270760"/>
    <w:rsid w:val="353A1DEF"/>
    <w:rsid w:val="353B3065"/>
    <w:rsid w:val="35414B88"/>
    <w:rsid w:val="35476E77"/>
    <w:rsid w:val="3553070C"/>
    <w:rsid w:val="355414FC"/>
    <w:rsid w:val="35594813"/>
    <w:rsid w:val="355F671C"/>
    <w:rsid w:val="35611C20"/>
    <w:rsid w:val="35635123"/>
    <w:rsid w:val="35653A1F"/>
    <w:rsid w:val="35D960E1"/>
    <w:rsid w:val="361E5856"/>
    <w:rsid w:val="362167DA"/>
    <w:rsid w:val="363E0AEB"/>
    <w:rsid w:val="36520EF9"/>
    <w:rsid w:val="36684558"/>
    <w:rsid w:val="366D0E58"/>
    <w:rsid w:val="367B39F1"/>
    <w:rsid w:val="36B62551"/>
    <w:rsid w:val="36C23F5A"/>
    <w:rsid w:val="36C41867"/>
    <w:rsid w:val="36CC46F5"/>
    <w:rsid w:val="36D7484C"/>
    <w:rsid w:val="36E6646C"/>
    <w:rsid w:val="36F16460"/>
    <w:rsid w:val="373331A0"/>
    <w:rsid w:val="37537E51"/>
    <w:rsid w:val="37846422"/>
    <w:rsid w:val="3790555D"/>
    <w:rsid w:val="379164D0"/>
    <w:rsid w:val="37992B44"/>
    <w:rsid w:val="37A71234"/>
    <w:rsid w:val="37CD4298"/>
    <w:rsid w:val="37CE086E"/>
    <w:rsid w:val="37EC4B4C"/>
    <w:rsid w:val="37F16A56"/>
    <w:rsid w:val="37F81C64"/>
    <w:rsid w:val="37FE02EA"/>
    <w:rsid w:val="3812280E"/>
    <w:rsid w:val="38201B23"/>
    <w:rsid w:val="382736AC"/>
    <w:rsid w:val="38390ED6"/>
    <w:rsid w:val="3875702F"/>
    <w:rsid w:val="388108C3"/>
    <w:rsid w:val="388529F3"/>
    <w:rsid w:val="38853A46"/>
    <w:rsid w:val="38907B1B"/>
    <w:rsid w:val="389E45F0"/>
    <w:rsid w:val="38A677FE"/>
    <w:rsid w:val="390F3445"/>
    <w:rsid w:val="39167469"/>
    <w:rsid w:val="39264BA7"/>
    <w:rsid w:val="392C0D5C"/>
    <w:rsid w:val="39530C1B"/>
    <w:rsid w:val="396543B9"/>
    <w:rsid w:val="398D602A"/>
    <w:rsid w:val="39A43E9E"/>
    <w:rsid w:val="39AE0030"/>
    <w:rsid w:val="39E44101"/>
    <w:rsid w:val="39E8110F"/>
    <w:rsid w:val="39FC7DAF"/>
    <w:rsid w:val="3A0642E1"/>
    <w:rsid w:val="3A1A7360"/>
    <w:rsid w:val="3A1C60E6"/>
    <w:rsid w:val="3A3655EE"/>
    <w:rsid w:val="3A595F4B"/>
    <w:rsid w:val="3A8C639A"/>
    <w:rsid w:val="3A8F14ED"/>
    <w:rsid w:val="3A9A0F33"/>
    <w:rsid w:val="3A9C1EB7"/>
    <w:rsid w:val="3A9C5BFB"/>
    <w:rsid w:val="3ACF7138"/>
    <w:rsid w:val="3AD24910"/>
    <w:rsid w:val="3AD60153"/>
    <w:rsid w:val="3AE74870"/>
    <w:rsid w:val="3B021807"/>
    <w:rsid w:val="3B02185C"/>
    <w:rsid w:val="3B5073DC"/>
    <w:rsid w:val="3B6D478E"/>
    <w:rsid w:val="3B9777D7"/>
    <w:rsid w:val="3BA65BED"/>
    <w:rsid w:val="3BC91625"/>
    <w:rsid w:val="3BDA7340"/>
    <w:rsid w:val="3BF00020"/>
    <w:rsid w:val="3BF5596C"/>
    <w:rsid w:val="3C027200"/>
    <w:rsid w:val="3C213EDC"/>
    <w:rsid w:val="3C2506B9"/>
    <w:rsid w:val="3C3A6495"/>
    <w:rsid w:val="3C5F2E1D"/>
    <w:rsid w:val="3C7F58D0"/>
    <w:rsid w:val="3C8E4865"/>
    <w:rsid w:val="3CA4480B"/>
    <w:rsid w:val="3CB3794A"/>
    <w:rsid w:val="3CCF5D67"/>
    <w:rsid w:val="3CE93C7A"/>
    <w:rsid w:val="3D363D7A"/>
    <w:rsid w:val="3D7D4571"/>
    <w:rsid w:val="3DA75332"/>
    <w:rsid w:val="3DAE273F"/>
    <w:rsid w:val="3DB57746"/>
    <w:rsid w:val="3DFD5D41"/>
    <w:rsid w:val="3E040F4F"/>
    <w:rsid w:val="3E091B54"/>
    <w:rsid w:val="3E143B9F"/>
    <w:rsid w:val="3E390124"/>
    <w:rsid w:val="3E772188"/>
    <w:rsid w:val="3E7C1E93"/>
    <w:rsid w:val="3E895925"/>
    <w:rsid w:val="3EA34D97"/>
    <w:rsid w:val="3EC44618"/>
    <w:rsid w:val="3EF178D3"/>
    <w:rsid w:val="3EF72A60"/>
    <w:rsid w:val="3EFA2761"/>
    <w:rsid w:val="3F1E6EC1"/>
    <w:rsid w:val="3F3C44CF"/>
    <w:rsid w:val="3FBC4A1D"/>
    <w:rsid w:val="3FC6532D"/>
    <w:rsid w:val="3FDC0668"/>
    <w:rsid w:val="3FE11DDF"/>
    <w:rsid w:val="40161C34"/>
    <w:rsid w:val="40372168"/>
    <w:rsid w:val="4044147E"/>
    <w:rsid w:val="40637924"/>
    <w:rsid w:val="406D6DBF"/>
    <w:rsid w:val="40C55EEB"/>
    <w:rsid w:val="40F70F22"/>
    <w:rsid w:val="40FA572A"/>
    <w:rsid w:val="41011831"/>
    <w:rsid w:val="411D49E5"/>
    <w:rsid w:val="414733A4"/>
    <w:rsid w:val="41485829"/>
    <w:rsid w:val="41527013"/>
    <w:rsid w:val="415D5FB2"/>
    <w:rsid w:val="416B6CE2"/>
    <w:rsid w:val="41B03F53"/>
    <w:rsid w:val="41C0096A"/>
    <w:rsid w:val="41C52874"/>
    <w:rsid w:val="41F56C46"/>
    <w:rsid w:val="42013D70"/>
    <w:rsid w:val="420723E4"/>
    <w:rsid w:val="420D42ED"/>
    <w:rsid w:val="420F54FF"/>
    <w:rsid w:val="42256110"/>
    <w:rsid w:val="423F438F"/>
    <w:rsid w:val="42582251"/>
    <w:rsid w:val="4259696B"/>
    <w:rsid w:val="42677E7F"/>
    <w:rsid w:val="426A6C05"/>
    <w:rsid w:val="42764C16"/>
    <w:rsid w:val="42920CC3"/>
    <w:rsid w:val="42A9416B"/>
    <w:rsid w:val="42D2752E"/>
    <w:rsid w:val="42DF0DC2"/>
    <w:rsid w:val="432A1241"/>
    <w:rsid w:val="433504EC"/>
    <w:rsid w:val="43673CDB"/>
    <w:rsid w:val="43787B9C"/>
    <w:rsid w:val="4390377C"/>
    <w:rsid w:val="43AA5013"/>
    <w:rsid w:val="43B93FA8"/>
    <w:rsid w:val="43BB1E38"/>
    <w:rsid w:val="43C348B8"/>
    <w:rsid w:val="43D97A72"/>
    <w:rsid w:val="43E342EB"/>
    <w:rsid w:val="43EF21E8"/>
    <w:rsid w:val="440A2AAE"/>
    <w:rsid w:val="440E1469"/>
    <w:rsid w:val="441668C0"/>
    <w:rsid w:val="44397A2A"/>
    <w:rsid w:val="44512A9F"/>
    <w:rsid w:val="445B15B3"/>
    <w:rsid w:val="44616D40"/>
    <w:rsid w:val="446B2BA9"/>
    <w:rsid w:val="44770EE3"/>
    <w:rsid w:val="4490658A"/>
    <w:rsid w:val="4496231D"/>
    <w:rsid w:val="449D58A0"/>
    <w:rsid w:val="44E97B3B"/>
    <w:rsid w:val="44F84CB5"/>
    <w:rsid w:val="44F936DB"/>
    <w:rsid w:val="44FA4601"/>
    <w:rsid w:val="45240FFC"/>
    <w:rsid w:val="452B3EAE"/>
    <w:rsid w:val="45356D18"/>
    <w:rsid w:val="45520847"/>
    <w:rsid w:val="455475CD"/>
    <w:rsid w:val="45660E30"/>
    <w:rsid w:val="456C13FB"/>
    <w:rsid w:val="456C2B53"/>
    <w:rsid w:val="4573280A"/>
    <w:rsid w:val="459403B6"/>
    <w:rsid w:val="45AE6FD9"/>
    <w:rsid w:val="45C168FC"/>
    <w:rsid w:val="45E14C32"/>
    <w:rsid w:val="45E55E17"/>
    <w:rsid w:val="45E87E40"/>
    <w:rsid w:val="460D0E08"/>
    <w:rsid w:val="46136706"/>
    <w:rsid w:val="46226C7C"/>
    <w:rsid w:val="46271B24"/>
    <w:rsid w:val="462D72B0"/>
    <w:rsid w:val="465C457C"/>
    <w:rsid w:val="46776FEB"/>
    <w:rsid w:val="468A3DC6"/>
    <w:rsid w:val="468C72C9"/>
    <w:rsid w:val="469C7200"/>
    <w:rsid w:val="46B94139"/>
    <w:rsid w:val="46CE1038"/>
    <w:rsid w:val="46D0453B"/>
    <w:rsid w:val="46D54246"/>
    <w:rsid w:val="46DF4B55"/>
    <w:rsid w:val="46EA006B"/>
    <w:rsid w:val="46ED18ED"/>
    <w:rsid w:val="46F41277"/>
    <w:rsid w:val="471D463A"/>
    <w:rsid w:val="471E4089"/>
    <w:rsid w:val="472D6E53"/>
    <w:rsid w:val="473D2970"/>
    <w:rsid w:val="475E7DF6"/>
    <w:rsid w:val="478079C8"/>
    <w:rsid w:val="47881532"/>
    <w:rsid w:val="478C26EF"/>
    <w:rsid w:val="47A9421E"/>
    <w:rsid w:val="47EF6F11"/>
    <w:rsid w:val="47F23719"/>
    <w:rsid w:val="47FC5418"/>
    <w:rsid w:val="47FC5EDB"/>
    <w:rsid w:val="48065BA8"/>
    <w:rsid w:val="480B6841"/>
    <w:rsid w:val="48310C7F"/>
    <w:rsid w:val="4857563B"/>
    <w:rsid w:val="486D77DF"/>
    <w:rsid w:val="486E0AE4"/>
    <w:rsid w:val="48847F04"/>
    <w:rsid w:val="48A766BF"/>
    <w:rsid w:val="48B0421D"/>
    <w:rsid w:val="48DC2BCE"/>
    <w:rsid w:val="48E2521F"/>
    <w:rsid w:val="48F63EC0"/>
    <w:rsid w:val="48FF25D1"/>
    <w:rsid w:val="49204C41"/>
    <w:rsid w:val="492C219C"/>
    <w:rsid w:val="49333D25"/>
    <w:rsid w:val="493417A6"/>
    <w:rsid w:val="49617068"/>
    <w:rsid w:val="49620FF1"/>
    <w:rsid w:val="49A45ADC"/>
    <w:rsid w:val="49B91A00"/>
    <w:rsid w:val="49BB6DC8"/>
    <w:rsid w:val="49CA551D"/>
    <w:rsid w:val="49F2201B"/>
    <w:rsid w:val="49F24F86"/>
    <w:rsid w:val="4A0B180A"/>
    <w:rsid w:val="4A0E090A"/>
    <w:rsid w:val="4A113713"/>
    <w:rsid w:val="4A2C64BB"/>
    <w:rsid w:val="4A562B83"/>
    <w:rsid w:val="4A6F52E6"/>
    <w:rsid w:val="4AAF6A94"/>
    <w:rsid w:val="4AB27A19"/>
    <w:rsid w:val="4ADB5D8F"/>
    <w:rsid w:val="4AF33D06"/>
    <w:rsid w:val="4AFB1112"/>
    <w:rsid w:val="4B111A14"/>
    <w:rsid w:val="4B3115EC"/>
    <w:rsid w:val="4B42082A"/>
    <w:rsid w:val="4B473790"/>
    <w:rsid w:val="4B50661E"/>
    <w:rsid w:val="4B6B0F6B"/>
    <w:rsid w:val="4B741FB1"/>
    <w:rsid w:val="4BF97EF5"/>
    <w:rsid w:val="4C00513D"/>
    <w:rsid w:val="4C012BBE"/>
    <w:rsid w:val="4C5600CA"/>
    <w:rsid w:val="4C62195E"/>
    <w:rsid w:val="4CB33CE7"/>
    <w:rsid w:val="4CB848EB"/>
    <w:rsid w:val="4CC90409"/>
    <w:rsid w:val="4CD6771E"/>
    <w:rsid w:val="4CD82C22"/>
    <w:rsid w:val="4CE27EB0"/>
    <w:rsid w:val="4D1B2795"/>
    <w:rsid w:val="4D226519"/>
    <w:rsid w:val="4D264517"/>
    <w:rsid w:val="4D3806BD"/>
    <w:rsid w:val="4D53613E"/>
    <w:rsid w:val="4D6F6618"/>
    <w:rsid w:val="4D70409A"/>
    <w:rsid w:val="4D742AA0"/>
    <w:rsid w:val="4D796F28"/>
    <w:rsid w:val="4D811DB6"/>
    <w:rsid w:val="4D9E7167"/>
    <w:rsid w:val="4DAF1600"/>
    <w:rsid w:val="4DBC6717"/>
    <w:rsid w:val="4DCA5C07"/>
    <w:rsid w:val="4DFB1A7F"/>
    <w:rsid w:val="4DFC3C7E"/>
    <w:rsid w:val="4E0332DE"/>
    <w:rsid w:val="4E19102F"/>
    <w:rsid w:val="4E19322E"/>
    <w:rsid w:val="4E4901F2"/>
    <w:rsid w:val="4E633559"/>
    <w:rsid w:val="4E66112F"/>
    <w:rsid w:val="4E753947"/>
    <w:rsid w:val="4E7B79E2"/>
    <w:rsid w:val="4E8C7ACB"/>
    <w:rsid w:val="4E912B4B"/>
    <w:rsid w:val="4EAB059E"/>
    <w:rsid w:val="4EAF2828"/>
    <w:rsid w:val="4EB50EAE"/>
    <w:rsid w:val="4EBF723F"/>
    <w:rsid w:val="4EE22C77"/>
    <w:rsid w:val="4EED6A89"/>
    <w:rsid w:val="4F3B460A"/>
    <w:rsid w:val="4F3C7E8D"/>
    <w:rsid w:val="4F4A74E7"/>
    <w:rsid w:val="4F512B51"/>
    <w:rsid w:val="4F527833"/>
    <w:rsid w:val="4F5706B7"/>
    <w:rsid w:val="4F5718D7"/>
    <w:rsid w:val="4F5819BC"/>
    <w:rsid w:val="4F5F5AC3"/>
    <w:rsid w:val="4F801AC7"/>
    <w:rsid w:val="4F94051C"/>
    <w:rsid w:val="4FC7696F"/>
    <w:rsid w:val="4FDB6712"/>
    <w:rsid w:val="4FE21920"/>
    <w:rsid w:val="4FF4763C"/>
    <w:rsid w:val="500B145F"/>
    <w:rsid w:val="500F5C67"/>
    <w:rsid w:val="501F5F01"/>
    <w:rsid w:val="506C277D"/>
    <w:rsid w:val="50784012"/>
    <w:rsid w:val="509F2BD7"/>
    <w:rsid w:val="50A41776"/>
    <w:rsid w:val="50E43632"/>
    <w:rsid w:val="510D2307"/>
    <w:rsid w:val="512C4DBA"/>
    <w:rsid w:val="517E0E05"/>
    <w:rsid w:val="519A31F0"/>
    <w:rsid w:val="51BA49DE"/>
    <w:rsid w:val="51D13349"/>
    <w:rsid w:val="51D57224"/>
    <w:rsid w:val="521A6FC1"/>
    <w:rsid w:val="521D7E30"/>
    <w:rsid w:val="522B6783"/>
    <w:rsid w:val="529D3D17"/>
    <w:rsid w:val="52C02E16"/>
    <w:rsid w:val="52D2676F"/>
    <w:rsid w:val="52DC4B00"/>
    <w:rsid w:val="53380219"/>
    <w:rsid w:val="533A7098"/>
    <w:rsid w:val="533D5E1F"/>
    <w:rsid w:val="53832D10"/>
    <w:rsid w:val="538816E0"/>
    <w:rsid w:val="53925529"/>
    <w:rsid w:val="53C42B4C"/>
    <w:rsid w:val="53D41815"/>
    <w:rsid w:val="53EF36C4"/>
    <w:rsid w:val="53FF00DB"/>
    <w:rsid w:val="540B2FEC"/>
    <w:rsid w:val="5411167A"/>
    <w:rsid w:val="5421758B"/>
    <w:rsid w:val="543D59C1"/>
    <w:rsid w:val="545B07F5"/>
    <w:rsid w:val="54743F7A"/>
    <w:rsid w:val="5490775B"/>
    <w:rsid w:val="54947768"/>
    <w:rsid w:val="54A23167"/>
    <w:rsid w:val="54A96376"/>
    <w:rsid w:val="54BC3236"/>
    <w:rsid w:val="54DE7749"/>
    <w:rsid w:val="54E37454"/>
    <w:rsid w:val="54E95ADA"/>
    <w:rsid w:val="54EE36E9"/>
    <w:rsid w:val="54F864B3"/>
    <w:rsid w:val="54FB4AFB"/>
    <w:rsid w:val="553B0720"/>
    <w:rsid w:val="5543746D"/>
    <w:rsid w:val="556F7038"/>
    <w:rsid w:val="5570398A"/>
    <w:rsid w:val="557B26D6"/>
    <w:rsid w:val="557D1BD1"/>
    <w:rsid w:val="559B337F"/>
    <w:rsid w:val="55AF2020"/>
    <w:rsid w:val="55B464A8"/>
    <w:rsid w:val="55B53629"/>
    <w:rsid w:val="55BA03B1"/>
    <w:rsid w:val="55FB6C1C"/>
    <w:rsid w:val="560A1435"/>
    <w:rsid w:val="560B0AE4"/>
    <w:rsid w:val="561372FE"/>
    <w:rsid w:val="564B2B34"/>
    <w:rsid w:val="568A5206"/>
    <w:rsid w:val="568F225D"/>
    <w:rsid w:val="56B01FCC"/>
    <w:rsid w:val="56CB72F5"/>
    <w:rsid w:val="56CD6F74"/>
    <w:rsid w:val="56EC7EE3"/>
    <w:rsid w:val="57081358"/>
    <w:rsid w:val="570E3261"/>
    <w:rsid w:val="57374425"/>
    <w:rsid w:val="5758495A"/>
    <w:rsid w:val="57746489"/>
    <w:rsid w:val="57751D0C"/>
    <w:rsid w:val="57786E03"/>
    <w:rsid w:val="57871C26"/>
    <w:rsid w:val="57A005D2"/>
    <w:rsid w:val="57A25CD3"/>
    <w:rsid w:val="57FD096B"/>
    <w:rsid w:val="58513F4A"/>
    <w:rsid w:val="586D648C"/>
    <w:rsid w:val="58900F85"/>
    <w:rsid w:val="58944362"/>
    <w:rsid w:val="58B54896"/>
    <w:rsid w:val="58CC7485"/>
    <w:rsid w:val="58DF22FB"/>
    <w:rsid w:val="58FD050E"/>
    <w:rsid w:val="593F47FB"/>
    <w:rsid w:val="594D1592"/>
    <w:rsid w:val="597936DB"/>
    <w:rsid w:val="5999038C"/>
    <w:rsid w:val="59C55D87"/>
    <w:rsid w:val="59E00B01"/>
    <w:rsid w:val="59FD00B1"/>
    <w:rsid w:val="5A1112D0"/>
    <w:rsid w:val="5A181415"/>
    <w:rsid w:val="5A226FEB"/>
    <w:rsid w:val="5A284778"/>
    <w:rsid w:val="5A2921FA"/>
    <w:rsid w:val="5A2E7499"/>
    <w:rsid w:val="5A650D5A"/>
    <w:rsid w:val="5A6D19E9"/>
    <w:rsid w:val="5AC32B55"/>
    <w:rsid w:val="5AD03C8C"/>
    <w:rsid w:val="5AED578D"/>
    <w:rsid w:val="5AF73B4C"/>
    <w:rsid w:val="5B140A8D"/>
    <w:rsid w:val="5B14567A"/>
    <w:rsid w:val="5B28431B"/>
    <w:rsid w:val="5B2B2BF6"/>
    <w:rsid w:val="5B3357B5"/>
    <w:rsid w:val="5B34012D"/>
    <w:rsid w:val="5B455E49"/>
    <w:rsid w:val="5B4D6AD9"/>
    <w:rsid w:val="5B721297"/>
    <w:rsid w:val="5B767C9D"/>
    <w:rsid w:val="5B8524B6"/>
    <w:rsid w:val="5BA82211"/>
    <w:rsid w:val="5BCA4851"/>
    <w:rsid w:val="5BCD28AA"/>
    <w:rsid w:val="5BCE032C"/>
    <w:rsid w:val="5BE22850"/>
    <w:rsid w:val="5BF426AE"/>
    <w:rsid w:val="5BF6140F"/>
    <w:rsid w:val="5C013FFE"/>
    <w:rsid w:val="5C0C4893"/>
    <w:rsid w:val="5C2815F4"/>
    <w:rsid w:val="5C4E7327"/>
    <w:rsid w:val="5C57280E"/>
    <w:rsid w:val="5C660FA0"/>
    <w:rsid w:val="5C672AA9"/>
    <w:rsid w:val="5C7929C3"/>
    <w:rsid w:val="5C79756C"/>
    <w:rsid w:val="5C845394"/>
    <w:rsid w:val="5C8964F1"/>
    <w:rsid w:val="5CAC2E4F"/>
    <w:rsid w:val="5CB660AB"/>
    <w:rsid w:val="5CBC1CDA"/>
    <w:rsid w:val="5CCE3752"/>
    <w:rsid w:val="5CE84C26"/>
    <w:rsid w:val="5CE867F5"/>
    <w:rsid w:val="5D024EA6"/>
    <w:rsid w:val="5D0C57B5"/>
    <w:rsid w:val="5D202A76"/>
    <w:rsid w:val="5D327BF3"/>
    <w:rsid w:val="5D42240C"/>
    <w:rsid w:val="5D4A529A"/>
    <w:rsid w:val="5D4B2D1B"/>
    <w:rsid w:val="5D695B4F"/>
    <w:rsid w:val="5D9C143B"/>
    <w:rsid w:val="5DBF7DEC"/>
    <w:rsid w:val="5DD1175D"/>
    <w:rsid w:val="5E056DEE"/>
    <w:rsid w:val="5E0B78D6"/>
    <w:rsid w:val="5E285C6A"/>
    <w:rsid w:val="5E2A106F"/>
    <w:rsid w:val="5E2B7A64"/>
    <w:rsid w:val="5E4E70C6"/>
    <w:rsid w:val="5E79378D"/>
    <w:rsid w:val="5E8A14A9"/>
    <w:rsid w:val="5E95783A"/>
    <w:rsid w:val="5EA0144F"/>
    <w:rsid w:val="5EDC5A30"/>
    <w:rsid w:val="5F0B0AFE"/>
    <w:rsid w:val="5F275E09"/>
    <w:rsid w:val="5F31646A"/>
    <w:rsid w:val="5F3764EB"/>
    <w:rsid w:val="5F4905E3"/>
    <w:rsid w:val="5F492843"/>
    <w:rsid w:val="5F4C5CE4"/>
    <w:rsid w:val="5F510347"/>
    <w:rsid w:val="5F693096"/>
    <w:rsid w:val="5F7C677D"/>
    <w:rsid w:val="5F844F44"/>
    <w:rsid w:val="5F874E1C"/>
    <w:rsid w:val="5FD87CD5"/>
    <w:rsid w:val="5FDE68D8"/>
    <w:rsid w:val="5FEA2B00"/>
    <w:rsid w:val="5FFD138B"/>
    <w:rsid w:val="5FFF488E"/>
    <w:rsid w:val="60052F14"/>
    <w:rsid w:val="6038246A"/>
    <w:rsid w:val="603A11F0"/>
    <w:rsid w:val="603D05FD"/>
    <w:rsid w:val="60561A1A"/>
    <w:rsid w:val="607A6756"/>
    <w:rsid w:val="607E588E"/>
    <w:rsid w:val="6080285E"/>
    <w:rsid w:val="60A66321"/>
    <w:rsid w:val="60A7051F"/>
    <w:rsid w:val="60AA14A4"/>
    <w:rsid w:val="60CB525C"/>
    <w:rsid w:val="60DC2FAC"/>
    <w:rsid w:val="610E58F3"/>
    <w:rsid w:val="61122DD7"/>
    <w:rsid w:val="61192212"/>
    <w:rsid w:val="61291B64"/>
    <w:rsid w:val="612F717E"/>
    <w:rsid w:val="613C4296"/>
    <w:rsid w:val="613E3F16"/>
    <w:rsid w:val="61492DB2"/>
    <w:rsid w:val="614B322B"/>
    <w:rsid w:val="61502F36"/>
    <w:rsid w:val="615A3846"/>
    <w:rsid w:val="615B59F2"/>
    <w:rsid w:val="617D4CFF"/>
    <w:rsid w:val="61890B12"/>
    <w:rsid w:val="618A1E17"/>
    <w:rsid w:val="618F629E"/>
    <w:rsid w:val="61A03FBA"/>
    <w:rsid w:val="61C52EF5"/>
    <w:rsid w:val="61C96C3E"/>
    <w:rsid w:val="61CA737D"/>
    <w:rsid w:val="61E5122B"/>
    <w:rsid w:val="61EE3039"/>
    <w:rsid w:val="61FC73D2"/>
    <w:rsid w:val="6245254A"/>
    <w:rsid w:val="624F2E59"/>
    <w:rsid w:val="625414DF"/>
    <w:rsid w:val="62561C5C"/>
    <w:rsid w:val="6270558C"/>
    <w:rsid w:val="62911E79"/>
    <w:rsid w:val="62957D4A"/>
    <w:rsid w:val="62B94A87"/>
    <w:rsid w:val="62C94D21"/>
    <w:rsid w:val="62D94FBC"/>
    <w:rsid w:val="62F36907"/>
    <w:rsid w:val="63065CD5"/>
    <w:rsid w:val="63080089"/>
    <w:rsid w:val="63164E21"/>
    <w:rsid w:val="63275ABD"/>
    <w:rsid w:val="63275C4B"/>
    <w:rsid w:val="63721CB7"/>
    <w:rsid w:val="637451BA"/>
    <w:rsid w:val="639F01FD"/>
    <w:rsid w:val="63A26C03"/>
    <w:rsid w:val="63CD05A1"/>
    <w:rsid w:val="63F87992"/>
    <w:rsid w:val="64060EA6"/>
    <w:rsid w:val="642F7AEC"/>
    <w:rsid w:val="643903FB"/>
    <w:rsid w:val="64630F05"/>
    <w:rsid w:val="647A0E64"/>
    <w:rsid w:val="64B51049"/>
    <w:rsid w:val="64B66ACB"/>
    <w:rsid w:val="64BF1959"/>
    <w:rsid w:val="64C55A61"/>
    <w:rsid w:val="64CD2E6D"/>
    <w:rsid w:val="64D477DD"/>
    <w:rsid w:val="64EF4C46"/>
    <w:rsid w:val="65024106"/>
    <w:rsid w:val="65033347"/>
    <w:rsid w:val="65035C77"/>
    <w:rsid w:val="652D037B"/>
    <w:rsid w:val="652E1C0D"/>
    <w:rsid w:val="654F59C5"/>
    <w:rsid w:val="657B1D84"/>
    <w:rsid w:val="6598383A"/>
    <w:rsid w:val="65E329B5"/>
    <w:rsid w:val="66032EEA"/>
    <w:rsid w:val="66042274"/>
    <w:rsid w:val="66136236"/>
    <w:rsid w:val="662F37B6"/>
    <w:rsid w:val="663F52CD"/>
    <w:rsid w:val="66803B38"/>
    <w:rsid w:val="669B2BD8"/>
    <w:rsid w:val="669E696B"/>
    <w:rsid w:val="66AD6467"/>
    <w:rsid w:val="66D51044"/>
    <w:rsid w:val="670C04C4"/>
    <w:rsid w:val="6715689C"/>
    <w:rsid w:val="67364560"/>
    <w:rsid w:val="674A6A84"/>
    <w:rsid w:val="676F1242"/>
    <w:rsid w:val="67736138"/>
    <w:rsid w:val="6775534A"/>
    <w:rsid w:val="677A5055"/>
    <w:rsid w:val="67845964"/>
    <w:rsid w:val="678655E4"/>
    <w:rsid w:val="67A0618E"/>
    <w:rsid w:val="67B717D2"/>
    <w:rsid w:val="67B875AC"/>
    <w:rsid w:val="67BE1A0B"/>
    <w:rsid w:val="67CE162E"/>
    <w:rsid w:val="67CE7B06"/>
    <w:rsid w:val="67FE791A"/>
    <w:rsid w:val="680A772B"/>
    <w:rsid w:val="683B6DE1"/>
    <w:rsid w:val="68467C21"/>
    <w:rsid w:val="685933BE"/>
    <w:rsid w:val="68621ACF"/>
    <w:rsid w:val="686E66ED"/>
    <w:rsid w:val="68AA5747"/>
    <w:rsid w:val="68C06D4D"/>
    <w:rsid w:val="68E92E5C"/>
    <w:rsid w:val="69056D5A"/>
    <w:rsid w:val="6933717F"/>
    <w:rsid w:val="6934718B"/>
    <w:rsid w:val="69367529"/>
    <w:rsid w:val="693F6886"/>
    <w:rsid w:val="69567EE8"/>
    <w:rsid w:val="69686DFF"/>
    <w:rsid w:val="696F4DDC"/>
    <w:rsid w:val="69887333"/>
    <w:rsid w:val="69944934"/>
    <w:rsid w:val="699E3A55"/>
    <w:rsid w:val="69A668E3"/>
    <w:rsid w:val="69D673B7"/>
    <w:rsid w:val="6A062B04"/>
    <w:rsid w:val="6A5034F9"/>
    <w:rsid w:val="6A5D4D8D"/>
    <w:rsid w:val="6A7259FE"/>
    <w:rsid w:val="6AA66486"/>
    <w:rsid w:val="6AB22052"/>
    <w:rsid w:val="6AB40856"/>
    <w:rsid w:val="6AD74A57"/>
    <w:rsid w:val="6AD92158"/>
    <w:rsid w:val="6B0420A3"/>
    <w:rsid w:val="6B131038"/>
    <w:rsid w:val="6B2547D6"/>
    <w:rsid w:val="6B275ADB"/>
    <w:rsid w:val="6B2F0978"/>
    <w:rsid w:val="6B5305D0"/>
    <w:rsid w:val="6B5C07C8"/>
    <w:rsid w:val="6B616BB9"/>
    <w:rsid w:val="6B732357"/>
    <w:rsid w:val="6B75333E"/>
    <w:rsid w:val="6B764F71"/>
    <w:rsid w:val="6B781A16"/>
    <w:rsid w:val="6B7D2C66"/>
    <w:rsid w:val="6BA375FD"/>
    <w:rsid w:val="6BA8152C"/>
    <w:rsid w:val="6BAE06FE"/>
    <w:rsid w:val="6BC0083E"/>
    <w:rsid w:val="6BCB07E7"/>
    <w:rsid w:val="6BCB406A"/>
    <w:rsid w:val="6BFF1F3B"/>
    <w:rsid w:val="6C0810CC"/>
    <w:rsid w:val="6C207338"/>
    <w:rsid w:val="6C327292"/>
    <w:rsid w:val="6C4626F9"/>
    <w:rsid w:val="6C573C4E"/>
    <w:rsid w:val="6C5E35D9"/>
    <w:rsid w:val="6C770900"/>
    <w:rsid w:val="6CA2084A"/>
    <w:rsid w:val="6CBF05E3"/>
    <w:rsid w:val="6CD1520A"/>
    <w:rsid w:val="6CE04AAC"/>
    <w:rsid w:val="6CE33832"/>
    <w:rsid w:val="6CFE0101"/>
    <w:rsid w:val="6D016666"/>
    <w:rsid w:val="6D2A61A5"/>
    <w:rsid w:val="6D351FB7"/>
    <w:rsid w:val="6D400349"/>
    <w:rsid w:val="6D531344"/>
    <w:rsid w:val="6D721E1C"/>
    <w:rsid w:val="6D827EB8"/>
    <w:rsid w:val="6D961870"/>
    <w:rsid w:val="6DA438F0"/>
    <w:rsid w:val="6DAE4200"/>
    <w:rsid w:val="6DB74B0F"/>
    <w:rsid w:val="6DBA64BB"/>
    <w:rsid w:val="6DD30BBC"/>
    <w:rsid w:val="6DDB184C"/>
    <w:rsid w:val="6DF25BEE"/>
    <w:rsid w:val="6E397FB3"/>
    <w:rsid w:val="6E50180B"/>
    <w:rsid w:val="6E817651"/>
    <w:rsid w:val="6E9F4E0D"/>
    <w:rsid w:val="6EA57A35"/>
    <w:rsid w:val="6EC05342"/>
    <w:rsid w:val="6EC42BEC"/>
    <w:rsid w:val="6ECF42D7"/>
    <w:rsid w:val="6EE51CFE"/>
    <w:rsid w:val="6EEC7A6B"/>
    <w:rsid w:val="6EFC6C8D"/>
    <w:rsid w:val="6F1C6B95"/>
    <w:rsid w:val="6F3919AA"/>
    <w:rsid w:val="6F3E7E0E"/>
    <w:rsid w:val="6F4C29A7"/>
    <w:rsid w:val="6F6B6EC0"/>
    <w:rsid w:val="6F747076"/>
    <w:rsid w:val="6F7F6679"/>
    <w:rsid w:val="6F857F81"/>
    <w:rsid w:val="6F9D14AD"/>
    <w:rsid w:val="6FA27059"/>
    <w:rsid w:val="6FBC64DE"/>
    <w:rsid w:val="6FDA5A8E"/>
    <w:rsid w:val="6FF440BA"/>
    <w:rsid w:val="70081E17"/>
    <w:rsid w:val="700D4FE4"/>
    <w:rsid w:val="70201721"/>
    <w:rsid w:val="70483B44"/>
    <w:rsid w:val="70560610"/>
    <w:rsid w:val="705A1860"/>
    <w:rsid w:val="70650EF5"/>
    <w:rsid w:val="70920AC0"/>
    <w:rsid w:val="70A367DC"/>
    <w:rsid w:val="70BE1584"/>
    <w:rsid w:val="70D31529"/>
    <w:rsid w:val="70DB14C5"/>
    <w:rsid w:val="70E02DBE"/>
    <w:rsid w:val="70E47AB3"/>
    <w:rsid w:val="70E936CD"/>
    <w:rsid w:val="70F33FDC"/>
    <w:rsid w:val="7119641A"/>
    <w:rsid w:val="712332F9"/>
    <w:rsid w:val="712668F3"/>
    <w:rsid w:val="713F6856"/>
    <w:rsid w:val="716A5681"/>
    <w:rsid w:val="71876A4E"/>
    <w:rsid w:val="718B0CD8"/>
    <w:rsid w:val="719A15C0"/>
    <w:rsid w:val="71A90288"/>
    <w:rsid w:val="71BB4DD7"/>
    <w:rsid w:val="71CD1741"/>
    <w:rsid w:val="71D2144C"/>
    <w:rsid w:val="71DF4EDF"/>
    <w:rsid w:val="71FF3215"/>
    <w:rsid w:val="720A7DED"/>
    <w:rsid w:val="721F5CC8"/>
    <w:rsid w:val="722D1246"/>
    <w:rsid w:val="72314CE9"/>
    <w:rsid w:val="728B087B"/>
    <w:rsid w:val="72A15BE1"/>
    <w:rsid w:val="72BB2DE9"/>
    <w:rsid w:val="72C651DC"/>
    <w:rsid w:val="73123FD7"/>
    <w:rsid w:val="73222073"/>
    <w:rsid w:val="737B3A06"/>
    <w:rsid w:val="7383558F"/>
    <w:rsid w:val="738D1722"/>
    <w:rsid w:val="739B64B9"/>
    <w:rsid w:val="73A50FC7"/>
    <w:rsid w:val="73C43DFB"/>
    <w:rsid w:val="73C95D04"/>
    <w:rsid w:val="73E42131"/>
    <w:rsid w:val="73F45294"/>
    <w:rsid w:val="743E1546"/>
    <w:rsid w:val="7474619D"/>
    <w:rsid w:val="74822F34"/>
    <w:rsid w:val="748773BC"/>
    <w:rsid w:val="74932401"/>
    <w:rsid w:val="74963463"/>
    <w:rsid w:val="74A024E4"/>
    <w:rsid w:val="74B41184"/>
    <w:rsid w:val="74D3178F"/>
    <w:rsid w:val="74E7457E"/>
    <w:rsid w:val="74EF06D7"/>
    <w:rsid w:val="75157FB5"/>
    <w:rsid w:val="751E0BB4"/>
    <w:rsid w:val="75560814"/>
    <w:rsid w:val="75681F2D"/>
    <w:rsid w:val="756C0933"/>
    <w:rsid w:val="759252EF"/>
    <w:rsid w:val="75963DF2"/>
    <w:rsid w:val="759F4605"/>
    <w:rsid w:val="75A20E0D"/>
    <w:rsid w:val="75A51D92"/>
    <w:rsid w:val="75C34BC5"/>
    <w:rsid w:val="75C70DD8"/>
    <w:rsid w:val="763969C7"/>
    <w:rsid w:val="767E1A75"/>
    <w:rsid w:val="768B0D8B"/>
    <w:rsid w:val="768C460E"/>
    <w:rsid w:val="76A72C39"/>
    <w:rsid w:val="76BC3479"/>
    <w:rsid w:val="76C61E69"/>
    <w:rsid w:val="76D025F8"/>
    <w:rsid w:val="76FB6DD0"/>
    <w:rsid w:val="772D2B12"/>
    <w:rsid w:val="775C3661"/>
    <w:rsid w:val="777278C8"/>
    <w:rsid w:val="7778770E"/>
    <w:rsid w:val="77866A24"/>
    <w:rsid w:val="779E75B7"/>
    <w:rsid w:val="779F1B4C"/>
    <w:rsid w:val="77D942B0"/>
    <w:rsid w:val="77E757C4"/>
    <w:rsid w:val="77F03ED5"/>
    <w:rsid w:val="77FC205E"/>
    <w:rsid w:val="784268F9"/>
    <w:rsid w:val="78435EDE"/>
    <w:rsid w:val="78540376"/>
    <w:rsid w:val="78746B29"/>
    <w:rsid w:val="788D5058"/>
    <w:rsid w:val="789214E0"/>
    <w:rsid w:val="78A06277"/>
    <w:rsid w:val="78AE558D"/>
    <w:rsid w:val="78BA6E21"/>
    <w:rsid w:val="78BC2324"/>
    <w:rsid w:val="78BF32A9"/>
    <w:rsid w:val="78EC17AD"/>
    <w:rsid w:val="7907149F"/>
    <w:rsid w:val="79333388"/>
    <w:rsid w:val="79351615"/>
    <w:rsid w:val="79577FFA"/>
    <w:rsid w:val="79597C24"/>
    <w:rsid w:val="796171F2"/>
    <w:rsid w:val="79626335"/>
    <w:rsid w:val="79741AD3"/>
    <w:rsid w:val="797D2B0D"/>
    <w:rsid w:val="79822FE7"/>
    <w:rsid w:val="79840EF6"/>
    <w:rsid w:val="79BF0C4D"/>
    <w:rsid w:val="79E4560A"/>
    <w:rsid w:val="79E63D12"/>
    <w:rsid w:val="79F76829"/>
    <w:rsid w:val="79FF741A"/>
    <w:rsid w:val="7A0016B7"/>
    <w:rsid w:val="7A525C3E"/>
    <w:rsid w:val="7A547BF0"/>
    <w:rsid w:val="7A58515F"/>
    <w:rsid w:val="7A6A4943"/>
    <w:rsid w:val="7A6A7A61"/>
    <w:rsid w:val="7A882894"/>
    <w:rsid w:val="7A9D283A"/>
    <w:rsid w:val="7AA34743"/>
    <w:rsid w:val="7AA443C3"/>
    <w:rsid w:val="7AA51E44"/>
    <w:rsid w:val="7AA678C6"/>
    <w:rsid w:val="7ADB7F8E"/>
    <w:rsid w:val="7AF27D45"/>
    <w:rsid w:val="7B0E3DF2"/>
    <w:rsid w:val="7B18614D"/>
    <w:rsid w:val="7B2C55A1"/>
    <w:rsid w:val="7B2F6525"/>
    <w:rsid w:val="7B3B5BBB"/>
    <w:rsid w:val="7B533262"/>
    <w:rsid w:val="7B611298"/>
    <w:rsid w:val="7B8F7843"/>
    <w:rsid w:val="7BAF5A0A"/>
    <w:rsid w:val="7BBB7AF7"/>
    <w:rsid w:val="7BDD0D68"/>
    <w:rsid w:val="7BE94A5A"/>
    <w:rsid w:val="7BF02F9C"/>
    <w:rsid w:val="7C0B37AE"/>
    <w:rsid w:val="7C1A5229"/>
    <w:rsid w:val="7C1B32EA"/>
    <w:rsid w:val="7C532E05"/>
    <w:rsid w:val="7C6D071B"/>
    <w:rsid w:val="7C8F493C"/>
    <w:rsid w:val="7C9F0D06"/>
    <w:rsid w:val="7CAC1AA7"/>
    <w:rsid w:val="7CAE2219"/>
    <w:rsid w:val="7CB00FA0"/>
    <w:rsid w:val="7CB10844"/>
    <w:rsid w:val="7CCA3D48"/>
    <w:rsid w:val="7CED202F"/>
    <w:rsid w:val="7CF56AE3"/>
    <w:rsid w:val="7CFA011A"/>
    <w:rsid w:val="7D19514C"/>
    <w:rsid w:val="7D307A98"/>
    <w:rsid w:val="7D541AAE"/>
    <w:rsid w:val="7D6B38D1"/>
    <w:rsid w:val="7D7B3DA7"/>
    <w:rsid w:val="7D813877"/>
    <w:rsid w:val="7D917500"/>
    <w:rsid w:val="7DBA506B"/>
    <w:rsid w:val="7DC27B63"/>
    <w:rsid w:val="7DDC7055"/>
    <w:rsid w:val="7DFF63F6"/>
    <w:rsid w:val="7E380E55"/>
    <w:rsid w:val="7E437985"/>
    <w:rsid w:val="7E535DCD"/>
    <w:rsid w:val="7E5725D5"/>
    <w:rsid w:val="7E713264"/>
    <w:rsid w:val="7E8F73B2"/>
    <w:rsid w:val="7E96480B"/>
    <w:rsid w:val="7E9C69FA"/>
    <w:rsid w:val="7EBE547D"/>
    <w:rsid w:val="7EC00980"/>
    <w:rsid w:val="7ED10C1A"/>
    <w:rsid w:val="7EE7144B"/>
    <w:rsid w:val="7EFD0E60"/>
    <w:rsid w:val="7F062B15"/>
    <w:rsid w:val="7F190115"/>
    <w:rsid w:val="7F2E0FB4"/>
    <w:rsid w:val="7FAA4181"/>
    <w:rsid w:val="7FD269B4"/>
    <w:rsid w:val="7FD52A46"/>
    <w:rsid w:val="7FF043CB"/>
    <w:rsid w:val="7FF50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widowControl/>
      <w:spacing w:before="340" w:after="330" w:line="578" w:lineRule="atLeast"/>
      <w:jc w:val="left"/>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oc 1"/>
    <w:basedOn w:val="1"/>
    <w:next w:val="1"/>
    <w:unhideWhenUsed/>
    <w:qFormat/>
    <w:uiPriority w:val="39"/>
    <w:pPr>
      <w:tabs>
        <w:tab w:val="right" w:leader="dot" w:pos="10456"/>
      </w:tabs>
      <w:spacing w:line="480" w:lineRule="auto"/>
    </w:pPr>
    <w:rPr>
      <w:rFonts w:ascii="楷体" w:hAnsi="楷体" w:eastAsia="楷体"/>
      <w:b/>
      <w:bCs/>
      <w:sz w:val="24"/>
      <w:szCs w:val="28"/>
      <w:lang w:val="zh-CN"/>
    </w:rPr>
  </w:style>
  <w:style w:type="paragraph" w:styleId="6">
    <w:name w:val="toc 2"/>
    <w:basedOn w:val="1"/>
    <w:next w:val="1"/>
    <w:unhideWhenUsed/>
    <w:qFormat/>
    <w:uiPriority w:val="39"/>
    <w:pPr>
      <w:ind w:left="420" w:leftChars="200"/>
    </w:p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u w:val="single"/>
    </w:rPr>
  </w:style>
  <w:style w:type="character" w:customStyle="1" w:styleId="12">
    <w:name w:val="未处理的提及1"/>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chart" Target="charts/chart6.xml"/><Relationship Id="rId20" Type="http://schemas.openxmlformats.org/officeDocument/2006/relationships/chart" Target="charts/chart5.xml"/><Relationship Id="rId2" Type="http://schemas.openxmlformats.org/officeDocument/2006/relationships/settings" Target="settings.xml"/><Relationship Id="rId19" Type="http://schemas.openxmlformats.org/officeDocument/2006/relationships/chart" Target="charts/chart4.xml"/><Relationship Id="rId18" Type="http://schemas.openxmlformats.org/officeDocument/2006/relationships/chart" Target="charts/chart3.xml"/><Relationship Id="rId17" Type="http://schemas.openxmlformats.org/officeDocument/2006/relationships/chart" Target="charts/chart2.xml"/><Relationship Id="rId16" Type="http://schemas.openxmlformats.org/officeDocument/2006/relationships/chart" Target="charts/chart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image2.wdp"/><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D:\&#24037;&#20316;&#25968;&#25454;\&#38108;\&#22823;&#31867;&#36164;&#20135;&#25253;&#21578;.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D:\&#24037;&#20316;&#25968;&#25454;\&#38108;\&#22823;&#31867;&#36164;&#20135;&#25253;&#21578;.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D:\&#24037;&#20316;&#25968;&#25454;\&#38108;\&#22823;&#31867;&#36164;&#20135;&#25253;&#21578;.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D:\&#24037;&#20316;&#25968;&#25454;\&#38108;\&#22823;&#31867;&#36164;&#20135;&#25253;&#21578;.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D:\&#24037;&#20316;&#25968;&#25454;\&#38108;\&#22823;&#31867;&#36164;&#20135;&#25253;&#21578;.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D:\&#24037;&#20316;&#25968;&#25454;\&#38108;\&#22823;&#31867;&#36164;&#20135;&#25253;&#2157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铜平衡!$H$6</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铜平衡!$G$7:$G$18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铜平衡!$H$7:$H$18</c:f>
              <c:numCache>
                <c:formatCode>General</c:formatCode>
                <c:ptCount val="12"/>
                <c:pt idx="0">
                  <c:v>1.18</c:v>
                </c:pt>
                <c:pt idx="1">
                  <c:v>12.98</c:v>
                </c:pt>
                <c:pt idx="2">
                  <c:v>-8.63</c:v>
                </c:pt>
                <c:pt idx="3">
                  <c:v>-3.16</c:v>
                </c:pt>
                <c:pt idx="4">
                  <c:v>-0.33</c:v>
                </c:pt>
                <c:pt idx="5">
                  <c:v>0.85</c:v>
                </c:pt>
                <c:pt idx="6">
                  <c:v>-4.52</c:v>
                </c:pt>
                <c:pt idx="7">
                  <c:v>0.27</c:v>
                </c:pt>
                <c:pt idx="8">
                  <c:v>-0.71</c:v>
                </c:pt>
                <c:pt idx="9">
                  <c:v>2.57</c:v>
                </c:pt>
                <c:pt idx="10">
                  <c:v>2.21</c:v>
                </c:pt>
                <c:pt idx="11">
                  <c:v>-1.6</c:v>
                </c:pt>
              </c:numCache>
            </c:numRef>
          </c:val>
          <c:smooth val="0"/>
        </c:ser>
        <c:ser>
          <c:idx val="1"/>
          <c:order val="1"/>
          <c:tx>
            <c:strRef>
              <c:f>铜平衡!$I$6</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铜平衡!$G$7:$G$18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铜平衡!$I$7:$I$18</c:f>
              <c:numCache>
                <c:formatCode>General</c:formatCode>
                <c:ptCount val="12"/>
                <c:pt idx="0">
                  <c:v>16.59</c:v>
                </c:pt>
                <c:pt idx="1">
                  <c:v>6.15</c:v>
                </c:pt>
                <c:pt idx="2">
                  <c:v>-12.35</c:v>
                </c:pt>
                <c:pt idx="3">
                  <c:v>-3.84</c:v>
                </c:pt>
                <c:pt idx="4">
                  <c:v>-4.52</c:v>
                </c:pt>
                <c:pt idx="5">
                  <c:v>-1.92</c:v>
                </c:pt>
                <c:pt idx="6">
                  <c:v>0.0500000000000007</c:v>
                </c:pt>
                <c:pt idx="7">
                  <c:v>-2.22</c:v>
                </c:pt>
                <c:pt idx="8">
                  <c:v>-0.430000000000001</c:v>
                </c:pt>
                <c:pt idx="9">
                  <c:v>-1.42</c:v>
                </c:pt>
                <c:pt idx="10">
                  <c:v>-0.0299999999999994</c:v>
                </c:pt>
                <c:pt idx="11">
                  <c:v>0.779999999999999</c:v>
                </c:pt>
              </c:numCache>
            </c:numRef>
          </c:val>
          <c:smooth val="0"/>
        </c:ser>
        <c:ser>
          <c:idx val="2"/>
          <c:order val="2"/>
          <c:tx>
            <c:strRef>
              <c:f>铜平衡!$J$6</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铜平衡!$G$7:$G$18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铜平衡!$J$7:$J$18</c:f>
              <c:numCache>
                <c:formatCode>General</c:formatCode>
                <c:ptCount val="12"/>
                <c:pt idx="0">
                  <c:v>2.56</c:v>
                </c:pt>
                <c:pt idx="1">
                  <c:v>21.37</c:v>
                </c:pt>
                <c:pt idx="2">
                  <c:v>8.52</c:v>
                </c:pt>
                <c:pt idx="3">
                  <c:v>-0.300000000000004</c:v>
                </c:pt>
                <c:pt idx="4">
                  <c:v>5.56</c:v>
                </c:pt>
                <c:pt idx="5">
                  <c:v>-4.44</c:v>
                </c:pt>
                <c:pt idx="6">
                  <c:v>-4.79</c:v>
                </c:pt>
                <c:pt idx="7">
                  <c:v>-7.21</c:v>
                </c:pt>
                <c:pt idx="8">
                  <c:v>-11.36</c:v>
                </c:pt>
                <c:pt idx="9">
                  <c:v>4.43</c:v>
                </c:pt>
                <c:pt idx="10">
                  <c:v>-7.23</c:v>
                </c:pt>
                <c:pt idx="11">
                  <c:v>-2.44</c:v>
                </c:pt>
              </c:numCache>
            </c:numRef>
          </c:val>
          <c:smooth val="0"/>
        </c:ser>
        <c:ser>
          <c:idx val="3"/>
          <c:order val="3"/>
          <c:tx>
            <c:strRef>
              <c:f>铜平衡!$K$6</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铜平衡!$G$7:$G$18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铜平衡!$K$7:$K$18</c:f>
              <c:numCache>
                <c:formatCode>General</c:formatCode>
                <c:ptCount val="12"/>
                <c:pt idx="0">
                  <c:v>5.27</c:v>
                </c:pt>
                <c:pt idx="1">
                  <c:v>21.03</c:v>
                </c:pt>
                <c:pt idx="2">
                  <c:v>-3.89</c:v>
                </c:pt>
                <c:pt idx="3">
                  <c:v>-20.76</c:v>
                </c:pt>
                <c:pt idx="4">
                  <c:v>0.909999999999998</c:v>
                </c:pt>
                <c:pt idx="5">
                  <c:v>-1.26</c:v>
                </c:pt>
                <c:pt idx="6">
                  <c:v>-0.68</c:v>
                </c:pt>
                <c:pt idx="7">
                  <c:v>0.780000000000001</c:v>
                </c:pt>
                <c:pt idx="8">
                  <c:v>2.12</c:v>
                </c:pt>
                <c:pt idx="9">
                  <c:v>3.43</c:v>
                </c:pt>
                <c:pt idx="10">
                  <c:v>-0.91</c:v>
                </c:pt>
                <c:pt idx="11">
                  <c:v>6.54</c:v>
                </c:pt>
              </c:numCache>
            </c:numRef>
          </c:val>
          <c:smooth val="0"/>
        </c:ser>
        <c:ser>
          <c:idx val="4"/>
          <c:order val="4"/>
          <c:tx>
            <c:strRef>
              <c:f>铜平衡!$L$6</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铜平衡!$G$7:$G$18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铜平衡!$L$7:$L$18</c:f>
              <c:numCache>
                <c:formatCode>General</c:formatCode>
                <c:ptCount val="12"/>
                <c:pt idx="0">
                  <c:v>8.39</c:v>
                </c:pt>
                <c:pt idx="1">
                  <c:v>20.89</c:v>
                </c:pt>
                <c:pt idx="2">
                  <c:v>-0.859999999999999</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铜平衡!$H$34</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铜平衡!$G$35:$G$46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铜平衡!$H$35:$H$46</c:f>
              <c:numCache>
                <c:formatCode>0.00_ </c:formatCode>
                <c:ptCount val="12"/>
                <c:pt idx="0">
                  <c:v>7.664099885126</c:v>
                </c:pt>
                <c:pt idx="1">
                  <c:v>16.34398593468</c:v>
                </c:pt>
                <c:pt idx="2">
                  <c:v>-6.24350603052201</c:v>
                </c:pt>
                <c:pt idx="3">
                  <c:v>6.756958157194</c:v>
                </c:pt>
                <c:pt idx="4">
                  <c:v>-3.940713983588</c:v>
                </c:pt>
                <c:pt idx="5">
                  <c:v>-2.10394294151801</c:v>
                </c:pt>
                <c:pt idx="6">
                  <c:v>-8.860526349196</c:v>
                </c:pt>
                <c:pt idx="7">
                  <c:v>-10.927811103836</c:v>
                </c:pt>
                <c:pt idx="8">
                  <c:v>-11.232555741204</c:v>
                </c:pt>
                <c:pt idx="9">
                  <c:v>-3.26461905304</c:v>
                </c:pt>
                <c:pt idx="10">
                  <c:v>-0.453749090776</c:v>
                </c:pt>
                <c:pt idx="11">
                  <c:v>0.973198359655999</c:v>
                </c:pt>
              </c:numCache>
            </c:numRef>
          </c:val>
          <c:smooth val="0"/>
        </c:ser>
        <c:ser>
          <c:idx val="1"/>
          <c:order val="1"/>
          <c:tx>
            <c:strRef>
              <c:f>铜平衡!$I$34</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铜平衡!$G$35:$G$46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铜平衡!$I$35:$I$46</c:f>
              <c:numCache>
                <c:formatCode>0.00_ </c:formatCode>
                <c:ptCount val="12"/>
                <c:pt idx="0">
                  <c:v>17.875975432248</c:v>
                </c:pt>
                <c:pt idx="1">
                  <c:v>12.626868384746</c:v>
                </c:pt>
                <c:pt idx="2">
                  <c:v>-12.425490072746</c:v>
                </c:pt>
                <c:pt idx="3">
                  <c:v>-4.250162064704</c:v>
                </c:pt>
                <c:pt idx="4">
                  <c:v>-5.45501048393</c:v>
                </c:pt>
                <c:pt idx="5">
                  <c:v>-8.752596062402</c:v>
                </c:pt>
                <c:pt idx="6">
                  <c:v>-0.317862224305998</c:v>
                </c:pt>
                <c:pt idx="7">
                  <c:v>0.122016551455996</c:v>
                </c:pt>
                <c:pt idx="8">
                  <c:v>4.00157398119</c:v>
                </c:pt>
                <c:pt idx="9">
                  <c:v>-2.935075744132</c:v>
                </c:pt>
                <c:pt idx="10">
                  <c:v>-1.448068062084</c:v>
                </c:pt>
                <c:pt idx="11">
                  <c:v>-0.501657110529997</c:v>
                </c:pt>
              </c:numCache>
            </c:numRef>
          </c:val>
          <c:smooth val="0"/>
        </c:ser>
        <c:ser>
          <c:idx val="2"/>
          <c:order val="2"/>
          <c:tx>
            <c:strRef>
              <c:f>铜平衡!$J$34</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铜平衡!$G$35:$G$46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铜平衡!$J$35:$J$46</c:f>
              <c:numCache>
                <c:formatCode>0.00_ </c:formatCode>
                <c:ptCount val="12"/>
                <c:pt idx="0">
                  <c:v>1.160373469242</c:v>
                </c:pt>
                <c:pt idx="1">
                  <c:v>22.744360053512</c:v>
                </c:pt>
                <c:pt idx="2">
                  <c:v>9.253258591272</c:v>
                </c:pt>
                <c:pt idx="3">
                  <c:v>1.34162415563399</c:v>
                </c:pt>
                <c:pt idx="4">
                  <c:v>6.43803093211801</c:v>
                </c:pt>
                <c:pt idx="5">
                  <c:v>1.43907761808599</c:v>
                </c:pt>
                <c:pt idx="6">
                  <c:v>1.489736621476</c:v>
                </c:pt>
                <c:pt idx="7">
                  <c:v>1.27897708417801</c:v>
                </c:pt>
                <c:pt idx="8">
                  <c:v>-12.807147591128</c:v>
                </c:pt>
                <c:pt idx="9">
                  <c:v>3.751246864476</c:v>
                </c:pt>
                <c:pt idx="10">
                  <c:v>-7.04814957690201</c:v>
                </c:pt>
                <c:pt idx="11">
                  <c:v>-5.83637896159</c:v>
                </c:pt>
              </c:numCache>
            </c:numRef>
          </c:val>
          <c:smooth val="0"/>
        </c:ser>
        <c:ser>
          <c:idx val="3"/>
          <c:order val="3"/>
          <c:tx>
            <c:strRef>
              <c:f>铜平衡!$K$34</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铜平衡!$G$35:$G$46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铜平衡!$K$35:$K$46</c:f>
              <c:numCache>
                <c:formatCode>0.00_ </c:formatCode>
                <c:ptCount val="12"/>
                <c:pt idx="0">
                  <c:v>3.99298697402399</c:v>
                </c:pt>
                <c:pt idx="1">
                  <c:v>23.753542937656</c:v>
                </c:pt>
                <c:pt idx="2">
                  <c:v>-5.36560443104401</c:v>
                </c:pt>
                <c:pt idx="3">
                  <c:v>-17.251802456048</c:v>
                </c:pt>
                <c:pt idx="4">
                  <c:v>-3.556659540756</c:v>
                </c:pt>
                <c:pt idx="5">
                  <c:v>-2.99082906507999</c:v>
                </c:pt>
                <c:pt idx="6">
                  <c:v>9.584597046644</c:v>
                </c:pt>
                <c:pt idx="7">
                  <c:v>4.057837749872</c:v>
                </c:pt>
                <c:pt idx="8">
                  <c:v>4.55518511165599</c:v>
                </c:pt>
                <c:pt idx="9">
                  <c:v>6.96675437960201</c:v>
                </c:pt>
                <c:pt idx="10">
                  <c:v>8.078317914674</c:v>
                </c:pt>
                <c:pt idx="11">
                  <c:v>10.4500835014</c:v>
                </c:pt>
              </c:numCache>
            </c:numRef>
          </c:val>
          <c:smooth val="0"/>
        </c:ser>
        <c:ser>
          <c:idx val="4"/>
          <c:order val="4"/>
          <c:tx>
            <c:strRef>
              <c:f>铜平衡!$L$34</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铜平衡!$G$35:$G$46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铜平衡!$L$35:$L$46</c:f>
              <c:numCache>
                <c:formatCode>0.00_ </c:formatCode>
                <c:ptCount val="12"/>
                <c:pt idx="0">
                  <c:v>18.011905794262</c:v>
                </c:pt>
                <c:pt idx="1">
                  <c:v>30.493141895258</c:v>
                </c:pt>
                <c:pt idx="2">
                  <c:v>5.517018796662</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铝锌平衡!$AP$6</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铝锌平衡!$AO$7:$AO$18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铝锌平衡!$AP$7:$AP$18</c:f>
              <c:numCache>
                <c:formatCode>General</c:formatCode>
                <c:ptCount val="12"/>
                <c:pt idx="0">
                  <c:v>5.82999999999998</c:v>
                </c:pt>
                <c:pt idx="1">
                  <c:v>43.71</c:v>
                </c:pt>
                <c:pt idx="2">
                  <c:v>-17.62</c:v>
                </c:pt>
                <c:pt idx="3">
                  <c:v>-10.56</c:v>
                </c:pt>
                <c:pt idx="4">
                  <c:v>-3.81000000000002</c:v>
                </c:pt>
                <c:pt idx="5">
                  <c:v>-21.44</c:v>
                </c:pt>
                <c:pt idx="6">
                  <c:v>-6.18000000000001</c:v>
                </c:pt>
                <c:pt idx="7">
                  <c:v>2.34</c:v>
                </c:pt>
                <c:pt idx="8">
                  <c:v>-10.29</c:v>
                </c:pt>
                <c:pt idx="9">
                  <c:v>-2.7</c:v>
                </c:pt>
                <c:pt idx="10">
                  <c:v>-8.88</c:v>
                </c:pt>
                <c:pt idx="11">
                  <c:v>-2.94</c:v>
                </c:pt>
              </c:numCache>
            </c:numRef>
          </c:val>
          <c:smooth val="0"/>
        </c:ser>
        <c:ser>
          <c:idx val="1"/>
          <c:order val="1"/>
          <c:tx>
            <c:strRef>
              <c:f>铝锌平衡!$AQ$6</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铝锌平衡!$AO$7:$AO$18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铝锌平衡!$AQ$7:$AQ$18</c:f>
              <c:numCache>
                <c:formatCode>General</c:formatCode>
                <c:ptCount val="12"/>
                <c:pt idx="0">
                  <c:v>62.43</c:v>
                </c:pt>
                <c:pt idx="1">
                  <c:v>25.69</c:v>
                </c:pt>
                <c:pt idx="2">
                  <c:v>-18.87</c:v>
                </c:pt>
                <c:pt idx="3">
                  <c:v>-25.14</c:v>
                </c:pt>
                <c:pt idx="4">
                  <c:v>-23.81</c:v>
                </c:pt>
                <c:pt idx="5">
                  <c:v>-8.86</c:v>
                </c:pt>
                <c:pt idx="6">
                  <c:v>-5.34999999999999</c:v>
                </c:pt>
                <c:pt idx="7">
                  <c:v>-5.22000000000001</c:v>
                </c:pt>
                <c:pt idx="8">
                  <c:v>0.300000000000004</c:v>
                </c:pt>
                <c:pt idx="9">
                  <c:v>19.51</c:v>
                </c:pt>
                <c:pt idx="10">
                  <c:v>-6.92999999999999</c:v>
                </c:pt>
                <c:pt idx="11">
                  <c:v>-19.33</c:v>
                </c:pt>
              </c:numCache>
            </c:numRef>
          </c:val>
          <c:smooth val="0"/>
        </c:ser>
        <c:ser>
          <c:idx val="2"/>
          <c:order val="2"/>
          <c:tx>
            <c:strRef>
              <c:f>铝锌平衡!$AR$6</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铝锌平衡!$AO$7:$AO$18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铝锌平衡!$AR$7:$AR$18</c:f>
              <c:numCache>
                <c:formatCode>General</c:formatCode>
                <c:ptCount val="12"/>
                <c:pt idx="0">
                  <c:v>9.66</c:v>
                </c:pt>
                <c:pt idx="1">
                  <c:v>46.44</c:v>
                </c:pt>
                <c:pt idx="2">
                  <c:v>3.72</c:v>
                </c:pt>
                <c:pt idx="3">
                  <c:v>-8.75</c:v>
                </c:pt>
                <c:pt idx="4">
                  <c:v>-6.46000000000001</c:v>
                </c:pt>
                <c:pt idx="5">
                  <c:v>-3.77</c:v>
                </c:pt>
                <c:pt idx="6">
                  <c:v>2.7</c:v>
                </c:pt>
                <c:pt idx="7">
                  <c:v>-1.23999999999999</c:v>
                </c:pt>
                <c:pt idx="8">
                  <c:v>-15.41</c:v>
                </c:pt>
                <c:pt idx="9">
                  <c:v>-5.58</c:v>
                </c:pt>
                <c:pt idx="10">
                  <c:v>-5.89000000000001</c:v>
                </c:pt>
                <c:pt idx="11">
                  <c:v>-4.57999999999999</c:v>
                </c:pt>
              </c:numCache>
            </c:numRef>
          </c:val>
          <c:smooth val="0"/>
        </c:ser>
        <c:ser>
          <c:idx val="3"/>
          <c:order val="3"/>
          <c:tx>
            <c:strRef>
              <c:f>铝锌平衡!$AS$6</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铝锌平衡!$AO$7:$AO$18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铝锌平衡!$AS$7:$AS$18</c:f>
              <c:numCache>
                <c:formatCode>General</c:formatCode>
                <c:ptCount val="12"/>
                <c:pt idx="0">
                  <c:v>10.91</c:v>
                </c:pt>
                <c:pt idx="1">
                  <c:v>47.01</c:v>
                </c:pt>
                <c:pt idx="2">
                  <c:v>-12.47</c:v>
                </c:pt>
                <c:pt idx="3">
                  <c:v>-29.6</c:v>
                </c:pt>
                <c:pt idx="4">
                  <c:v>-12.57</c:v>
                </c:pt>
                <c:pt idx="5">
                  <c:v>-2.38</c:v>
                </c:pt>
                <c:pt idx="6">
                  <c:v>7.55</c:v>
                </c:pt>
                <c:pt idx="7">
                  <c:v>6.30000000000001</c:v>
                </c:pt>
                <c:pt idx="8">
                  <c:v>-4.7</c:v>
                </c:pt>
                <c:pt idx="9">
                  <c:v>5</c:v>
                </c:pt>
                <c:pt idx="10">
                  <c:v>-3</c:v>
                </c:pt>
                <c:pt idx="11">
                  <c:v>7.2</c:v>
                </c:pt>
              </c:numCache>
            </c:numRef>
          </c:val>
          <c:smooth val="0"/>
        </c:ser>
        <c:ser>
          <c:idx val="4"/>
          <c:order val="4"/>
          <c:tx>
            <c:strRef>
              <c:f>铝锌平衡!$AT$6</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铝锌平衡!$AO$7:$AO$18</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铝锌平衡!$AT$7:$AT$18</c:f>
              <c:numCache>
                <c:formatCode>General</c:formatCode>
                <c:ptCount val="12"/>
                <c:pt idx="0">
                  <c:v>22.65</c:v>
                </c:pt>
                <c:pt idx="1">
                  <c:v>52.95</c:v>
                </c:pt>
                <c:pt idx="2">
                  <c:v>15.35</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铝锌平衡!$AP$34</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铝锌平衡!$AO$35:$AO$46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铝锌平衡!$AP$35:$AP$46</c:f>
              <c:numCache>
                <c:formatCode>0.00_ </c:formatCode>
                <c:ptCount val="12"/>
                <c:pt idx="0">
                  <c:v>-8.6225</c:v>
                </c:pt>
                <c:pt idx="1">
                  <c:v>43.895</c:v>
                </c:pt>
                <c:pt idx="2">
                  <c:v>-36.8875</c:v>
                </c:pt>
                <c:pt idx="3">
                  <c:v>-18.035</c:v>
                </c:pt>
                <c:pt idx="4">
                  <c:v>-16.4425</c:v>
                </c:pt>
                <c:pt idx="5">
                  <c:v>-30.58</c:v>
                </c:pt>
                <c:pt idx="6">
                  <c:v>-16.195</c:v>
                </c:pt>
                <c:pt idx="7">
                  <c:v>1.19250000000001</c:v>
                </c:pt>
                <c:pt idx="8">
                  <c:v>-6.08750000000001</c:v>
                </c:pt>
                <c:pt idx="9">
                  <c:v>22.035</c:v>
                </c:pt>
                <c:pt idx="10">
                  <c:v>-17.185</c:v>
                </c:pt>
                <c:pt idx="11">
                  <c:v>-6.5675</c:v>
                </c:pt>
              </c:numCache>
            </c:numRef>
          </c:val>
          <c:smooth val="0"/>
        </c:ser>
        <c:ser>
          <c:idx val="1"/>
          <c:order val="1"/>
          <c:tx>
            <c:strRef>
              <c:f>铝锌平衡!$AQ$34</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铝锌平衡!$AO$35:$AO$46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铝锌平衡!$AQ$35:$AQ$46</c:f>
              <c:numCache>
                <c:formatCode>0.00_ </c:formatCode>
                <c:ptCount val="12"/>
                <c:pt idx="0">
                  <c:v>58.9925</c:v>
                </c:pt>
                <c:pt idx="1">
                  <c:v>46.3275</c:v>
                </c:pt>
                <c:pt idx="2">
                  <c:v>-22.71</c:v>
                </c:pt>
                <c:pt idx="3">
                  <c:v>-20.6</c:v>
                </c:pt>
                <c:pt idx="4">
                  <c:v>-23.8075</c:v>
                </c:pt>
                <c:pt idx="5">
                  <c:v>-12.7275</c:v>
                </c:pt>
                <c:pt idx="6">
                  <c:v>-10.975</c:v>
                </c:pt>
                <c:pt idx="7">
                  <c:v>-3.67500000000001</c:v>
                </c:pt>
                <c:pt idx="8">
                  <c:v>-6.02000000000001</c:v>
                </c:pt>
                <c:pt idx="9">
                  <c:v>18.5275</c:v>
                </c:pt>
                <c:pt idx="10">
                  <c:v>-8.82499999999999</c:v>
                </c:pt>
                <c:pt idx="11">
                  <c:v>-11.5125</c:v>
                </c:pt>
              </c:numCache>
            </c:numRef>
          </c:val>
          <c:smooth val="0"/>
        </c:ser>
        <c:ser>
          <c:idx val="2"/>
          <c:order val="2"/>
          <c:tx>
            <c:strRef>
              <c:f>铝锌平衡!$AR$34</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铝锌平衡!$AO$35:$AO$46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铝锌平衡!$AR$35:$AR$46</c:f>
              <c:numCache>
                <c:formatCode>0.00_ </c:formatCode>
                <c:ptCount val="12"/>
                <c:pt idx="0">
                  <c:v>7.90249999999999</c:v>
                </c:pt>
                <c:pt idx="1">
                  <c:v>51.0075</c:v>
                </c:pt>
                <c:pt idx="2">
                  <c:v>1.10250000000002</c:v>
                </c:pt>
                <c:pt idx="3">
                  <c:v>-13.3725</c:v>
                </c:pt>
                <c:pt idx="4">
                  <c:v>57.88</c:v>
                </c:pt>
                <c:pt idx="5">
                  <c:v>-13.0125</c:v>
                </c:pt>
                <c:pt idx="6">
                  <c:v>-6.78999999999999</c:v>
                </c:pt>
                <c:pt idx="7">
                  <c:v>-10.0375</c:v>
                </c:pt>
                <c:pt idx="8">
                  <c:v>-21.2</c:v>
                </c:pt>
                <c:pt idx="9">
                  <c:v>-10.715</c:v>
                </c:pt>
                <c:pt idx="10">
                  <c:v>-10.0425</c:v>
                </c:pt>
                <c:pt idx="11">
                  <c:v>-9.9725</c:v>
                </c:pt>
              </c:numCache>
            </c:numRef>
          </c:val>
          <c:smooth val="0"/>
        </c:ser>
        <c:ser>
          <c:idx val="3"/>
          <c:order val="3"/>
          <c:tx>
            <c:strRef>
              <c:f>铝锌平衡!$AS$34</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铝锌平衡!$AO$35:$AO$46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铝锌平衡!$AS$35:$AS$46</c:f>
              <c:numCache>
                <c:formatCode>0.00_ </c:formatCode>
                <c:ptCount val="12"/>
                <c:pt idx="0">
                  <c:v>6.82000000000002</c:v>
                </c:pt>
                <c:pt idx="1">
                  <c:v>41.825</c:v>
                </c:pt>
                <c:pt idx="2">
                  <c:v>-17.515</c:v>
                </c:pt>
                <c:pt idx="3">
                  <c:v>-31.9175</c:v>
                </c:pt>
                <c:pt idx="4">
                  <c:v>-16.255</c:v>
                </c:pt>
                <c:pt idx="5">
                  <c:v>-4.69749999999999</c:v>
                </c:pt>
                <c:pt idx="6">
                  <c:v>17.8975</c:v>
                </c:pt>
                <c:pt idx="7">
                  <c:v>7.5025</c:v>
                </c:pt>
                <c:pt idx="8">
                  <c:v>-2.63249999999999</c:v>
                </c:pt>
                <c:pt idx="9">
                  <c:v>7.51250000000002</c:v>
                </c:pt>
                <c:pt idx="10">
                  <c:v>-5.68000000000001</c:v>
                </c:pt>
                <c:pt idx="11">
                  <c:v>3.84</c:v>
                </c:pt>
              </c:numCache>
            </c:numRef>
          </c:val>
          <c:smooth val="0"/>
        </c:ser>
        <c:ser>
          <c:idx val="4"/>
          <c:order val="4"/>
          <c:tx>
            <c:strRef>
              <c:f>铝锌平衡!$AT$34</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铝锌平衡!$AO$35:$AO$46</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铝锌平衡!$AT$35:$AT$46</c:f>
              <c:numCache>
                <c:formatCode>0.00_ </c:formatCode>
                <c:ptCount val="12"/>
                <c:pt idx="0">
                  <c:v>20.1975</c:v>
                </c:pt>
                <c:pt idx="1">
                  <c:v>49.7225</c:v>
                </c:pt>
                <c:pt idx="2">
                  <c:v>12.6875</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铝锌平衡!$AP$61</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铝锌平衡!$AO$62:$AO$73</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铝锌平衡!$AP$62:$AP$73</c:f>
              <c:numCache>
                <c:formatCode>General</c:formatCode>
                <c:ptCount val="12"/>
                <c:pt idx="0">
                  <c:v>4.04</c:v>
                </c:pt>
                <c:pt idx="1">
                  <c:v>12.3</c:v>
                </c:pt>
                <c:pt idx="2">
                  <c:v>-0.960000000000001</c:v>
                </c:pt>
                <c:pt idx="3">
                  <c:v>0.32</c:v>
                </c:pt>
                <c:pt idx="4">
                  <c:v>-2.82</c:v>
                </c:pt>
                <c:pt idx="5">
                  <c:v>-5.16</c:v>
                </c:pt>
                <c:pt idx="6">
                  <c:v>-6.04</c:v>
                </c:pt>
                <c:pt idx="7">
                  <c:v>-1.36</c:v>
                </c:pt>
                <c:pt idx="8">
                  <c:v>-5.22</c:v>
                </c:pt>
                <c:pt idx="9">
                  <c:v>0.77</c:v>
                </c:pt>
                <c:pt idx="10">
                  <c:v>-2.43</c:v>
                </c:pt>
                <c:pt idx="11">
                  <c:v>0.0199999999999996</c:v>
                </c:pt>
              </c:numCache>
            </c:numRef>
          </c:val>
          <c:smooth val="0"/>
        </c:ser>
        <c:ser>
          <c:idx val="1"/>
          <c:order val="1"/>
          <c:tx>
            <c:strRef>
              <c:f>铝锌平衡!$AQ$61</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铝锌平衡!$AO$62:$AO$73</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铝锌平衡!$AQ$62:$AQ$73</c:f>
              <c:numCache>
                <c:formatCode>General</c:formatCode>
                <c:ptCount val="12"/>
                <c:pt idx="0">
                  <c:v>10.32</c:v>
                </c:pt>
                <c:pt idx="1">
                  <c:v>2.55</c:v>
                </c:pt>
                <c:pt idx="2">
                  <c:v>-3.15</c:v>
                </c:pt>
                <c:pt idx="3">
                  <c:v>-3.7</c:v>
                </c:pt>
                <c:pt idx="4">
                  <c:v>-0.859999999999999</c:v>
                </c:pt>
                <c:pt idx="5">
                  <c:v>0.6</c:v>
                </c:pt>
                <c:pt idx="6">
                  <c:v>1.02</c:v>
                </c:pt>
                <c:pt idx="7">
                  <c:v>-3.41</c:v>
                </c:pt>
                <c:pt idx="8">
                  <c:v>-0.81</c:v>
                </c:pt>
                <c:pt idx="9">
                  <c:v>1.87</c:v>
                </c:pt>
                <c:pt idx="10">
                  <c:v>-0.99</c:v>
                </c:pt>
                <c:pt idx="11">
                  <c:v>-1.33</c:v>
                </c:pt>
              </c:numCache>
            </c:numRef>
          </c:val>
          <c:smooth val="0"/>
        </c:ser>
        <c:ser>
          <c:idx val="2"/>
          <c:order val="2"/>
          <c:tx>
            <c:strRef>
              <c:f>铝锌平衡!$AR$61</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铝锌平衡!$AO$62:$AO$73</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铝锌平衡!$AR$62:$AR$73</c:f>
              <c:numCache>
                <c:formatCode>General</c:formatCode>
                <c:ptCount val="12"/>
                <c:pt idx="0">
                  <c:v>0.66</c:v>
                </c:pt>
                <c:pt idx="1">
                  <c:v>9.17</c:v>
                </c:pt>
                <c:pt idx="2">
                  <c:v>2.52</c:v>
                </c:pt>
                <c:pt idx="3">
                  <c:v>1.23</c:v>
                </c:pt>
                <c:pt idx="4">
                  <c:v>-0.219999999999999</c:v>
                </c:pt>
                <c:pt idx="5">
                  <c:v>-1.48</c:v>
                </c:pt>
                <c:pt idx="6">
                  <c:v>-3.55</c:v>
                </c:pt>
                <c:pt idx="7">
                  <c:v>-3.2</c:v>
                </c:pt>
                <c:pt idx="8">
                  <c:v>-2.79</c:v>
                </c:pt>
                <c:pt idx="9">
                  <c:v>1.97</c:v>
                </c:pt>
                <c:pt idx="10">
                  <c:v>-1.47</c:v>
                </c:pt>
                <c:pt idx="11">
                  <c:v>-4.17</c:v>
                </c:pt>
              </c:numCache>
            </c:numRef>
          </c:val>
          <c:smooth val="0"/>
        </c:ser>
        <c:ser>
          <c:idx val="3"/>
          <c:order val="3"/>
          <c:tx>
            <c:strRef>
              <c:f>铝锌平衡!$AS$61</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铝锌平衡!$AO$62:$AO$73</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铝锌平衡!$AS$62:$AS$73</c:f>
              <c:numCache>
                <c:formatCode>General</c:formatCode>
                <c:ptCount val="12"/>
                <c:pt idx="0">
                  <c:v>0.79</c:v>
                </c:pt>
                <c:pt idx="1">
                  <c:v>7.49</c:v>
                </c:pt>
                <c:pt idx="2">
                  <c:v>-1.94</c:v>
                </c:pt>
                <c:pt idx="3">
                  <c:v>-4.89</c:v>
                </c:pt>
                <c:pt idx="4">
                  <c:v>-0.2</c:v>
                </c:pt>
                <c:pt idx="5">
                  <c:v>0.56</c:v>
                </c:pt>
                <c:pt idx="6">
                  <c:v>2.26</c:v>
                </c:pt>
                <c:pt idx="7">
                  <c:v>4.13</c:v>
                </c:pt>
                <c:pt idx="8">
                  <c:v>-0.309999999999999</c:v>
                </c:pt>
                <c:pt idx="9">
                  <c:v>2.01</c:v>
                </c:pt>
                <c:pt idx="10">
                  <c:v>-1.34</c:v>
                </c:pt>
                <c:pt idx="11">
                  <c:v>-4.2</c:v>
                </c:pt>
              </c:numCache>
            </c:numRef>
          </c:val>
          <c:smooth val="0"/>
        </c:ser>
        <c:ser>
          <c:idx val="4"/>
          <c:order val="4"/>
          <c:tx>
            <c:strRef>
              <c:f>铝锌平衡!$AT$61</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铝锌平衡!$AO$62:$AO$73</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铝锌平衡!$AT$62:$AT$73</c:f>
              <c:numCache>
                <c:formatCode>General</c:formatCode>
                <c:ptCount val="12"/>
                <c:pt idx="0">
                  <c:v>1.11</c:v>
                </c:pt>
                <c:pt idx="1">
                  <c:v>10.27</c:v>
                </c:pt>
                <c:pt idx="2">
                  <c:v>4.62</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铝锌平衡!$AP$89</c:f>
              <c:strCache>
                <c:ptCount val="1"/>
                <c:pt idx="0">
                  <c:v>2022</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铝锌平衡!$AO$90:$AO$101</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铝锌平衡!$AP$90:$AP$101</c:f>
              <c:numCache>
                <c:formatCode>0.00_ </c:formatCode>
                <c:ptCount val="12"/>
                <c:pt idx="0">
                  <c:v>-0.369999999999997</c:v>
                </c:pt>
                <c:pt idx="1">
                  <c:v>11.1725</c:v>
                </c:pt>
                <c:pt idx="2">
                  <c:v>-1.2375</c:v>
                </c:pt>
                <c:pt idx="3">
                  <c:v>-4.3375</c:v>
                </c:pt>
                <c:pt idx="4">
                  <c:v>-3.90750000000001</c:v>
                </c:pt>
                <c:pt idx="5">
                  <c:v>-5.52</c:v>
                </c:pt>
                <c:pt idx="6">
                  <c:v>-7.1475</c:v>
                </c:pt>
                <c:pt idx="7">
                  <c:v>-0.655000000000001</c:v>
                </c:pt>
                <c:pt idx="8">
                  <c:v>-8.0725</c:v>
                </c:pt>
                <c:pt idx="9">
                  <c:v>-0.59</c:v>
                </c:pt>
                <c:pt idx="10">
                  <c:v>-2.9725</c:v>
                </c:pt>
                <c:pt idx="11">
                  <c:v>-0.907500000000001</c:v>
                </c:pt>
              </c:numCache>
            </c:numRef>
          </c:val>
          <c:smooth val="0"/>
        </c:ser>
        <c:ser>
          <c:idx val="1"/>
          <c:order val="1"/>
          <c:tx>
            <c:strRef>
              <c:f>铝锌平衡!$AQ$89</c:f>
              <c:strCache>
                <c:ptCount val="1"/>
                <c:pt idx="0">
                  <c:v>2023</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铝锌平衡!$AO$90:$AO$101</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铝锌平衡!$AQ$90:$AQ$101</c:f>
              <c:numCache>
                <c:formatCode>0.00_ </c:formatCode>
                <c:ptCount val="12"/>
                <c:pt idx="0">
                  <c:v>8.8425</c:v>
                </c:pt>
                <c:pt idx="1">
                  <c:v>4.16</c:v>
                </c:pt>
                <c:pt idx="2">
                  <c:v>-1.9775</c:v>
                </c:pt>
                <c:pt idx="3">
                  <c:v>-2.86</c:v>
                </c:pt>
                <c:pt idx="4">
                  <c:v>2.8625</c:v>
                </c:pt>
                <c:pt idx="5">
                  <c:v>-0.267499999999998</c:v>
                </c:pt>
                <c:pt idx="6">
                  <c:v>3.255</c:v>
                </c:pt>
                <c:pt idx="7">
                  <c:v>1.79</c:v>
                </c:pt>
                <c:pt idx="8">
                  <c:v>-6.2675</c:v>
                </c:pt>
                <c:pt idx="9">
                  <c:v>0.0225000000000009</c:v>
                </c:pt>
                <c:pt idx="10">
                  <c:v>13.2325</c:v>
                </c:pt>
                <c:pt idx="11">
                  <c:v>-1.55249999999999</c:v>
                </c:pt>
              </c:numCache>
            </c:numRef>
          </c:val>
          <c:smooth val="0"/>
        </c:ser>
        <c:ser>
          <c:idx val="2"/>
          <c:order val="2"/>
          <c:tx>
            <c:strRef>
              <c:f>铝锌平衡!$AR$89</c:f>
              <c:strCache>
                <c:ptCount val="1"/>
                <c:pt idx="0">
                  <c:v>2024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铝锌平衡!$AO$90:$AO$101</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铝锌平衡!$AR$90:$AR$101</c:f>
              <c:numCache>
                <c:formatCode>0.00_ </c:formatCode>
                <c:ptCount val="12"/>
                <c:pt idx="0">
                  <c:v>-1.90000000000001</c:v>
                </c:pt>
                <c:pt idx="1">
                  <c:v>16.8375</c:v>
                </c:pt>
                <c:pt idx="2">
                  <c:v>1.9975</c:v>
                </c:pt>
                <c:pt idx="3">
                  <c:v>0.0775000000000006</c:v>
                </c:pt>
                <c:pt idx="4">
                  <c:v>0.197500000000005</c:v>
                </c:pt>
                <c:pt idx="5">
                  <c:v>-0.305000000000007</c:v>
                </c:pt>
                <c:pt idx="6">
                  <c:v>-5.77</c:v>
                </c:pt>
                <c:pt idx="7">
                  <c:v>-3.46</c:v>
                </c:pt>
                <c:pt idx="8">
                  <c:v>-2.175</c:v>
                </c:pt>
                <c:pt idx="9">
                  <c:v>1.7</c:v>
                </c:pt>
                <c:pt idx="10">
                  <c:v>1.8425</c:v>
                </c:pt>
                <c:pt idx="11">
                  <c:v>-8.715</c:v>
                </c:pt>
              </c:numCache>
            </c:numRef>
          </c:val>
          <c:smooth val="0"/>
        </c:ser>
        <c:ser>
          <c:idx val="3"/>
          <c:order val="3"/>
          <c:tx>
            <c:strRef>
              <c:f>铝锌平衡!$AS$89</c:f>
              <c:strCache>
                <c:ptCount val="1"/>
                <c:pt idx="0">
                  <c:v>2025</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elete val="1"/>
          </c:dLbls>
          <c:cat>
            <c:numRef>
              <c:f>铝锌平衡!$AO$90:$AO$101</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铝锌平衡!$AS$90:$AS$101</c:f>
              <c:numCache>
                <c:formatCode>0.00_ </c:formatCode>
                <c:ptCount val="12"/>
                <c:pt idx="0">
                  <c:v>-4.7775</c:v>
                </c:pt>
                <c:pt idx="1">
                  <c:v>5.95999999999999</c:v>
                </c:pt>
                <c:pt idx="2">
                  <c:v>-3.9325</c:v>
                </c:pt>
                <c:pt idx="3">
                  <c:v>-1.5825</c:v>
                </c:pt>
                <c:pt idx="4">
                  <c:v>-4.0925</c:v>
                </c:pt>
                <c:pt idx="5">
                  <c:v>-1.6075</c:v>
                </c:pt>
                <c:pt idx="6">
                  <c:v>1.0925</c:v>
                </c:pt>
                <c:pt idx="7">
                  <c:v>-0.649999999999999</c:v>
                </c:pt>
                <c:pt idx="8">
                  <c:v>-1.815</c:v>
                </c:pt>
                <c:pt idx="9">
                  <c:v>1.065</c:v>
                </c:pt>
                <c:pt idx="10">
                  <c:v>0.245000000000001</c:v>
                </c:pt>
                <c:pt idx="11">
                  <c:v>1.3575</c:v>
                </c:pt>
              </c:numCache>
            </c:numRef>
          </c:val>
          <c:smooth val="0"/>
        </c:ser>
        <c:ser>
          <c:idx val="4"/>
          <c:order val="4"/>
          <c:tx>
            <c:strRef>
              <c:f>铝锌平衡!$AT$89</c:f>
              <c:strCache>
                <c:ptCount val="1"/>
                <c:pt idx="0">
                  <c:v>2026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dLbls>
            <c:delete val="1"/>
          </c:dLbls>
          <c:cat>
            <c:numRef>
              <c:f>铝锌平衡!$AO$90:$AO$101</c:f>
              <c:numCache>
                <c:formatCode>yyyy/m/d</c:formatCode>
                <c:ptCount val="12"/>
                <c:pt idx="0" c:formatCode="yyyy/m/d">
                  <c:v>46053</c:v>
                </c:pt>
                <c:pt idx="1" c:formatCode="yyyy/m/d">
                  <c:v>46081</c:v>
                </c:pt>
                <c:pt idx="2" c:formatCode="yyyy/m/d">
                  <c:v>46112</c:v>
                </c:pt>
                <c:pt idx="3" c:formatCode="yyyy/m/d">
                  <c:v>46142</c:v>
                </c:pt>
                <c:pt idx="4" c:formatCode="yyyy/m/d">
                  <c:v>46173</c:v>
                </c:pt>
                <c:pt idx="5" c:formatCode="yyyy/m/d">
                  <c:v>46203</c:v>
                </c:pt>
                <c:pt idx="6" c:formatCode="yyyy/m/d">
                  <c:v>46234</c:v>
                </c:pt>
                <c:pt idx="7" c:formatCode="yyyy/m/d">
                  <c:v>46265</c:v>
                </c:pt>
                <c:pt idx="8" c:formatCode="yyyy/m/d">
                  <c:v>46295</c:v>
                </c:pt>
                <c:pt idx="9" c:formatCode="yyyy/m/d">
                  <c:v>46326</c:v>
                </c:pt>
                <c:pt idx="10" c:formatCode="yyyy/m/d">
                  <c:v>46356</c:v>
                </c:pt>
                <c:pt idx="11" c:formatCode="yyyy/m/d">
                  <c:v>46387</c:v>
                </c:pt>
              </c:numCache>
            </c:numRef>
          </c:cat>
          <c:val>
            <c:numRef>
              <c:f>铝锌平衡!$AT$90:$AT$101</c:f>
              <c:numCache>
                <c:formatCode>0.00_ </c:formatCode>
                <c:ptCount val="12"/>
                <c:pt idx="0">
                  <c:v>1.3475</c:v>
                </c:pt>
                <c:pt idx="1">
                  <c:v>9.005</c:v>
                </c:pt>
                <c:pt idx="2">
                  <c:v>6.67</c:v>
                </c:pt>
                <c:pt idx="3">
                  <c:v>#N/A</c:v>
                </c:pt>
                <c:pt idx="4">
                  <c:v>#N/A</c:v>
                </c:pt>
                <c:pt idx="5">
                  <c:v>#N/A</c:v>
                </c:pt>
                <c:pt idx="6">
                  <c:v>#N/A</c:v>
                </c:pt>
                <c:pt idx="7">
                  <c:v>#N/A</c:v>
                </c:pt>
                <c:pt idx="8">
                  <c:v>#N/A</c:v>
                </c:pt>
                <c:pt idx="9">
                  <c:v>#N/A</c:v>
                </c:pt>
                <c:pt idx="10">
                  <c:v>#N/A</c:v>
                </c:pt>
                <c:pt idx="11">
                  <c:v>#N/A</c:v>
                </c:pt>
              </c:numCache>
            </c:numRef>
          </c:val>
          <c:smooth val="0"/>
        </c:ser>
        <c:dLbls>
          <c:showLegendKey val="0"/>
          <c:showVal val="0"/>
          <c:showCatName val="0"/>
          <c:showSerName val="0"/>
          <c:showPercent val="0"/>
          <c:showBubbleSize val="0"/>
        </c:dLbls>
        <c:marker val="1"/>
        <c:smooth val="0"/>
        <c:axId val="1329043904"/>
        <c:axId val="1329044384"/>
      </c:lineChart>
      <c:dateAx>
        <c:axId val="1329043904"/>
        <c:scaling>
          <c:orientation val="minMax"/>
        </c:scaling>
        <c:delete val="0"/>
        <c:axPos val="b"/>
        <c:numFmt formatCode="m&quot;月&quot;;@"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4384"/>
        <c:crosses val="autoZero"/>
        <c:auto val="1"/>
        <c:lblOffset val="100"/>
        <c:baseTimeUnit val="days"/>
        <c:majorUnit val="1"/>
        <c:majorTimeUnit val="months"/>
      </c:dateAx>
      <c:valAx>
        <c:axId val="1329044384"/>
        <c:scaling>
          <c:orientation val="minMax"/>
        </c:scaling>
        <c:delete val="0"/>
        <c:axPos val="l"/>
        <c:majorGridlines>
          <c:spPr>
            <a:ln w="9525" cap="flat" cmpd="sng" algn="ctr">
              <a:solidFill>
                <a:schemeClr val="tx1">
                  <a:lumMod val="15000"/>
                  <a:lumOff val="85000"/>
                </a:schemeClr>
              </a:solidFill>
              <a:round/>
            </a:ln>
            <a:effectLst/>
          </c:spPr>
        </c:majorGridlines>
        <c:numFmt formatCode="0_ "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crossAx val="13290439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3" charset="-122"/>
              <a:ea typeface="楷体" panose="0201060906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900">
          <a:latin typeface="楷体" panose="02010609060101010101" pitchFamily="3" charset="-122"/>
          <a:ea typeface="楷体" panose="02010609060101010101" pitchFamily="3"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山金">
    <a:dk1>
      <a:srgbClr val="000000"/>
    </a:dk1>
    <a:lt1>
      <a:srgbClr val="FFFFFF"/>
    </a:lt1>
    <a:dk2>
      <a:srgbClr val="3E3D2D"/>
    </a:dk2>
    <a:lt2>
      <a:srgbClr val="A6A6A6"/>
    </a:lt2>
    <a:accent1>
      <a:srgbClr val="FF6700"/>
    </a:accent1>
    <a:accent2>
      <a:srgbClr val="989898"/>
    </a:accent2>
    <a:accent3>
      <a:srgbClr val="FD9E1D"/>
    </a:accent3>
    <a:accent4>
      <a:srgbClr val="BF4D00"/>
    </a:accent4>
    <a:accent5>
      <a:srgbClr val="FFB37F"/>
    </a:accent5>
    <a:accent6>
      <a:srgbClr val="FFD659"/>
    </a:accent6>
    <a:hlink>
      <a:srgbClr val="E68200"/>
    </a:hlink>
    <a:folHlink>
      <a:srgbClr val="FFA94A"/>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298618-29A7-4D1B-89C1-D9018D558392}">
  <ds:schemaRefs/>
</ds:datastoreItem>
</file>

<file path=docProps/app.xml><?xml version="1.0" encoding="utf-8"?>
<Properties xmlns="http://schemas.openxmlformats.org/officeDocument/2006/extended-properties" xmlns:vt="http://schemas.openxmlformats.org/officeDocument/2006/docPropsVTypes">
  <Template>Normal</Template>
  <Pages>6</Pages>
  <Words>2246</Words>
  <Characters>2361</Characters>
  <Lines>122</Lines>
  <Paragraphs>64</Paragraphs>
  <TotalTime>7</TotalTime>
  <ScaleCrop>false</ScaleCrop>
  <LinksUpToDate>false</LinksUpToDate>
  <CharactersWithSpaces>2392</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2026-03-15T10:01:00Z</dcterms:created>
  <dc:creator>shanjin</dc:creator>
  <cp:lastModifiedBy>shanjin</cp:lastModifiedBy>
  <cp:lastPrinted>2025-11-23T08:50:00Z</cp:lastPrinted>
  <dcterms:modified xsi:type="dcterms:W3CDTF">2026-03-20T01:04:17Z</dcterms:modified>
  <cp:revision>422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E510B9C4FA8B4D409BE48DFE46E4C968</vt:lpwstr>
  </property>
</Properties>
</file>