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713C08"/>
          <w:sz w:val="21"/>
        </w:rPr>
      </w:pPr>
      <w:r>
        <w:rPr>
          <w:rFonts w:hint="eastAsia" w:ascii="黑体" w:hAnsi="黑体" w:eastAsia="黑体" w:cs="黑体"/>
          <w:b/>
          <w:bCs/>
          <w:color w:val="EB6001"/>
          <w:kern w:val="0"/>
          <w:sz w:val="36"/>
          <w:szCs w:val="36"/>
        </w:rPr>
        <mc:AlternateContent>
          <mc:Choice Requires="wps">
            <w:drawing>
              <wp:anchor distT="0" distB="0" distL="114300" distR="114300" simplePos="0" relativeHeight="251664384" behindDoc="0" locked="0" layoutInCell="1" allowOverlap="1">
                <wp:simplePos x="0" y="0"/>
                <wp:positionH relativeFrom="column">
                  <wp:posOffset>-229870</wp:posOffset>
                </wp:positionH>
                <wp:positionV relativeFrom="paragraph">
                  <wp:posOffset>-328295</wp:posOffset>
                </wp:positionV>
                <wp:extent cx="5386070" cy="603885"/>
                <wp:effectExtent l="0" t="0" r="0" b="0"/>
                <wp:wrapNone/>
                <wp:docPr id="8" name="文本框 8"/>
                <wp:cNvGraphicFramePr/>
                <a:graphic xmlns:a="http://schemas.openxmlformats.org/drawingml/2006/main">
                  <a:graphicData uri="http://schemas.microsoft.com/office/word/2010/wordprocessingShape">
                    <wps:wsp>
                      <wps:cNvSpPr txBox="1"/>
                      <wps:spPr>
                        <a:xfrm>
                          <a:off x="932180" y="487045"/>
                          <a:ext cx="5386070" cy="6038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方正小标宋简体" w:hAnsi="方正小标宋简体" w:eastAsia="方正小标宋简体" w:cs="方正小标宋简体"/>
                                <w:b/>
                                <w:bCs/>
                                <w:color w:val="FFFFFF" w:themeColor="background1"/>
                                <w:sz w:val="40"/>
                                <w:szCs w:val="4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ascii="方正小标宋简体" w:hAnsi="方正小标宋简体" w:eastAsia="方正小标宋简体" w:cs="方正小标宋简体"/>
                                <w:b/>
                                <w:bCs/>
                                <w:color w:val="FFFFFF" w:themeColor="background1"/>
                                <w:sz w:val="40"/>
                                <w:szCs w:val="4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需要准备接受油价在更长时期维持在更高位置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1pt;margin-top:-25.85pt;height:47.55pt;width:424.1pt;z-index:251664384;mso-width-relative:page;mso-height-relative:page;" filled="f" stroked="f" coordsize="21600,21600" o:gfxdata="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tO4v3cAAAACgEAAA8AAAAAAAAA&#10;AQAgAAAAIgAAAGRycy9kb3ducmV2LnhtbFBLAQIUABQAAAAIAIdO4kB6KWVYRgIAAHAEAAAOAAAA&#10;AAAAAAEAIAAAACsBAABkcnMvZTJvRG9jLnhtbFBLBQYAAAAABgAGAFkBAADjBQAAAAA=&#10;">
                <v:fill on="f" focussize="0,0"/>
                <v:stroke on="f" weight="0.5pt"/>
                <v:imagedata o:title=""/>
                <o:lock v:ext="edit" aspectratio="f"/>
                <v:textbox>
                  <w:txbxContent>
                    <w:p>
                      <w:pPr>
                        <w:rPr>
                          <w:rFonts w:hint="eastAsia" w:ascii="方正小标宋简体" w:hAnsi="方正小标宋简体" w:eastAsia="方正小标宋简体" w:cs="方正小标宋简体"/>
                          <w:b/>
                          <w:bCs/>
                          <w:color w:val="FFFFFF" w:themeColor="background1"/>
                          <w:sz w:val="40"/>
                          <w:szCs w:val="4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ascii="方正小标宋简体" w:hAnsi="方正小标宋简体" w:eastAsia="方正小标宋简体" w:cs="方正小标宋简体"/>
                          <w:b/>
                          <w:bCs/>
                          <w:color w:val="FFFFFF" w:themeColor="background1"/>
                          <w:sz w:val="40"/>
                          <w:szCs w:val="4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需要准备接受油价在更长时期维持在更高位置</w:t>
                      </w:r>
                    </w:p>
                  </w:txbxContent>
                </v:textbox>
              </v:shape>
            </w:pict>
          </mc:Fallback>
        </mc:AlternateContent>
      </w:r>
    </w:p>
    <w:p>
      <w:pPr>
        <w:bidi w:val="0"/>
        <w:rPr>
          <w:rFonts w:asciiTheme="minorHAnsi" w:hAnsiTheme="minorHAnsi" w:eastAsiaTheme="minorEastAsia" w:cstheme="minorBidi"/>
          <w:kern w:val="2"/>
          <w:sz w:val="21"/>
          <w:szCs w:val="24"/>
          <w:lang w:val="en-US" w:eastAsia="zh-CN" w:bidi="ar-SA"/>
        </w:rPr>
      </w:pPr>
    </w:p>
    <w:p>
      <w:pPr>
        <w:bidi w:val="0"/>
        <w:rPr>
          <w:lang w:val="en-US" w:eastAsia="zh-CN"/>
        </w:rPr>
      </w:pPr>
      <w:r>
        <w:rPr>
          <w:rFonts w:hint="eastAsia" w:ascii="黑体" w:hAnsi="黑体" w:eastAsia="黑体" w:cs="黑体"/>
          <w:b/>
          <w:bCs/>
          <w:color w:val="EB6001"/>
          <w:kern w:val="0"/>
          <w:sz w:val="36"/>
          <w:szCs w:val="36"/>
        </w:rPr>
        <mc:AlternateContent>
          <mc:Choice Requires="wps">
            <w:drawing>
              <wp:anchor distT="0" distB="0" distL="114300" distR="114300" simplePos="0" relativeHeight="251662336" behindDoc="0" locked="0" layoutInCell="1" allowOverlap="1">
                <wp:simplePos x="0" y="0"/>
                <wp:positionH relativeFrom="column">
                  <wp:posOffset>-20320</wp:posOffset>
                </wp:positionH>
                <wp:positionV relativeFrom="paragraph">
                  <wp:posOffset>24130</wp:posOffset>
                </wp:positionV>
                <wp:extent cx="1895475" cy="43815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95475" cy="438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方正小标宋简体" w:hAnsi="方正小标宋简体" w:eastAsia="方正小标宋简体" w:cs="方正小标宋简体"/>
                                <w:b/>
                                <w:bCs/>
                                <w:color w:val="FFFFFF" w:themeColor="background1"/>
                                <w:sz w:val="28"/>
                                <w:szCs w:val="36"/>
                                <w:lang w:val="en-US" w:eastAsia="zh-CN"/>
                                <w14:textFill>
                                  <w14:solidFill>
                                    <w14:schemeClr w14:val="bg1"/>
                                  </w14:solidFill>
                                </w14:textFill>
                              </w:rPr>
                            </w:pPr>
                            <w:r>
                              <w:rPr>
                                <w:rFonts w:hint="eastAsia" w:ascii="方正小标宋简体" w:hAnsi="方正小标宋简体" w:eastAsia="方正小标宋简体" w:cs="方正小标宋简体"/>
                                <w:b/>
                                <w:bCs/>
                                <w:color w:val="FFFFFF" w:themeColor="background1"/>
                                <w:sz w:val="28"/>
                                <w:szCs w:val="36"/>
                                <w:lang w:val="en-US" w:eastAsia="zh-CN"/>
                                <w14:textFill>
                                  <w14:solidFill>
                                    <w14:schemeClr w14:val="bg1"/>
                                  </w14:solidFill>
                                </w14:textFill>
                              </w:rPr>
                              <w:fldChar w:fldCharType="begin"/>
                            </w:r>
                            <w:r>
                              <w:rPr>
                                <w:rFonts w:hint="eastAsia" w:ascii="方正小标宋简体" w:hAnsi="方正小标宋简体" w:eastAsia="方正小标宋简体" w:cs="方正小标宋简体"/>
                                <w:b/>
                                <w:bCs/>
                                <w:color w:val="FFFFFF" w:themeColor="background1"/>
                                <w:sz w:val="28"/>
                                <w:szCs w:val="36"/>
                                <w:lang w:val="en-US" w:eastAsia="zh-CN"/>
                                <w14:textFill>
                                  <w14:solidFill>
                                    <w14:schemeClr w14:val="bg1"/>
                                  </w14:solidFill>
                                </w14:textFill>
                              </w:rPr>
                              <w:instrText xml:space="preserve">Time \@ "yyyy年M月d日"</w:instrText>
                            </w:r>
                            <w:r>
                              <w:rPr>
                                <w:rFonts w:hint="eastAsia" w:ascii="方正小标宋简体" w:hAnsi="方正小标宋简体" w:eastAsia="方正小标宋简体" w:cs="方正小标宋简体"/>
                                <w:b/>
                                <w:bCs/>
                                <w:color w:val="FFFFFF" w:themeColor="background1"/>
                                <w:sz w:val="28"/>
                                <w:szCs w:val="36"/>
                                <w:lang w:val="en-US" w:eastAsia="zh-CN"/>
                                <w14:textFill>
                                  <w14:solidFill>
                                    <w14:schemeClr w14:val="bg1"/>
                                  </w14:solidFill>
                                </w14:textFill>
                              </w:rPr>
                              <w:fldChar w:fldCharType="separate"/>
                            </w:r>
                            <w:r>
                              <w:rPr>
                                <w:rFonts w:hint="eastAsia" w:ascii="方正小标宋简体" w:hAnsi="方正小标宋简体" w:eastAsia="方正小标宋简体" w:cs="方正小标宋简体"/>
                                <w:b/>
                                <w:bCs/>
                                <w:color w:val="FFFFFF" w:themeColor="background1"/>
                                <w:sz w:val="28"/>
                                <w:szCs w:val="36"/>
                                <w:lang w:val="en-US" w:eastAsia="zh-CN"/>
                                <w14:textFill>
                                  <w14:solidFill>
                                    <w14:schemeClr w14:val="bg1"/>
                                  </w14:solidFill>
                                </w14:textFill>
                              </w:rPr>
                              <w:t>2026年3月16日</w:t>
                            </w:r>
                            <w:r>
                              <w:rPr>
                                <w:rFonts w:hint="eastAsia" w:ascii="方正小标宋简体" w:hAnsi="方正小标宋简体" w:eastAsia="方正小标宋简体" w:cs="方正小标宋简体"/>
                                <w:b/>
                                <w:bCs/>
                                <w:color w:val="FFFFFF" w:themeColor="background1"/>
                                <w:sz w:val="28"/>
                                <w:szCs w:val="36"/>
                                <w:lang w:val="en-US" w:eastAsia="zh-CN"/>
                                <w14:textFill>
                                  <w14:solidFill>
                                    <w14:schemeClr w14:val="bg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pt;margin-top:1.9pt;height:34.5pt;width:149.25pt;z-index:251662336;mso-width-relative:page;mso-height-relative:page;" filled="f" stroked="f" coordsize="21600,21600" o:gfxdata="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LCcQQdkAAAAHAQAADwAAAAAAAAABACAAAAAiAAAAZHJz&#10;L2Rvd25yZXYueG1sUEsBAhQAFAAAAAgAh07iQHIL8iM8AgAAZgQAAA4AAAAAAAAAAQAgAAAAKAEA&#10;AGRycy9lMm9Eb2MueG1sUEsFBgAAAAAGAAYAWQEAANYFAAAAAA==&#10;">
                <v:fill on="f" focussize="0,0"/>
                <v:stroke on="f" weight="0.5pt"/>
                <v:imagedata o:title=""/>
                <o:lock v:ext="edit" aspectratio="f"/>
                <v:textbox>
                  <w:txbxContent>
                    <w:p>
                      <w:pPr>
                        <w:jc w:val="center"/>
                        <w:rPr>
                          <w:rFonts w:hint="eastAsia" w:ascii="方正小标宋简体" w:hAnsi="方正小标宋简体" w:eastAsia="方正小标宋简体" w:cs="方正小标宋简体"/>
                          <w:b/>
                          <w:bCs/>
                          <w:color w:val="FFFFFF" w:themeColor="background1"/>
                          <w:sz w:val="28"/>
                          <w:szCs w:val="36"/>
                          <w:lang w:val="en-US" w:eastAsia="zh-CN"/>
                          <w14:textFill>
                            <w14:solidFill>
                              <w14:schemeClr w14:val="bg1"/>
                            </w14:solidFill>
                          </w14:textFill>
                        </w:rPr>
                      </w:pPr>
                      <w:r>
                        <w:rPr>
                          <w:rFonts w:hint="eastAsia" w:ascii="方正小标宋简体" w:hAnsi="方正小标宋简体" w:eastAsia="方正小标宋简体" w:cs="方正小标宋简体"/>
                          <w:b/>
                          <w:bCs/>
                          <w:color w:val="FFFFFF" w:themeColor="background1"/>
                          <w:sz w:val="28"/>
                          <w:szCs w:val="36"/>
                          <w:lang w:val="en-US" w:eastAsia="zh-CN"/>
                          <w14:textFill>
                            <w14:solidFill>
                              <w14:schemeClr w14:val="bg1"/>
                            </w14:solidFill>
                          </w14:textFill>
                        </w:rPr>
                        <w:fldChar w:fldCharType="begin"/>
                      </w:r>
                      <w:r>
                        <w:rPr>
                          <w:rFonts w:hint="eastAsia" w:ascii="方正小标宋简体" w:hAnsi="方正小标宋简体" w:eastAsia="方正小标宋简体" w:cs="方正小标宋简体"/>
                          <w:b/>
                          <w:bCs/>
                          <w:color w:val="FFFFFF" w:themeColor="background1"/>
                          <w:sz w:val="28"/>
                          <w:szCs w:val="36"/>
                          <w:lang w:val="en-US" w:eastAsia="zh-CN"/>
                          <w14:textFill>
                            <w14:solidFill>
                              <w14:schemeClr w14:val="bg1"/>
                            </w14:solidFill>
                          </w14:textFill>
                        </w:rPr>
                        <w:instrText xml:space="preserve">Time \@ "yyyy年M月d日"</w:instrText>
                      </w:r>
                      <w:r>
                        <w:rPr>
                          <w:rFonts w:hint="eastAsia" w:ascii="方正小标宋简体" w:hAnsi="方正小标宋简体" w:eastAsia="方正小标宋简体" w:cs="方正小标宋简体"/>
                          <w:b/>
                          <w:bCs/>
                          <w:color w:val="FFFFFF" w:themeColor="background1"/>
                          <w:sz w:val="28"/>
                          <w:szCs w:val="36"/>
                          <w:lang w:val="en-US" w:eastAsia="zh-CN"/>
                          <w14:textFill>
                            <w14:solidFill>
                              <w14:schemeClr w14:val="bg1"/>
                            </w14:solidFill>
                          </w14:textFill>
                        </w:rPr>
                        <w:fldChar w:fldCharType="separate"/>
                      </w:r>
                      <w:r>
                        <w:rPr>
                          <w:rFonts w:hint="eastAsia" w:ascii="方正小标宋简体" w:hAnsi="方正小标宋简体" w:eastAsia="方正小标宋简体" w:cs="方正小标宋简体"/>
                          <w:b/>
                          <w:bCs/>
                          <w:color w:val="FFFFFF" w:themeColor="background1"/>
                          <w:sz w:val="28"/>
                          <w:szCs w:val="36"/>
                          <w:lang w:val="en-US" w:eastAsia="zh-CN"/>
                          <w14:textFill>
                            <w14:solidFill>
                              <w14:schemeClr w14:val="bg1"/>
                            </w14:solidFill>
                          </w14:textFill>
                        </w:rPr>
                        <w:t>2026年3月16日</w:t>
                      </w:r>
                      <w:r>
                        <w:rPr>
                          <w:rFonts w:hint="eastAsia" w:ascii="方正小标宋简体" w:hAnsi="方正小标宋简体" w:eastAsia="方正小标宋简体" w:cs="方正小标宋简体"/>
                          <w:b/>
                          <w:bCs/>
                          <w:color w:val="FFFFFF" w:themeColor="background1"/>
                          <w:sz w:val="28"/>
                          <w:szCs w:val="36"/>
                          <w:lang w:val="en-US" w:eastAsia="zh-CN"/>
                          <w14:textFill>
                            <w14:solidFill>
                              <w14:schemeClr w14:val="bg1"/>
                            </w14:solidFill>
                          </w14:textFill>
                        </w:rPr>
                        <w:fldChar w:fldCharType="end"/>
                      </w:r>
                    </w:p>
                  </w:txbxContent>
                </v:textbox>
              </v:shape>
            </w:pict>
          </mc:Fallback>
        </mc:AlternateContent>
      </w:r>
    </w:p>
    <w:p>
      <w:pPr>
        <w:bidi w:val="0"/>
        <w:rPr>
          <w:lang w:val="en-US" w:eastAsia="zh-CN"/>
        </w:rPr>
      </w:pPr>
    </w:p>
    <w:p>
      <w:pPr>
        <w:bidi w:val="0"/>
        <w:rPr>
          <w:lang w:val="en-US" w:eastAsia="zh-CN"/>
        </w:rPr>
      </w:pPr>
    </w:p>
    <w:p>
      <w:pPr>
        <w:jc w:val="left"/>
        <w:rPr>
          <w:rFonts w:hint="eastAsia"/>
        </w:rPr>
      </w:pPr>
    </w:p>
    <w:p>
      <w:pPr>
        <w:keepNext w:val="0"/>
        <w:keepLines w:val="0"/>
        <w:pageBreakBefore w:val="0"/>
        <w:widowControl w:val="0"/>
        <w:kinsoku/>
        <w:wordWrap/>
        <w:overflowPunct/>
        <w:topLinePunct w:val="0"/>
        <w:autoSpaceDE/>
        <w:autoSpaceDN/>
        <w:bidi w:val="0"/>
        <w:adjustRightInd/>
        <w:snapToGrid/>
        <w:spacing w:after="313" w:afterLines="100"/>
        <w:jc w:val="left"/>
        <w:textAlignment w:val="auto"/>
        <w:rPr>
          <w:rFonts w:hint="default" w:ascii="黑体" w:hAnsi="黑体" w:eastAsia="黑体" w:cs="黑体"/>
          <w:b/>
          <w:bCs/>
          <w:color w:val="EB6001"/>
          <w:kern w:val="0"/>
          <w:sz w:val="36"/>
          <w:szCs w:val="36"/>
          <w:lang w:val="en-US" w:eastAsia="zh-CN"/>
        </w:rPr>
      </w:pPr>
      <w:r>
        <w:rPr>
          <w:rFonts w:hint="eastAsia" w:ascii="黑体" w:hAnsi="黑体" w:eastAsia="黑体" w:cs="黑体"/>
          <w:b/>
          <w:bCs/>
          <w:color w:val="EB6001"/>
          <w:kern w:val="0"/>
          <w:sz w:val="36"/>
          <w:szCs w:val="36"/>
          <w:lang w:val="en-US" w:eastAsia="zh-CN"/>
        </w:rPr>
        <w:t>主要内容</w:t>
      </w:r>
    </w:p>
    <w:p>
      <w:pPr>
        <w:pStyle w:val="5"/>
        <w:keepNext w:val="0"/>
        <w:keepLines w:val="0"/>
        <w:pageBreakBefore w:val="0"/>
        <w:widowControl w:val="0"/>
        <w:tabs>
          <w:tab w:val="right" w:leader="dot" w:pos="8306"/>
          <w:tab w:val="clear" w:pos="10456"/>
        </w:tabs>
        <w:kinsoku/>
        <w:wordWrap/>
        <w:overflowPunct/>
        <w:topLinePunct w:val="0"/>
        <w:autoSpaceDE/>
        <w:autoSpaceDN/>
        <w:bidi w:val="0"/>
        <w:adjustRightInd/>
        <w:snapToGrid/>
        <w:spacing w:after="313" w:afterLines="100" w:line="360" w:lineRule="auto"/>
        <w:ind w:left="0" w:leftChars="0" w:firstLine="482" w:firstLineChars="200"/>
        <w:textAlignment w:val="auto"/>
        <w:rPr>
          <w:rFonts w:hint="eastAsia" w:ascii="仿宋" w:hAnsi="仿宋" w:eastAsia="仿宋" w:cs="仿宋"/>
          <w:sz w:val="24"/>
          <w:szCs w:val="24"/>
        </w:rPr>
      </w:pPr>
      <w:r>
        <w:rPr>
          <w:rFonts w:hint="eastAsia" w:ascii="仿宋" w:hAnsi="仿宋" w:eastAsia="仿宋" w:cs="仿宋"/>
          <w:color w:val="auto"/>
          <w:sz w:val="24"/>
          <w:szCs w:val="24"/>
          <w:lang w:val="en-US" w:eastAsia="zh-CN"/>
        </w:rPr>
        <w:t>美以轰炸伊朗造成原油价格大幅上涨。但因美国缺乏明确的战略目标，伊朗更激进更年轻的领导层上台，导致目前的紧张局势可能将持续很长时间。极端情况下，原油价格突破2008年147美元的历史纪录并非不可想象。毫无疑问的是，原油价格长期处于高位，将直接带动化工品进入牛市。在原油价格上涨带动下，农产品的牛市行情已经初露端倪，但黑色系商品受制于需求的因素，可能将会更晚进入长期牛市。另外，因中国原油进口来源多样，且新能源产业蓬勃发展，势不可挡，高油价对中国影响有限，甚至将极大的提振国内新能源产品的出口。</w:t>
      </w:r>
      <w:r>
        <w:rPr>
          <w:rFonts w:hint="eastAsia" w:ascii="仿宋" w:hAnsi="仿宋" w:eastAsia="仿宋" w:cs="仿宋"/>
          <w:color w:val="auto"/>
          <w:sz w:val="24"/>
          <w:szCs w:val="24"/>
          <w:lang w:val="en-US"/>
        </w:rPr>
        <w:fldChar w:fldCharType="begin"/>
      </w:r>
      <w:r>
        <w:rPr>
          <w:rFonts w:hint="eastAsia" w:ascii="仿宋" w:hAnsi="仿宋" w:eastAsia="仿宋" w:cs="仿宋"/>
          <w:color w:val="auto"/>
          <w:sz w:val="24"/>
          <w:szCs w:val="24"/>
          <w:lang w:val="en-US"/>
        </w:rPr>
        <w:instrText xml:space="preserve">TOC \o "1-3" \h \u </w:instrText>
      </w:r>
      <w:r>
        <w:rPr>
          <w:rFonts w:hint="eastAsia" w:ascii="仿宋" w:hAnsi="仿宋" w:eastAsia="仿宋" w:cs="仿宋"/>
          <w:color w:val="auto"/>
          <w:sz w:val="24"/>
          <w:szCs w:val="24"/>
          <w:lang w:val="en-US"/>
        </w:rPr>
        <w:fldChar w:fldCharType="separate"/>
      </w:r>
    </w:p>
    <w:p>
      <w:pPr>
        <w:keepNext w:val="0"/>
        <w:keepLines w:val="0"/>
        <w:pageBreakBefore w:val="0"/>
        <w:widowControl w:val="0"/>
        <w:tabs>
          <w:tab w:val="left" w:pos="1778"/>
        </w:tabs>
        <w:kinsoku/>
        <w:wordWrap/>
        <w:overflowPunct/>
        <w:topLinePunct w:val="0"/>
        <w:autoSpaceDE/>
        <w:autoSpaceDN/>
        <w:bidi w:val="0"/>
        <w:adjustRightInd/>
        <w:snapToGrid/>
        <w:spacing w:after="313" w:afterLines="100" w:line="360" w:lineRule="auto"/>
        <w:jc w:val="lef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fldChar w:fldCharType="end"/>
      </w:r>
    </w:p>
    <w:p>
      <w:pPr>
        <w:keepNext w:val="0"/>
        <w:keepLines w:val="0"/>
        <w:pageBreakBefore w:val="0"/>
        <w:widowControl w:val="0"/>
        <w:tabs>
          <w:tab w:val="left" w:pos="1778"/>
        </w:tabs>
        <w:kinsoku/>
        <w:wordWrap/>
        <w:overflowPunct/>
        <w:topLinePunct w:val="0"/>
        <w:autoSpaceDE/>
        <w:autoSpaceDN/>
        <w:bidi w:val="0"/>
        <w:adjustRightInd/>
        <w:snapToGrid/>
        <w:spacing w:after="313" w:afterLines="100" w:line="360" w:lineRule="auto"/>
        <w:jc w:val="left"/>
        <w:textAlignment w:val="auto"/>
        <w:rPr>
          <w:rFonts w:hint="eastAsia" w:ascii="仿宋" w:hAnsi="仿宋" w:eastAsia="仿宋" w:cs="仿宋"/>
          <w:color w:val="auto"/>
          <w:sz w:val="24"/>
          <w:szCs w:val="24"/>
        </w:rPr>
      </w:pPr>
    </w:p>
    <w:p>
      <w:pPr>
        <w:keepNext w:val="0"/>
        <w:keepLines w:val="0"/>
        <w:pageBreakBefore w:val="0"/>
        <w:widowControl w:val="0"/>
        <w:tabs>
          <w:tab w:val="left" w:pos="1778"/>
        </w:tabs>
        <w:kinsoku/>
        <w:wordWrap/>
        <w:overflowPunct/>
        <w:topLinePunct w:val="0"/>
        <w:autoSpaceDE/>
        <w:autoSpaceDN/>
        <w:bidi w:val="0"/>
        <w:adjustRightInd/>
        <w:snapToGrid/>
        <w:spacing w:after="313" w:afterLines="100" w:line="360" w:lineRule="auto"/>
        <w:jc w:val="left"/>
        <w:textAlignment w:val="auto"/>
        <w:rPr>
          <w:rFonts w:hint="eastAsia" w:ascii="仿宋" w:hAnsi="仿宋" w:eastAsia="仿宋" w:cs="仿宋"/>
          <w:color w:val="auto"/>
          <w:sz w:val="24"/>
          <w:szCs w:val="24"/>
        </w:rPr>
      </w:pPr>
    </w:p>
    <w:p>
      <w:pPr>
        <w:keepNext w:val="0"/>
        <w:keepLines w:val="0"/>
        <w:pageBreakBefore w:val="0"/>
        <w:widowControl w:val="0"/>
        <w:tabs>
          <w:tab w:val="left" w:pos="1778"/>
        </w:tabs>
        <w:kinsoku/>
        <w:wordWrap/>
        <w:overflowPunct/>
        <w:topLinePunct w:val="0"/>
        <w:autoSpaceDE/>
        <w:autoSpaceDN/>
        <w:bidi w:val="0"/>
        <w:adjustRightInd/>
        <w:snapToGrid/>
        <w:spacing w:after="313" w:afterLines="100" w:line="360" w:lineRule="auto"/>
        <w:jc w:val="left"/>
        <w:textAlignment w:val="auto"/>
        <w:rPr>
          <w:rFonts w:hint="eastAsia" w:ascii="仿宋" w:hAnsi="仿宋" w:eastAsia="仿宋" w:cs="仿宋"/>
          <w:color w:val="auto"/>
          <w:sz w:val="24"/>
          <w:szCs w:val="24"/>
        </w:rPr>
      </w:pPr>
    </w:p>
    <w:p>
      <w:pPr>
        <w:tabs>
          <w:tab w:val="left" w:pos="1778"/>
        </w:tabs>
        <w:bidi w:val="0"/>
        <w:jc w:val="left"/>
        <w:rPr>
          <w:rFonts w:hint="eastAsia"/>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ascii="Times New Roman" w:hAnsi="Times New Roman"/>
          <w:color w:val="000000" w:themeColor="text1"/>
          <w14:textFill>
            <w14:solidFill>
              <w14:schemeClr w14:val="tx1"/>
            </w14:solidFill>
          </w14:textFill>
        </w:rPr>
        <w:drawing>
          <wp:anchor distT="0" distB="0" distL="0" distR="0" simplePos="0" relativeHeight="251665408" behindDoc="0" locked="0" layoutInCell="1" allowOverlap="1">
            <wp:simplePos x="0" y="0"/>
            <wp:positionH relativeFrom="column">
              <wp:posOffset>4245610</wp:posOffset>
            </wp:positionH>
            <wp:positionV relativeFrom="paragraph">
              <wp:posOffset>1234440</wp:posOffset>
            </wp:positionV>
            <wp:extent cx="1143000" cy="1137920"/>
            <wp:effectExtent l="0" t="0" r="0" b="5080"/>
            <wp:wrapNone/>
            <wp:docPr id="1855688616" name="图片 185568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88616" name="图片 185568861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166028" cy="1161174"/>
                    </a:xfrm>
                    <a:prstGeom prst="rect">
                      <a:avLst/>
                    </a:prstGeom>
                  </pic:spPr>
                </pic:pic>
              </a:graphicData>
            </a:graphic>
          </wp:anchor>
        </w:drawing>
      </w:r>
      <w:r>
        <mc:AlternateContent>
          <mc:Choice Requires="wps">
            <w:drawing>
              <wp:anchor distT="0" distB="0" distL="114300" distR="114300" simplePos="0" relativeHeight="251663360" behindDoc="0" locked="0" layoutInCell="1" allowOverlap="1">
                <wp:simplePos x="0" y="0"/>
                <wp:positionH relativeFrom="column">
                  <wp:posOffset>-336550</wp:posOffset>
                </wp:positionH>
                <wp:positionV relativeFrom="paragraph">
                  <wp:posOffset>683260</wp:posOffset>
                </wp:positionV>
                <wp:extent cx="6062980" cy="1951355"/>
                <wp:effectExtent l="0" t="0" r="13970" b="10795"/>
                <wp:wrapNone/>
                <wp:docPr id="3" name="文本框 3"/>
                <wp:cNvGraphicFramePr/>
                <a:graphic xmlns:a="http://schemas.openxmlformats.org/drawingml/2006/main">
                  <a:graphicData uri="http://schemas.microsoft.com/office/word/2010/wordprocessingShape">
                    <wps:wsp>
                      <wps:cNvSpPr txBox="1"/>
                      <wps:spPr>
                        <a:xfrm>
                          <a:off x="4347210" y="925195"/>
                          <a:ext cx="6062980" cy="19513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
                            <w:pPr>
                              <w:rPr>
                                <w:rFonts w:ascii="黑体" w:hAnsi="黑体" w:eastAsia="黑体" w:cs="黑体"/>
                                <w:b/>
                                <w:bCs/>
                                <w:color w:val="EB6001"/>
                                <w:kern w:val="0"/>
                                <w:sz w:val="36"/>
                                <w:szCs w:val="36"/>
                              </w:rPr>
                            </w:pPr>
                            <w:r>
                              <w:rPr>
                                <w:rFonts w:hint="eastAsia" w:ascii="黑体" w:hAnsi="黑体" w:eastAsia="黑体" w:cs="黑体"/>
                                <w:b/>
                                <w:bCs/>
                                <w:color w:val="EB6001"/>
                                <w:sz w:val="24"/>
                              </w:rPr>
                              <w:t>投资咨询部</w:t>
                            </w:r>
                            <w:r>
                              <w:rPr>
                                <w:rFonts w:hint="eastAsia" w:ascii="黑体" w:hAnsi="黑体" w:eastAsia="黑体" w:cs="黑体"/>
                                <w:b/>
                                <w:bCs/>
                                <w:color w:val="EB6001"/>
                                <w:kern w:val="0"/>
                                <w:sz w:val="36"/>
                                <w:szCs w:val="36"/>
                                <w:lang w:val="en-US" w:eastAsia="zh-CN"/>
                              </w:rPr>
                              <w:t xml:space="preserve">                                </w:t>
                            </w:r>
                            <w:r>
                              <w:rPr>
                                <w:rFonts w:hint="eastAsia" w:ascii="黑体" w:hAnsi="黑体" w:eastAsia="黑体" w:cs="黑体"/>
                                <w:b/>
                                <w:bCs/>
                                <w:color w:val="EB6001"/>
                                <w:sz w:val="24"/>
                              </w:rPr>
                              <w:t>山金期货官方微信号</w:t>
                            </w:r>
                          </w:p>
                          <w:p/>
                          <w:p>
                            <w:pPr>
                              <w:spacing w:line="360" w:lineRule="auto"/>
                              <w:rPr>
                                <w:rFonts w:hint="default" w:ascii="黑体" w:hAnsi="黑体" w:eastAsia="黑体" w:cs="黑体"/>
                                <w:lang w:val="en-US" w:eastAsia="zh-CN"/>
                              </w:rPr>
                            </w:pPr>
                            <w:r>
                              <w:rPr>
                                <w:rFonts w:hint="eastAsia" w:ascii="黑体" w:hAnsi="黑体" w:eastAsia="黑体" w:cs="黑体"/>
                              </w:rPr>
                              <w:t>作者∣</w:t>
                            </w:r>
                            <w:r>
                              <w:rPr>
                                <w:rFonts w:hint="eastAsia" w:ascii="黑体" w:hAnsi="黑体" w:eastAsia="黑体" w:cs="黑体"/>
                                <w:lang w:val="en-US" w:eastAsia="zh-CN"/>
                              </w:rPr>
                              <w:t>曹有明</w:t>
                            </w:r>
                          </w:p>
                          <w:p>
                            <w:pPr>
                              <w:spacing w:line="360" w:lineRule="auto"/>
                              <w:rPr>
                                <w:rFonts w:hint="eastAsia" w:ascii="楷体" w:hAnsi="楷体" w:eastAsia="楷体" w:cs="楷体"/>
                                <w:lang w:val="en-US" w:eastAsia="zh-CN"/>
                              </w:rPr>
                            </w:pPr>
                            <w:r>
                              <w:rPr>
                                <w:rFonts w:hint="eastAsia" w:ascii="楷体" w:hAnsi="楷体" w:eastAsia="楷体" w:cs="楷体"/>
                              </w:rPr>
                              <w:t>从业资格号：F3038998</w:t>
                            </w:r>
                          </w:p>
                          <w:p>
                            <w:pPr>
                              <w:spacing w:line="360" w:lineRule="auto"/>
                              <w:rPr>
                                <w:rFonts w:hint="default" w:ascii="楷体" w:hAnsi="楷体" w:eastAsia="楷体" w:cs="楷体"/>
                                <w:lang w:val="en-US" w:eastAsia="zh-CN"/>
                              </w:rPr>
                            </w:pPr>
                            <w:r>
                              <w:rPr>
                                <w:rFonts w:hint="eastAsia" w:ascii="楷体" w:hAnsi="楷体" w:eastAsia="楷体" w:cs="楷体"/>
                              </w:rPr>
                              <w:t>交易咨询号：Z00</w:t>
                            </w:r>
                            <w:r>
                              <w:rPr>
                                <w:rFonts w:hint="eastAsia" w:ascii="楷体" w:hAnsi="楷体" w:eastAsia="楷体" w:cs="楷体"/>
                                <w:lang w:val="en-US" w:eastAsia="zh-CN"/>
                              </w:rPr>
                              <w:t>13152</w:t>
                            </w:r>
                          </w:p>
                          <w:p>
                            <w:pPr>
                              <w:spacing w:line="360" w:lineRule="auto"/>
                              <w:rPr>
                                <w:rFonts w:ascii="楷体" w:hAnsi="楷体" w:eastAsia="楷体" w:cs="楷体"/>
                              </w:rPr>
                            </w:pPr>
                            <w:r>
                              <w:rPr>
                                <w:rFonts w:hint="eastAsia" w:ascii="楷体" w:hAnsi="楷体" w:eastAsia="楷体" w:cs="楷体"/>
                              </w:rPr>
                              <w:t>联系邮箱：</w:t>
                            </w:r>
                            <w:r>
                              <w:fldChar w:fldCharType="begin"/>
                            </w:r>
                            <w:r>
                              <w:instrText xml:space="preserve"> HYPERLINK "mailto:wangyunfei1@sd-gold.com" </w:instrText>
                            </w:r>
                            <w:r>
                              <w:fldChar w:fldCharType="separate"/>
                            </w:r>
                            <w:r>
                              <w:rPr>
                                <w:rFonts w:hint="eastAsia"/>
                                <w:lang w:val="en-US" w:eastAsia="zh-CN"/>
                              </w:rPr>
                              <w:t>caoyouming</w:t>
                            </w:r>
                            <w:r>
                              <w:rPr>
                                <w:rStyle w:val="11"/>
                                <w:rFonts w:hint="eastAsia" w:ascii="楷体" w:hAnsi="楷体" w:eastAsia="楷体" w:cs="楷体"/>
                              </w:rPr>
                              <w:t>@sd-gold.com</w:t>
                            </w:r>
                            <w:r>
                              <w:rPr>
                                <w:rStyle w:val="11"/>
                                <w:rFonts w:hint="eastAsia" w:ascii="楷体" w:hAnsi="楷体" w:eastAsia="楷体" w:cs="楷体"/>
                              </w:rPr>
                              <w:fldChar w:fldCharType="end"/>
                            </w:r>
                          </w:p>
                          <w:p>
                            <w:pPr>
                              <w:jc w:val="left"/>
                              <w:rPr>
                                <w:rFonts w:ascii="楷体" w:hAnsi="楷体" w:eastAsia="楷体" w:cs="楷体"/>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pt;margin-top:53.8pt;height:153.65pt;width:477.4pt;z-index:251663360;mso-width-relative:page;mso-height-relative:page;" fillcolor="#FFFFFF [3201]" filled="t" stroked="f" coordsize="21600,21600" o:gfxdata="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BOj&#10;odYAAAALAQAADwAAAAAAAAABACAAAAAiAAAAZHJzL2Rvd25yZXYueG1sUEsBAhQAFAAAAAgAh07i&#10;QMStfJZdAgAAmwQAAA4AAAAAAAAAAQAgAAAAJQEAAGRycy9lMm9Eb2MueG1sUEsFBgAAAAAGAAYA&#10;WQEAAPQFAAAAAA==&#10;">
                <v:fill on="t" focussize="0,0"/>
                <v:stroke on="f" weight="0.5pt"/>
                <v:imagedata o:title=""/>
                <o:lock v:ext="edit" aspectratio="f"/>
                <v:textbox>
                  <w:txbxContent>
                    <w:p/>
                    <w:p>
                      <w:pPr>
                        <w:rPr>
                          <w:rFonts w:ascii="黑体" w:hAnsi="黑体" w:eastAsia="黑体" w:cs="黑体"/>
                          <w:b/>
                          <w:bCs/>
                          <w:color w:val="EB6001"/>
                          <w:kern w:val="0"/>
                          <w:sz w:val="36"/>
                          <w:szCs w:val="36"/>
                        </w:rPr>
                      </w:pPr>
                      <w:r>
                        <w:rPr>
                          <w:rFonts w:hint="eastAsia" w:ascii="黑体" w:hAnsi="黑体" w:eastAsia="黑体" w:cs="黑体"/>
                          <w:b/>
                          <w:bCs/>
                          <w:color w:val="EB6001"/>
                          <w:sz w:val="24"/>
                        </w:rPr>
                        <w:t>投资咨询部</w:t>
                      </w:r>
                      <w:r>
                        <w:rPr>
                          <w:rFonts w:hint="eastAsia" w:ascii="黑体" w:hAnsi="黑体" w:eastAsia="黑体" w:cs="黑体"/>
                          <w:b/>
                          <w:bCs/>
                          <w:color w:val="EB6001"/>
                          <w:kern w:val="0"/>
                          <w:sz w:val="36"/>
                          <w:szCs w:val="36"/>
                          <w:lang w:val="en-US" w:eastAsia="zh-CN"/>
                        </w:rPr>
                        <w:t xml:space="preserve">                                </w:t>
                      </w:r>
                      <w:r>
                        <w:rPr>
                          <w:rFonts w:hint="eastAsia" w:ascii="黑体" w:hAnsi="黑体" w:eastAsia="黑体" w:cs="黑体"/>
                          <w:b/>
                          <w:bCs/>
                          <w:color w:val="EB6001"/>
                          <w:sz w:val="24"/>
                        </w:rPr>
                        <w:t>山金期货官方微信号</w:t>
                      </w:r>
                    </w:p>
                    <w:p/>
                    <w:p>
                      <w:pPr>
                        <w:spacing w:line="360" w:lineRule="auto"/>
                        <w:rPr>
                          <w:rFonts w:hint="default" w:ascii="黑体" w:hAnsi="黑体" w:eastAsia="黑体" w:cs="黑体"/>
                          <w:lang w:val="en-US" w:eastAsia="zh-CN"/>
                        </w:rPr>
                      </w:pPr>
                      <w:r>
                        <w:rPr>
                          <w:rFonts w:hint="eastAsia" w:ascii="黑体" w:hAnsi="黑体" w:eastAsia="黑体" w:cs="黑体"/>
                        </w:rPr>
                        <w:t>作者∣</w:t>
                      </w:r>
                      <w:r>
                        <w:rPr>
                          <w:rFonts w:hint="eastAsia" w:ascii="黑体" w:hAnsi="黑体" w:eastAsia="黑体" w:cs="黑体"/>
                          <w:lang w:val="en-US" w:eastAsia="zh-CN"/>
                        </w:rPr>
                        <w:t>曹有明</w:t>
                      </w:r>
                    </w:p>
                    <w:p>
                      <w:pPr>
                        <w:spacing w:line="360" w:lineRule="auto"/>
                        <w:rPr>
                          <w:rFonts w:hint="eastAsia" w:ascii="楷体" w:hAnsi="楷体" w:eastAsia="楷体" w:cs="楷体"/>
                          <w:lang w:val="en-US" w:eastAsia="zh-CN"/>
                        </w:rPr>
                      </w:pPr>
                      <w:r>
                        <w:rPr>
                          <w:rFonts w:hint="eastAsia" w:ascii="楷体" w:hAnsi="楷体" w:eastAsia="楷体" w:cs="楷体"/>
                        </w:rPr>
                        <w:t>从业资格号：F3038998</w:t>
                      </w:r>
                    </w:p>
                    <w:p>
                      <w:pPr>
                        <w:spacing w:line="360" w:lineRule="auto"/>
                        <w:rPr>
                          <w:rFonts w:hint="default" w:ascii="楷体" w:hAnsi="楷体" w:eastAsia="楷体" w:cs="楷体"/>
                          <w:lang w:val="en-US" w:eastAsia="zh-CN"/>
                        </w:rPr>
                      </w:pPr>
                      <w:r>
                        <w:rPr>
                          <w:rFonts w:hint="eastAsia" w:ascii="楷体" w:hAnsi="楷体" w:eastAsia="楷体" w:cs="楷体"/>
                        </w:rPr>
                        <w:t>交易咨询号：Z00</w:t>
                      </w:r>
                      <w:r>
                        <w:rPr>
                          <w:rFonts w:hint="eastAsia" w:ascii="楷体" w:hAnsi="楷体" w:eastAsia="楷体" w:cs="楷体"/>
                          <w:lang w:val="en-US" w:eastAsia="zh-CN"/>
                        </w:rPr>
                        <w:t>13152</w:t>
                      </w:r>
                    </w:p>
                    <w:p>
                      <w:pPr>
                        <w:spacing w:line="360" w:lineRule="auto"/>
                        <w:rPr>
                          <w:rFonts w:ascii="楷体" w:hAnsi="楷体" w:eastAsia="楷体" w:cs="楷体"/>
                        </w:rPr>
                      </w:pPr>
                      <w:r>
                        <w:rPr>
                          <w:rFonts w:hint="eastAsia" w:ascii="楷体" w:hAnsi="楷体" w:eastAsia="楷体" w:cs="楷体"/>
                        </w:rPr>
                        <w:t>联系邮箱：</w:t>
                      </w:r>
                      <w:r>
                        <w:fldChar w:fldCharType="begin"/>
                      </w:r>
                      <w:r>
                        <w:instrText xml:space="preserve"> HYPERLINK "mailto:wangyunfei1@sd-gold.com" </w:instrText>
                      </w:r>
                      <w:r>
                        <w:fldChar w:fldCharType="separate"/>
                      </w:r>
                      <w:r>
                        <w:rPr>
                          <w:rFonts w:hint="eastAsia"/>
                          <w:lang w:val="en-US" w:eastAsia="zh-CN"/>
                        </w:rPr>
                        <w:t>caoyouming</w:t>
                      </w:r>
                      <w:r>
                        <w:rPr>
                          <w:rStyle w:val="11"/>
                          <w:rFonts w:hint="eastAsia" w:ascii="楷体" w:hAnsi="楷体" w:eastAsia="楷体" w:cs="楷体"/>
                        </w:rPr>
                        <w:t>@sd-gold.com</w:t>
                      </w:r>
                      <w:r>
                        <w:rPr>
                          <w:rStyle w:val="11"/>
                          <w:rFonts w:hint="eastAsia" w:ascii="楷体" w:hAnsi="楷体" w:eastAsia="楷体" w:cs="楷体"/>
                        </w:rPr>
                        <w:fldChar w:fldCharType="end"/>
                      </w:r>
                    </w:p>
                    <w:p>
                      <w:pPr>
                        <w:jc w:val="left"/>
                        <w:rPr>
                          <w:rFonts w:ascii="楷体" w:hAnsi="楷体" w:eastAsia="楷体" w:cs="楷体"/>
                        </w:rPr>
                      </w:pP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spacing w:after="313" w:afterLines="100"/>
        <w:ind w:left="-840" w:leftChars="-400" w:right="-840" w:rightChars="-400" w:firstLine="562" w:firstLineChars="200"/>
        <w:textAlignment w:val="auto"/>
        <w:rPr>
          <w:rFonts w:hint="default" w:ascii="仿宋" w:hAnsi="仿宋" w:eastAsia="仿宋" w:cs="仿宋"/>
          <w:b/>
          <w:bCs/>
          <w:color w:val="auto"/>
          <w:sz w:val="28"/>
          <w:szCs w:val="28"/>
          <w:lang w:val="en-US" w:eastAsia="zh-CN" w:bidi="en-US"/>
        </w:rPr>
      </w:pPr>
      <w:bookmarkStart w:id="0" w:name="_Toc13196"/>
      <w:r>
        <w:rPr>
          <w:rFonts w:hint="eastAsia" w:ascii="仿宋" w:hAnsi="仿宋" w:eastAsia="仿宋" w:cs="仿宋"/>
          <w:b/>
          <w:bCs/>
          <w:color w:val="auto"/>
          <w:sz w:val="28"/>
          <w:szCs w:val="28"/>
          <w:lang w:val="en-US" w:eastAsia="zh-CN" w:bidi="en-US"/>
        </w:rPr>
        <w:t>中东局势最新的情况</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当地时间，上周五晚间，美军对伊朗石油出口枢纽哈尔克岛的军事目标发动“猛烈空袭”。伊朗方面表示，目前哈尔克岛石油设施完好无损，石油出口完全正常进行。伊朗武装部队司令部表示，若伊朗的石油、经济和能源基础设施遭袭，将摧毁与美国相关的同等设施。显然，目前美国以及伊朗都没有突破双方的底线。不过，最新的消息称，特朗普考虑轰炸哈尔克岛上的石油设施。</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另外，有消息称伊朗正考虑允许有限数量的油轮通过霍尔木兹海峡，前提是其运载的石油货物必须以人民币结算。该消息为革命卫队一名官员接受CNN采访时的表述，未必是伊朗高层的一致意见。不过，如果伊朗这样做，有利于瓦解石油美元体系，削弱美国的影响力。</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美国方面，特朗普拒绝谈论是否夺取伊朗石油枢纽哈尔克岛，重申若需要将护航。据美国官员透露，随着伊朗持续封锁霍尔木兹海峡，五角大楼正向中东地区调派更多海军陆战队部队和军舰。另有报道称，美国国防部考虑增派驱逐舰，为霍尔木兹海峡护航做准备。据报道，即使增派驱逐舰，也需要一个月之后才能成行。</w:t>
      </w:r>
    </w:p>
    <w:tbl>
      <w:tblPr>
        <w:tblStyle w:val="9"/>
        <w:tblW w:w="97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47" w:type="dxa"/>
            <w:tcBorders>
              <w:top w:val="nil"/>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z w:val="24"/>
                <w:szCs w:val="24"/>
                <w:vertAlign w:val="baseline"/>
                <w:lang w:val="en-US" w:eastAsia="zh-CN" w:bidi="en-US"/>
              </w:rPr>
            </w:pPr>
            <w:r>
              <w:rPr>
                <w:rFonts w:hint="eastAsia" w:ascii="仿宋" w:hAnsi="仿宋" w:eastAsia="仿宋" w:cs="仿宋"/>
                <w:b/>
                <w:bCs/>
                <w:color w:val="auto"/>
                <w:sz w:val="24"/>
                <w:szCs w:val="24"/>
                <w:vertAlign w:val="baseline"/>
                <w:lang w:val="en-US" w:eastAsia="zh-CN" w:bidi="en-US"/>
              </w:rPr>
              <w:t>图1：原油收盘价创三年多来的新高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47" w:type="dxa"/>
            <w:tcBorders>
              <w:top w:val="single" w:color="ED7D31" w:themeColor="accent2" w:sz="12" w:space="0"/>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z w:val="28"/>
                <w:szCs w:val="28"/>
                <w:vertAlign w:val="baseline"/>
                <w:lang w:val="en-US" w:eastAsia="zh-CN" w:bidi="en-US"/>
              </w:rPr>
            </w:pPr>
            <w:r>
              <w:drawing>
                <wp:inline distT="0" distB="0" distL="114300" distR="114300">
                  <wp:extent cx="2874010" cy="2249805"/>
                  <wp:effectExtent l="0" t="0" r="2540" b="1714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8"/>
                          <a:stretch>
                            <a:fillRect/>
                          </a:stretch>
                        </pic:blipFill>
                        <pic:spPr>
                          <a:xfrm>
                            <a:off x="0" y="0"/>
                            <a:ext cx="2874010" cy="224980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1" w:hRule="atLeast"/>
          <w:jc w:val="center"/>
        </w:trPr>
        <w:tc>
          <w:tcPr>
            <w:tcW w:w="4747" w:type="dxa"/>
            <w:tcBorders>
              <w:top w:val="single" w:color="ED7D31" w:themeColor="accent2" w:sz="12"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pacing w:val="0"/>
                <w:w w:val="100"/>
                <w:sz w:val="28"/>
                <w:szCs w:val="28"/>
                <w:vertAlign w:val="baseline"/>
                <w:lang w:val="en-US" w:eastAsia="zh-CN" w:bidi="en-US"/>
              </w:rPr>
            </w:pPr>
            <w:r>
              <w:rPr>
                <w:rFonts w:hint="eastAsia" w:ascii="仿宋" w:hAnsi="仿宋" w:eastAsia="仿宋" w:cs="仿宋"/>
                <w:b w:val="0"/>
                <w:bCs w:val="0"/>
                <w:color w:val="auto"/>
                <w:spacing w:val="0"/>
                <w:w w:val="100"/>
                <w:sz w:val="21"/>
                <w:szCs w:val="21"/>
                <w:vertAlign w:val="baseline"/>
                <w:lang w:val="en-US" w:eastAsia="zh-CN" w:bidi="en-US"/>
              </w:rPr>
              <w:t>数据来源：iFind、山金期货</w:t>
            </w:r>
          </w:p>
        </w:tc>
      </w:tr>
    </w:tbl>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在美国轰炸了伊朗的哈尔克岛之后，摩根大通、高盛、RBC资本市场等华尔街主要机构在本周集体发出警告，预计供应缺口将在未来数日内急剧扩大，油价存在进一步大幅上冲的风险。RBC资本市场预计，油价有望挑战2008年约147美元的历史纪录。</w:t>
      </w:r>
    </w:p>
    <w:p>
      <w:pPr>
        <w:keepNext w:val="0"/>
        <w:keepLines w:val="0"/>
        <w:pageBreakBefore w:val="0"/>
        <w:widowControl w:val="0"/>
        <w:kinsoku/>
        <w:wordWrap/>
        <w:overflowPunct/>
        <w:topLinePunct w:val="0"/>
        <w:autoSpaceDE/>
        <w:autoSpaceDN/>
        <w:bidi w:val="0"/>
        <w:adjustRightInd/>
        <w:snapToGrid/>
        <w:spacing w:after="313" w:afterLines="100"/>
        <w:ind w:left="-840" w:leftChars="-400" w:right="-840" w:rightChars="-400" w:firstLine="562" w:firstLineChars="200"/>
        <w:textAlignment w:val="auto"/>
        <w:rPr>
          <w:rFonts w:hint="default" w:ascii="仿宋" w:hAnsi="仿宋" w:eastAsia="仿宋" w:cs="仿宋"/>
          <w:b/>
          <w:bCs/>
          <w:color w:val="auto"/>
          <w:sz w:val="28"/>
          <w:szCs w:val="28"/>
          <w:lang w:val="en-US" w:eastAsia="zh-CN" w:bidi="en-US"/>
        </w:rPr>
      </w:pPr>
      <w:r>
        <w:rPr>
          <w:rFonts w:hint="eastAsia" w:ascii="仿宋" w:hAnsi="仿宋" w:eastAsia="仿宋" w:cs="仿宋"/>
          <w:b/>
          <w:bCs/>
          <w:color w:val="auto"/>
          <w:sz w:val="28"/>
          <w:szCs w:val="28"/>
          <w:lang w:val="en-US" w:eastAsia="zh-CN" w:bidi="en-US"/>
        </w:rPr>
        <w:t>为什么世界将面临长时间、高油价威胁？</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eastAsia"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首先，美伊之间暂时不会有谈判的可能。此前伊朗总统佩泽希齐扬表示，结束当前由美国和以色列挑起的战争的“唯一途径”，是承认伊朗的合法权利、支付战争赔偿，并由国际社会提供防止未来侵略行为的坚定保障。伊朗新任精神领袖也强化该立场。承认伊朗的合法权利即承认伊朗“和平”利用核能的权利。美国和以色列之所以轰炸伊朗，就是要扶持一个亲美的政府以及迫使伊朗放弃发展核能力。第一条美国和以色列就无法接受。让美国支付战争赔款更是痴人说梦。由国际社会提供防止未来侵略行为的坚定保障这一点，问题更复杂，面对美国和以色列，谁也保障不了！可以说，就当前的情况来看，伊朗的停火条件高的离谱。</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其次，经过前两次在谈判期间发生的轰炸，伊朗已经对美以失去了信任。对于伊朗来说，谁也不敢保证在下次谈判时，不发生轰炸。即使达成协议，谁也不敢保障，美以不会撕毁条约，再次定点清除伊朗领导人以及轰炸伊朗重要设施。在这样的背景下，从伊朗的角度来看，谈和不谈，能达成或者不能达成协议，已经没有什么差别了。对伊朗的领导层以及革命卫队来说，战，未必能输，和也仅是美以的缓兵之计，且时间在美以手里，那么选择拼死一战反而能获得更大的生存希望和空间。</w:t>
      </w:r>
    </w:p>
    <w:p>
      <w:pPr>
        <w:keepNext w:val="0"/>
        <w:keepLines w:val="0"/>
        <w:pageBreakBefore w:val="0"/>
        <w:widowControl w:val="0"/>
        <w:numPr>
          <w:ilvl w:val="0"/>
          <w:numId w:val="1"/>
        </w:numPr>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eastAsia"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封锁霍尔木兹海峡，拉高油价，将石油作为武器，对伊朗百利而无一害。石油出口收入是革命卫队的重要收入来源。封锁霍尔木兹海峡，石油价格涨了，伊朗的原油出口反而增加了，革命卫队的收入也增加了，也有就了继续抵抗的资本。</w:t>
      </w:r>
    </w:p>
    <w:p>
      <w:pPr>
        <w:keepNext w:val="0"/>
        <w:keepLines w:val="0"/>
        <w:pageBreakBefore w:val="0"/>
        <w:widowControl w:val="0"/>
        <w:numPr>
          <w:ilvl w:val="0"/>
          <w:numId w:val="1"/>
        </w:numPr>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如果美国选择占领哈尔克岛或者摧毁岛上的原油出口基础设施，则伊朗攻击海湾国家原油设施，世界只会面临更高的油的威胁。此种情况是美国和伊朗都不想见到的。但是，到目前为止，对领导人和重要军事以及民用目标的轰炸所造成的损失已经发生，成了沉没成本。对伊朗来说，高油价反而有利于进行长期抵抗。对美国来说，既往的轰炸虽然消灭伊朗的老的反美领导层，但新的更强硬的、更年轻的反美领导层已经登台。谁也不敢保证双方破罐子破摔。</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所以，未来在很长一段时间，我们将不得不接受高油价。如果美国轰炸伊朗的原油生产基础设施，全球或面临更高的油价。极端情况下，突破2008年147美元的历史纪录并非不可想象。</w:t>
      </w:r>
    </w:p>
    <w:p>
      <w:pPr>
        <w:keepNext w:val="0"/>
        <w:keepLines w:val="0"/>
        <w:pageBreakBefore w:val="0"/>
        <w:widowControl w:val="0"/>
        <w:kinsoku/>
        <w:wordWrap/>
        <w:overflowPunct/>
        <w:topLinePunct w:val="0"/>
        <w:autoSpaceDE/>
        <w:autoSpaceDN/>
        <w:bidi w:val="0"/>
        <w:adjustRightInd/>
        <w:snapToGrid/>
        <w:spacing w:after="313" w:afterLines="100"/>
        <w:ind w:left="-840" w:leftChars="-400" w:right="-840" w:rightChars="-400" w:firstLine="562" w:firstLineChars="200"/>
        <w:textAlignment w:val="auto"/>
        <w:rPr>
          <w:rFonts w:hint="default" w:ascii="仿宋" w:hAnsi="仿宋" w:eastAsia="仿宋" w:cs="仿宋"/>
          <w:b/>
          <w:bCs/>
          <w:color w:val="auto"/>
          <w:sz w:val="28"/>
          <w:szCs w:val="28"/>
          <w:lang w:val="en-US" w:eastAsia="zh-CN" w:bidi="en-US"/>
        </w:rPr>
      </w:pPr>
      <w:r>
        <w:rPr>
          <w:rFonts w:hint="eastAsia" w:ascii="仿宋" w:hAnsi="仿宋" w:eastAsia="仿宋" w:cs="仿宋"/>
          <w:b/>
          <w:bCs/>
          <w:color w:val="auto"/>
          <w:sz w:val="28"/>
          <w:szCs w:val="28"/>
          <w:lang w:val="en-US" w:eastAsia="zh-CN" w:bidi="en-US"/>
        </w:rPr>
        <w:t>高油价能否推动大宗商品进入新一轮上涨周期？</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在油价上涨之前，贵金属、有色金属已经走了一轮长周期的牛市行情。原油价格上涨之后，化工品普遍大幅上涨，且涨幅明显较国际原油价格涨幅大。如果原油价格长期保持高位，化工品势必将开启一轮明显的上行周期。农产品方面，因为近两年，巴西、美国、阿根廷大豆持续增产，压制了农产品的价格。但是，原油价格的上涨，推动了大豆种植成本。而且，良好的气候也不是年年可重复。当前全球极端天气增加，大豆连续丰产随时有可能结束。高油价叠加产量下降，大豆价格容易遭受成本上升和产量下降的“双击”。对于黑色系商品而言，因为本身需求预期偏弱，可能是最后一个补涨的品种。当所有板块都已经出现一轮牛市行情后，黑色系商品不会单独落下，也会跟随进入上涨周期。</w:t>
      </w:r>
    </w:p>
    <w:p>
      <w:pPr>
        <w:keepNext w:val="0"/>
        <w:keepLines w:val="0"/>
        <w:pageBreakBefore w:val="0"/>
        <w:widowControl w:val="0"/>
        <w:kinsoku/>
        <w:wordWrap/>
        <w:overflowPunct/>
        <w:topLinePunct w:val="0"/>
        <w:autoSpaceDE/>
        <w:autoSpaceDN/>
        <w:bidi w:val="0"/>
        <w:adjustRightInd/>
        <w:snapToGrid/>
        <w:spacing w:after="313" w:afterLines="100"/>
        <w:ind w:left="-840" w:leftChars="-400" w:right="-840" w:rightChars="-400" w:firstLine="562" w:firstLineChars="200"/>
        <w:textAlignment w:val="auto"/>
        <w:rPr>
          <w:rFonts w:hint="default" w:ascii="仿宋" w:hAnsi="仿宋" w:eastAsia="仿宋" w:cs="仿宋"/>
          <w:b/>
          <w:bCs/>
          <w:color w:val="auto"/>
          <w:sz w:val="28"/>
          <w:szCs w:val="28"/>
          <w:lang w:val="en-US" w:eastAsia="zh-CN" w:bidi="en-US"/>
        </w:rPr>
      </w:pPr>
      <w:r>
        <w:rPr>
          <w:rFonts w:hint="eastAsia" w:ascii="仿宋" w:hAnsi="仿宋" w:eastAsia="仿宋" w:cs="仿宋"/>
          <w:b/>
          <w:bCs/>
          <w:color w:val="auto"/>
          <w:sz w:val="28"/>
          <w:szCs w:val="28"/>
          <w:lang w:val="en-US" w:eastAsia="zh-CN" w:bidi="en-US"/>
        </w:rPr>
        <w:t>高油价对中国的影响相对有限</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首先，中国的CPI和PPI持续低迷，高油价对CPI和PPI的影响相对可控。目前CPI处于温和增长区间，且持续低于政策目标，PPI当月同比自2022年10月进入负值之后，目前已经持续弱势运行了超过三年多时间。油价的上涨，虽然对消费者以及产业链层面不利，但有利于实现物价的政策目标。</w:t>
      </w:r>
    </w:p>
    <w:tbl>
      <w:tblPr>
        <w:tblStyle w:val="9"/>
        <w:tblW w:w="97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47" w:type="dxa"/>
            <w:tcBorders>
              <w:top w:val="nil"/>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z w:val="24"/>
                <w:szCs w:val="24"/>
                <w:vertAlign w:val="baseline"/>
                <w:lang w:val="en-US" w:eastAsia="zh-CN" w:bidi="en-US"/>
              </w:rPr>
            </w:pPr>
            <w:r>
              <w:rPr>
                <w:rFonts w:hint="eastAsia" w:ascii="仿宋" w:hAnsi="仿宋" w:eastAsia="仿宋" w:cs="仿宋"/>
                <w:b/>
                <w:bCs/>
                <w:color w:val="auto"/>
                <w:sz w:val="24"/>
                <w:szCs w:val="24"/>
                <w:vertAlign w:val="baseline"/>
                <w:lang w:val="en-US" w:eastAsia="zh-CN" w:bidi="en-US"/>
              </w:rPr>
              <w:t>图2：油价上涨对CPI和PPI影响有限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47" w:type="dxa"/>
            <w:tcBorders>
              <w:top w:val="single" w:color="ED7D31" w:themeColor="accent2" w:sz="12" w:space="0"/>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z w:val="28"/>
                <w:szCs w:val="28"/>
                <w:vertAlign w:val="baseline"/>
                <w:lang w:val="en-US" w:eastAsia="zh-CN" w:bidi="en-US"/>
              </w:rPr>
            </w:pPr>
            <w:r>
              <w:drawing>
                <wp:inline distT="0" distB="0" distL="114300" distR="114300">
                  <wp:extent cx="2872740" cy="1731645"/>
                  <wp:effectExtent l="0" t="0" r="3810" b="190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9"/>
                          <a:stretch>
                            <a:fillRect/>
                          </a:stretch>
                        </pic:blipFill>
                        <pic:spPr>
                          <a:xfrm>
                            <a:off x="0" y="0"/>
                            <a:ext cx="2872740" cy="173164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1" w:hRule="atLeast"/>
          <w:jc w:val="center"/>
        </w:trPr>
        <w:tc>
          <w:tcPr>
            <w:tcW w:w="4747" w:type="dxa"/>
            <w:tcBorders>
              <w:top w:val="single" w:color="ED7D31" w:themeColor="accent2" w:sz="12"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pacing w:val="0"/>
                <w:w w:val="100"/>
                <w:sz w:val="28"/>
                <w:szCs w:val="28"/>
                <w:vertAlign w:val="baseline"/>
                <w:lang w:val="en-US" w:eastAsia="zh-CN" w:bidi="en-US"/>
              </w:rPr>
            </w:pPr>
            <w:r>
              <w:rPr>
                <w:rFonts w:hint="eastAsia" w:ascii="仿宋" w:hAnsi="仿宋" w:eastAsia="仿宋" w:cs="仿宋"/>
                <w:b w:val="0"/>
                <w:bCs w:val="0"/>
                <w:color w:val="auto"/>
                <w:spacing w:val="0"/>
                <w:w w:val="100"/>
                <w:sz w:val="21"/>
                <w:szCs w:val="21"/>
                <w:vertAlign w:val="baseline"/>
                <w:lang w:val="en-US" w:eastAsia="zh-CN" w:bidi="en-US"/>
              </w:rPr>
              <w:t>数据来源：iFind、山金期货</w:t>
            </w:r>
          </w:p>
        </w:tc>
      </w:tr>
    </w:tbl>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其次，中国原油的进口渠道多样。即使伊朗和经霍尔木兹海峡进口的中东石油供应完全中断，中国还可以加大对俄罗斯、加拿大等国的石油采购来降低事件的影响。因为有俄罗斯原油的存在，封锁霍尔木兹海峡对中国的影响比对欧洲的影响要小。而且，只要伊朗的原油出口设施可以运转，中国就可以承接伊朗出口的原油。</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eastAsia"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最后，油价的上涨有利于中国电动汽车和新能源发电设备的出口，从而可以在一定程度上对冲掉油价上涨的影响。近年来，中国投入巨资发展电动汽车和可再生能源，这一长期战略如今正在开花结果，而其他国家正为石油市场的剧变苦苦挣扎。中国通过扩大国内供给并加速开发包括太阳能、风能、水能和核能的替代能源，努力降低对外国能源的依赖。去年，中国对精炼油、汽油和柴油的需求出现下降，这是连续第二年下滑。中国的石油和天然气消费可能已达峰值，因而已经不再那么容易受到能源供应中断的影响。</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所以，就当前的形势来俩看，美以及伊朗之间的冲突存在长期化、扩大化的趋势，全球在长期面临高油价的威胁。而且，毫无疑问的是，原油价格的上涨将直接带动化工品进入牛市。在原油价格上涨带动下，农产品的牛市行情已经初露端倪，但黑色系商品受制于需求的因素，可能将会更晚进入长期牛市。另外，因中国原油进口来源多样，且新能源产业蓬勃发展，势不可挡，高油价对中国影响有限，甚至将极大的提振国内新能源产品的出口。</w:t>
      </w:r>
    </w:p>
    <w:p>
      <w:pPr>
        <w:keepNext w:val="0"/>
        <w:keepLines w:val="0"/>
        <w:pageBreakBefore w:val="0"/>
        <w:widowControl w:val="0"/>
        <w:kinsoku/>
        <w:wordWrap/>
        <w:overflowPunct/>
        <w:topLinePunct w:val="0"/>
        <w:autoSpaceDE/>
        <w:autoSpaceDN/>
        <w:bidi w:val="0"/>
        <w:adjustRightInd/>
        <w:snapToGrid/>
        <w:spacing w:after="313" w:afterLines="100"/>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风险提示</w:t>
      </w:r>
    </w:p>
    <w:p>
      <w:pPr>
        <w:keepNext w:val="0"/>
        <w:keepLines w:val="0"/>
        <w:pageBreakBefore w:val="0"/>
        <w:widowControl w:val="0"/>
        <w:numPr>
          <w:ilvl w:val="0"/>
          <w:numId w:val="2"/>
        </w:numPr>
        <w:kinsoku/>
        <w:wordWrap/>
        <w:overflowPunct/>
        <w:topLinePunct w:val="0"/>
        <w:autoSpaceDE/>
        <w:autoSpaceDN/>
        <w:bidi w:val="0"/>
        <w:adjustRightInd/>
        <w:snapToGrid/>
        <w:spacing w:after="313" w:afterLines="100"/>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中东紧张局势快速以和平方式收尾；</w:t>
      </w:r>
    </w:p>
    <w:p>
      <w:pPr>
        <w:rPr>
          <w:rFonts w:hint="eastAsia" w:ascii="微软雅黑" w:hAnsi="微软雅黑" w:eastAsia="微软雅黑"/>
          <w:b/>
          <w:bCs/>
          <w:sz w:val="28"/>
          <w:szCs w:val="28"/>
          <w:lang w:bidi="en-US"/>
          <w14:textFill>
            <w14:gradFill>
              <w14:gsLst>
                <w14:gs w14:pos="0">
                  <w14:srgbClr w14:val="FE4444"/>
                </w14:gs>
                <w14:gs w14:pos="100000">
                  <w14:srgbClr w14:val="832B2B"/>
                </w14:gs>
              </w14:gsLst>
              <w14:lin w14:ang="0" w14:scaled="0"/>
            </w14:gradFill>
          </w14:textFill>
        </w:rPr>
      </w:pPr>
      <w:r>
        <w:rPr>
          <w:rFonts w:hint="eastAsia" w:ascii="微软雅黑" w:hAnsi="微软雅黑" w:eastAsia="微软雅黑"/>
          <w:b/>
          <w:bCs/>
          <w:sz w:val="28"/>
          <w:szCs w:val="28"/>
          <w:lang w:bidi="en-US"/>
          <w14:textFill>
            <w14:gradFill>
              <w14:gsLst>
                <w14:gs w14:pos="0">
                  <w14:srgbClr w14:val="FE4444"/>
                </w14:gs>
                <w14:gs w14:pos="100000">
                  <w14:srgbClr w14:val="832B2B"/>
                </w14:gs>
              </w14:gsLst>
              <w14:lin w14:ang="0" w14:scaled="0"/>
            </w14:gradFill>
          </w14:textFill>
        </w:rPr>
        <w:br w:type="page"/>
      </w:r>
    </w:p>
    <w:p>
      <w:pPr>
        <w:outlineLvl w:val="0"/>
        <w:rPr>
          <w:rFonts w:ascii="微软雅黑" w:hAnsi="微软雅黑" w:eastAsia="微软雅黑"/>
          <w:b/>
          <w:bCs/>
          <w:sz w:val="28"/>
          <w:szCs w:val="28"/>
          <w:lang w:bidi="en-US"/>
          <w14:textFill>
            <w14:gradFill>
              <w14:gsLst>
                <w14:gs w14:pos="0">
                  <w14:srgbClr w14:val="FE4444"/>
                </w14:gs>
                <w14:gs w14:pos="100000">
                  <w14:srgbClr w14:val="832B2B"/>
                </w14:gs>
              </w14:gsLst>
              <w14:lin w14:ang="0" w14:scaled="0"/>
            </w14:gradFill>
          </w14:textFill>
        </w:rPr>
      </w:pPr>
      <w:bookmarkStart w:id="1" w:name="_Toc12528"/>
      <w:r>
        <w:rPr>
          <w:rFonts w:hint="eastAsia" w:ascii="微软雅黑" w:hAnsi="微软雅黑" w:eastAsia="微软雅黑"/>
          <w:b/>
          <w:bCs/>
          <w:sz w:val="28"/>
          <w:szCs w:val="28"/>
          <w:lang w:bidi="en-US"/>
          <w14:textFill>
            <w14:gradFill>
              <w14:gsLst>
                <w14:gs w14:pos="0">
                  <w14:srgbClr w14:val="FE4444"/>
                </w14:gs>
                <w14:gs w14:pos="100000">
                  <w14:srgbClr w14:val="832B2B"/>
                </w14:gs>
              </w14:gsLst>
              <w14:lin w14:ang="0" w14:scaled="0"/>
            </w14:gradFill>
          </w14:textFill>
        </w:rPr>
        <w:t>免责声明</w:t>
      </w:r>
      <w:bookmarkEnd w:id="0"/>
      <w:bookmarkEnd w:id="1"/>
    </w:p>
    <w:p>
      <w:pPr>
        <w:spacing w:line="360" w:lineRule="auto"/>
        <w:ind w:firstLine="480" w:firstLineChars="200"/>
        <w:jc w:val="left"/>
        <w:rPr>
          <w:rFonts w:ascii="楷体" w:hAnsi="楷体" w:eastAsia="楷体"/>
          <w:sz w:val="24"/>
        </w:rPr>
      </w:pPr>
    </w:p>
    <w:p>
      <w:pPr>
        <w:spacing w:line="360" w:lineRule="auto"/>
        <w:ind w:firstLine="480" w:firstLineChars="200"/>
        <w:jc w:val="left"/>
        <w:rPr>
          <w:rFonts w:hint="eastAsia" w:ascii="楷体" w:hAnsi="楷体" w:eastAsia="楷体"/>
          <w:sz w:val="24"/>
        </w:rPr>
      </w:pPr>
      <w:r>
        <w:rPr>
          <w:rFonts w:hint="eastAsia" w:ascii="楷体" w:hAnsi="楷体" w:eastAsia="楷体"/>
          <w:sz w:val="24"/>
        </w:rPr>
        <w:t>山金期货有限公司（以下简称“本公司”）具有中国证券监督管理委员会批</w:t>
      </w:r>
      <w:bookmarkStart w:id="2" w:name="_GoBack"/>
      <w:bookmarkEnd w:id="2"/>
      <w:r>
        <w:rPr>
          <w:rFonts w:hint="eastAsia" w:ascii="楷体" w:hAnsi="楷体" w:eastAsia="楷体"/>
          <w:sz w:val="24"/>
        </w:rPr>
        <w:t>准的期货交易咨询业务资格（证监许可[2012]33号）。</w:t>
      </w:r>
    </w:p>
    <w:p>
      <w:pPr>
        <w:spacing w:line="360" w:lineRule="auto"/>
        <w:ind w:firstLine="480" w:firstLineChars="200"/>
        <w:jc w:val="left"/>
        <w:rPr>
          <w:rFonts w:hint="eastAsia" w:ascii="楷体" w:hAnsi="楷体" w:eastAsia="楷体"/>
          <w:sz w:val="24"/>
          <w:lang w:val="en-US" w:eastAsia="zh-CN"/>
        </w:rPr>
      </w:pPr>
      <w:r>
        <w:rPr>
          <w:rFonts w:hint="eastAsia" w:ascii="楷体" w:hAnsi="楷体" w:eastAsia="楷体"/>
          <w:sz w:val="24"/>
        </w:rPr>
        <w:t>本报告由本公司投资咨询部制作，未获得本公司的书面授权，任何人和单位不得对本报告进行任何形式的修改、发布和复制。本报告基于本公司期货研究人员采用可信的公开资料和实地调研资料，但本公司对这些信息的准确性和完整性不作任何保证，且本报告中的资料、建议、预测均反映报告初次发布时的判断，可能会随时调整，报告中的信息或所表达的意见不构成投资、法律、会计或税务的最终操作建议，本公司不就报告中的内容对最终操作建议作任何担保。在本公司及其研究人员知情的范围内，本公司及其期货研究人员以及财产上的利害关系人与所评价或推荐的产品不存在任何利害关系，同时提醒期货投资者，期市有风险，入市须谨慎。</w:t>
      </w:r>
    </w:p>
    <w:p>
      <w:pPr>
        <w:spacing w:line="360" w:lineRule="auto"/>
        <w:jc w:val="left"/>
        <w:rPr>
          <w:rFonts w:hint="eastAsia" w:ascii="楷体" w:hAnsi="楷体" w:eastAsia="楷体"/>
          <w:sz w:val="24"/>
          <w:lang w:val="en-US" w:eastAsia="zh-CN"/>
        </w:rPr>
      </w:pPr>
    </w:p>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方正小标宋简体">
    <w:altName w:val="黑体"/>
    <w:panose1 w:val="03000509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7456" behindDoc="1" locked="0" layoutInCell="1" allowOverlap="1">
              <wp:simplePos x="0" y="0"/>
              <wp:positionH relativeFrom="column">
                <wp:posOffset>-1136015</wp:posOffset>
              </wp:positionH>
              <wp:positionV relativeFrom="paragraph">
                <wp:posOffset>370205</wp:posOffset>
              </wp:positionV>
              <wp:extent cx="7552690" cy="398780"/>
              <wp:effectExtent l="0" t="0" r="10160" b="1270"/>
              <wp:wrapNone/>
              <wp:docPr id="7" name="文本框 7"/>
              <wp:cNvGraphicFramePr/>
              <a:graphic xmlns:a="http://schemas.openxmlformats.org/drawingml/2006/main">
                <a:graphicData uri="http://schemas.microsoft.com/office/word/2010/wordprocessingShape">
                  <wps:wsp>
                    <wps:cNvSpPr txBox="1"/>
                    <wps:spPr>
                      <a:xfrm>
                        <a:off x="0" y="0"/>
                        <a:ext cx="7552690" cy="398780"/>
                      </a:xfrm>
                      <a:prstGeom prst="rect">
                        <a:avLst/>
                      </a:prstGeom>
                      <a:solidFill>
                        <a:srgbClr val="F57E2C"/>
                      </a:solidFill>
                      <a:ln w="6350">
                        <a:noFill/>
                      </a:ln>
                      <a:effectLst/>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9.45pt;margin-top:29.15pt;height:31.4pt;width:594.7pt;z-index:-251649024;mso-width-relative:page;mso-height-relative:page;" fillcolor="#F57E2C" filled="t" stroked="f" coordsize="21600,21600" o:gfxdata="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fsD5WNsAAAAMAQAADwAAAAAAAAABACAAAAAiAAAAZHJzL2Rvd25yZXYueG1sUEsBAhQAFAAAAAgA&#10;h07iQMWLiFdbAgAAnQQAAA4AAAAAAAAAAQAgAAAAKgEAAGRycy9lMm9Eb2MueG1sUEsFBgAAAAAG&#10;AAYAWQEAAPcFAAAAAA==&#10;">
              <v:fill on="t" focussize="0,0"/>
              <v:stroke on="f" weight="0.5pt"/>
              <v:imagedata o:title=""/>
              <o:lock v:ext="edit" aspectratio="f"/>
              <v:textbox>
                <w:txbxContent>
                  <w:p/>
                </w:txbxContent>
              </v:textbox>
            </v:shape>
          </w:pict>
        </mc:Fallback>
      </mc:AlternateContent>
    </w:r>
    <w:r>
      <mc:AlternateContent>
        <mc:Choice Requires="wpg">
          <w:drawing>
            <wp:anchor distT="0" distB="0" distL="114300" distR="114300" simplePos="0" relativeHeight="251660288" behindDoc="0" locked="0" layoutInCell="1" allowOverlap="1">
              <wp:simplePos x="0" y="0"/>
              <wp:positionH relativeFrom="column">
                <wp:posOffset>5380990</wp:posOffset>
              </wp:positionH>
              <wp:positionV relativeFrom="paragraph">
                <wp:posOffset>462280</wp:posOffset>
              </wp:positionV>
              <wp:extent cx="709930" cy="238125"/>
              <wp:effectExtent l="0" t="0" r="0" b="7620"/>
              <wp:wrapNone/>
              <wp:docPr id="1510953249" name="组合 33"/>
              <wp:cNvGraphicFramePr/>
              <a:graphic xmlns:a="http://schemas.openxmlformats.org/drawingml/2006/main">
                <a:graphicData uri="http://schemas.microsoft.com/office/word/2010/wordprocessingGroup">
                  <wpg:wgp>
                    <wpg:cNvGrpSpPr/>
                    <wpg:grpSpPr>
                      <a:xfrm>
                        <a:off x="0" y="0"/>
                        <a:ext cx="709930" cy="238125"/>
                        <a:chOff x="0" y="0"/>
                        <a:chExt cx="709683" cy="238125"/>
                      </a:xfrm>
                    </wpg:grpSpPr>
                    <wps:wsp>
                      <wps:cNvPr id="1555208936" name="文本框 31"/>
                      <wps:cNvSpPr txBox="1"/>
                      <wps:spPr>
                        <a:xfrm>
                          <a:off x="0" y="0"/>
                          <a:ext cx="709683" cy="238125"/>
                        </a:xfrm>
                        <a:prstGeom prst="rect">
                          <a:avLst/>
                        </a:prstGeom>
                        <a:noFill/>
                        <a:ln w="6350">
                          <a:noFill/>
                        </a:ln>
                      </wps:spPr>
                      <wps:txbx>
                        <w:txbxContent>
                          <w:p>
                            <w:r>
                              <w:rPr>
                                <w:rFonts w:hint="eastAsia"/>
                              </w:rPr>
                              <w:t xml:space="preserve">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PAGE   \* MERGEFORMAT</w:instrText>
                            </w:r>
                            <w:r>
                              <w:rPr>
                                <w:color w:val="FFFFFF" w:themeColor="background1"/>
                                <w14:textFill>
                                  <w14:solidFill>
                                    <w14:schemeClr w14:val="bg1"/>
                                  </w14:solidFill>
                                </w14:textFill>
                              </w:rPr>
                              <w:fldChar w:fldCharType="separate"/>
                            </w:r>
                            <w:r>
                              <w:rPr>
                                <w:color w:val="FFFFFF" w:themeColor="background1"/>
                                <w:lang w:val="zh-CN"/>
                                <w14:textFill>
                                  <w14:solidFill>
                                    <w14:schemeClr w14:val="bg1"/>
                                  </w14:solidFill>
                                </w14:textFill>
                              </w:rPr>
                              <w:t>12</w:t>
                            </w:r>
                            <w:r>
                              <w:rPr>
                                <w:color w:val="FFFFFF" w:themeColor="background1"/>
                                <w14:textFill>
                                  <w14:solidFill>
                                    <w14:schemeClr w14:val="bg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33217646" name="矩形 32"/>
                      <wps:cNvSpPr/>
                      <wps:spPr>
                        <a:xfrm>
                          <a:off x="111714" y="53788"/>
                          <a:ext cx="47570" cy="15856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33" o:spid="_x0000_s1026" o:spt="203" style="position:absolute;left:0pt;margin-left:423.7pt;margin-top:36.4pt;height:18.75pt;width:55.9pt;z-index:251660288;mso-width-relative:page;mso-height-relative:page;" coordsize="709683,238125" o:gfxdata="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CnG/le2gAAAAoBAAAPAAAAAAAAAAEAIAAAACIAAABkcnMvZG93bnJldi54&#10;bWxQSwECFAAUAAAACACHTuJAyKDLvU4DAACjCAAADgAAAAAAAAABACAAAAApAQAAZHJzL2Uyb0Rv&#10;Yy54bWxQSwUGAAAAAAYABgBZAQAA6QYAAAAA&#10;">
              <o:lock v:ext="edit" aspectratio="f"/>
              <v:shape id="文本框 31" o:spid="_x0000_s1026" o:spt="202" type="#_x0000_t202" style="position:absolute;left:0;top:0;height:238125;width:709683;" filled="f" stroked="f" coordsize="21600,21600" o:gfxdata="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sma5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r>
                        <w:rPr>
                          <w:rFonts w:hint="eastAsia"/>
                        </w:rPr>
                        <w:t xml:space="preserve">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PAGE   \* MERGEFORMAT</w:instrText>
                      </w:r>
                      <w:r>
                        <w:rPr>
                          <w:color w:val="FFFFFF" w:themeColor="background1"/>
                          <w14:textFill>
                            <w14:solidFill>
                              <w14:schemeClr w14:val="bg1"/>
                            </w14:solidFill>
                          </w14:textFill>
                        </w:rPr>
                        <w:fldChar w:fldCharType="separate"/>
                      </w:r>
                      <w:r>
                        <w:rPr>
                          <w:color w:val="FFFFFF" w:themeColor="background1"/>
                          <w:lang w:val="zh-CN"/>
                          <w14:textFill>
                            <w14:solidFill>
                              <w14:schemeClr w14:val="bg1"/>
                            </w14:solidFill>
                          </w14:textFill>
                        </w:rPr>
                        <w:t>12</w:t>
                      </w:r>
                      <w:r>
                        <w:rPr>
                          <w:color w:val="FFFFFF" w:themeColor="background1"/>
                          <w14:textFill>
                            <w14:solidFill>
                              <w14:schemeClr w14:val="bg1"/>
                            </w14:solidFill>
                          </w14:textFill>
                        </w:rPr>
                        <w:fldChar w:fldCharType="end"/>
                      </w:r>
                    </w:p>
                  </w:txbxContent>
                </v:textbox>
              </v:shape>
              <v:rect id="矩形 32" o:spid="_x0000_s1026" o:spt="1" style="position:absolute;left:111714;top:53788;height:158566;width:47570;v-text-anchor:middle;" fillcolor="#FFFFFF [3212]" filled="t" stroked="f" coordsize="21600,21600" o:gfxdata="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eKy98QAAADiAAAADwAAAAAAAAABACAAAAAiAAAAZHJzL2Rvd25yZXYueG1sUEsBAhQAFAAAAAgA&#10;h07iQDMvBZ47AAAAOQAAABAAAAAAAAAAAQAgAAAAEwEAAGRycy9zaGFwZXhtbC54bWxQSwUGAAAA&#10;AAYABgBbAQAAvQMAAAAA&#10;">
                <v:fill on="t" focussize="0,0"/>
                <v:stroke on="f" weight="1pt" miterlimit="8" joinstyle="miter"/>
                <v:imagedata o:title=""/>
                <o:lock v:ext="edit" aspectratio="f"/>
              </v:rect>
            </v:group>
          </w:pict>
        </mc:Fallback>
      </mc:AlternateContent>
    </w:r>
    <w:r>
      <w:rPr>
        <w:rFonts w:ascii="宋体" w:hAnsi="宋体" w:cs="宋体"/>
        <w:kern w:val="0"/>
        <w:sz w:val="24"/>
      </w:rPr>
      <mc:AlternateContent>
        <mc:Choice Requires="wps">
          <w:drawing>
            <wp:anchor distT="36195" distB="36195" distL="36195" distR="36195" simplePos="0" relativeHeight="251659264" behindDoc="0" locked="0" layoutInCell="1" allowOverlap="1">
              <wp:simplePos x="0" y="0"/>
              <wp:positionH relativeFrom="column">
                <wp:posOffset>1503045</wp:posOffset>
              </wp:positionH>
              <wp:positionV relativeFrom="paragraph">
                <wp:posOffset>437515</wp:posOffset>
              </wp:positionV>
              <wp:extent cx="2072640" cy="238125"/>
              <wp:effectExtent l="0" t="0" r="0" b="0"/>
              <wp:wrapNone/>
              <wp:docPr id="68" name="文本框 68"/>
              <wp:cNvGraphicFramePr/>
              <a:graphic xmlns:a="http://schemas.openxmlformats.org/drawingml/2006/main">
                <a:graphicData uri="http://schemas.microsoft.com/office/word/2010/wordprocessingShape">
                  <wps:wsp>
                    <wps:cNvSpPr txBox="1">
                      <a:spLocks noChangeArrowheads="1"/>
                    </wps:cNvSpPr>
                    <wps:spPr bwMode="auto">
                      <a:xfrm>
                        <a:off x="0" y="0"/>
                        <a:ext cx="2072640" cy="238125"/>
                      </a:xfrm>
                      <a:prstGeom prst="rect">
                        <a:avLst/>
                      </a:prstGeom>
                      <a:noFill/>
                      <a:ln>
                        <a:noFill/>
                      </a:ln>
                      <a:effectLst/>
                    </wps:spPr>
                    <wps:txbx>
                      <w:txbxContent>
                        <w:p>
                          <w:pPr>
                            <w:jc w:val="center"/>
                            <w:rPr>
                              <w:rFonts w:ascii="楷体" w:hAnsi="楷体" w:eastAsia="楷体"/>
                              <w:b/>
                              <w:bCs/>
                              <w:color w:val="FFFFFF" w:themeColor="background1"/>
                              <w:sz w:val="20"/>
                              <w:szCs w:val="18"/>
                              <w14:textFill>
                                <w14:solidFill>
                                  <w14:schemeClr w14:val="bg1"/>
                                </w14:solidFill>
                              </w14:textFill>
                            </w:rPr>
                          </w:pPr>
                          <w:r>
                            <w:rPr>
                              <w:rFonts w:hint="eastAsia" w:ascii="楷体" w:hAnsi="楷体" w:eastAsia="楷体"/>
                              <w:b/>
                              <w:bCs/>
                              <w:color w:val="FFFFFF" w:themeColor="background1"/>
                              <w:sz w:val="20"/>
                              <w:szCs w:val="18"/>
                              <w:lang w:val="zh-TW"/>
                              <w14:textFill>
                                <w14:solidFill>
                                  <w14:schemeClr w14:val="bg1"/>
                                </w14:solidFill>
                              </w14:textFill>
                            </w:rPr>
                            <w:t>请务必阅读正文后的</w:t>
                          </w:r>
                          <w:r>
                            <w:rPr>
                              <w:rFonts w:hint="eastAsia" w:ascii="楷体" w:hAnsi="楷体" w:eastAsia="楷体"/>
                              <w:b/>
                              <w:bCs/>
                              <w:color w:val="FFFFFF" w:themeColor="background1"/>
                              <w:sz w:val="20"/>
                              <w:szCs w:val="18"/>
                              <w14:textFill>
                                <w14:solidFill>
                                  <w14:schemeClr w14:val="bg1"/>
                                </w14:solidFill>
                              </w14:textFill>
                            </w:rPr>
                            <w:t>重要</w:t>
                          </w:r>
                          <w:r>
                            <w:rPr>
                              <w:rFonts w:hint="eastAsia" w:ascii="楷体" w:hAnsi="楷体" w:eastAsia="楷体"/>
                              <w:b/>
                              <w:bCs/>
                              <w:color w:val="FFFFFF" w:themeColor="background1"/>
                              <w:sz w:val="20"/>
                              <w:szCs w:val="18"/>
                              <w:lang w:val="zh-TW"/>
                              <w14:textFill>
                                <w14:solidFill>
                                  <w14:schemeClr w14:val="bg1"/>
                                </w14:solidFill>
                              </w14:textFill>
                            </w:rPr>
                            <w:t>声明</w:t>
                          </w:r>
                        </w:p>
                      </w:txbxContent>
                    </wps:txbx>
                    <wps:bodyPr rot="0" vert="horz" wrap="square" lIns="36576" tIns="36576" rIns="36576" bIns="36576" anchor="t" anchorCtr="0" upright="1">
                      <a:noAutofit/>
                    </wps:bodyPr>
                  </wps:wsp>
                </a:graphicData>
              </a:graphic>
            </wp:anchor>
          </w:drawing>
        </mc:Choice>
        <mc:Fallback>
          <w:pict>
            <v:shape id="_x0000_s1026" o:spid="_x0000_s1026" o:spt="202" type="#_x0000_t202" style="position:absolute;left:0pt;margin-left:118.35pt;margin-top:34.45pt;height:18.75pt;width:163.2pt;z-index:251659264;mso-width-relative:page;mso-height-relative:page;" filled="f" stroked="f" coordsize="21600,21600" o:gfxdata="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VX3Ke2gAAAAoB&#10;AAAPAAAAAAAAAAEAIAAAACIAAABkcnMvZG93bnJldi54bWxQSwECFAAUAAAACACHTuJAi6X56xkC&#10;AAAlBAAADgAAAAAAAAABACAAAAApAQAAZHJzL2Uyb0RvYy54bWxQSwUGAAAAAAYABgBZAQAAtAUA&#10;AAAA&#10;">
              <v:fill on="f" focussize="0,0"/>
              <v:stroke on="f"/>
              <v:imagedata o:title=""/>
              <o:lock v:ext="edit" aspectratio="f"/>
              <v:textbox inset="1.016mm,1.016mm,1.016mm,1.016mm">
                <w:txbxContent>
                  <w:p>
                    <w:pPr>
                      <w:jc w:val="center"/>
                      <w:rPr>
                        <w:rFonts w:ascii="楷体" w:hAnsi="楷体" w:eastAsia="楷体"/>
                        <w:b/>
                        <w:bCs/>
                        <w:color w:val="FFFFFF" w:themeColor="background1"/>
                        <w:sz w:val="20"/>
                        <w:szCs w:val="18"/>
                        <w14:textFill>
                          <w14:solidFill>
                            <w14:schemeClr w14:val="bg1"/>
                          </w14:solidFill>
                        </w14:textFill>
                      </w:rPr>
                    </w:pPr>
                    <w:r>
                      <w:rPr>
                        <w:rFonts w:hint="eastAsia" w:ascii="楷体" w:hAnsi="楷体" w:eastAsia="楷体"/>
                        <w:b/>
                        <w:bCs/>
                        <w:color w:val="FFFFFF" w:themeColor="background1"/>
                        <w:sz w:val="20"/>
                        <w:szCs w:val="18"/>
                        <w:lang w:val="zh-TW"/>
                        <w14:textFill>
                          <w14:solidFill>
                            <w14:schemeClr w14:val="bg1"/>
                          </w14:solidFill>
                        </w14:textFill>
                      </w:rPr>
                      <w:t>请务必阅读正文后的</w:t>
                    </w:r>
                    <w:r>
                      <w:rPr>
                        <w:rFonts w:hint="eastAsia" w:ascii="楷体" w:hAnsi="楷体" w:eastAsia="楷体"/>
                        <w:b/>
                        <w:bCs/>
                        <w:color w:val="FFFFFF" w:themeColor="background1"/>
                        <w:sz w:val="20"/>
                        <w:szCs w:val="18"/>
                        <w14:textFill>
                          <w14:solidFill>
                            <w14:schemeClr w14:val="bg1"/>
                          </w14:solidFill>
                        </w14:textFill>
                      </w:rPr>
                      <w:t>重要</w:t>
                    </w:r>
                    <w:r>
                      <w:rPr>
                        <w:rFonts w:hint="eastAsia" w:ascii="楷体" w:hAnsi="楷体" w:eastAsia="楷体"/>
                        <w:b/>
                        <w:bCs/>
                        <w:color w:val="FFFFFF" w:themeColor="background1"/>
                        <w:sz w:val="20"/>
                        <w:szCs w:val="18"/>
                        <w:lang w:val="zh-TW"/>
                        <w14:textFill>
                          <w14:solidFill>
                            <w14:schemeClr w14:val="bg1"/>
                          </w14:solidFill>
                        </w14:textFill>
                      </w:rPr>
                      <w:t>声明</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drawing>
        <wp:anchor distT="0" distB="0" distL="114300" distR="114300" simplePos="0" relativeHeight="251665408" behindDoc="0" locked="0" layoutInCell="1" allowOverlap="1">
          <wp:simplePos x="0" y="0"/>
          <wp:positionH relativeFrom="column">
            <wp:posOffset>-1029970</wp:posOffset>
          </wp:positionH>
          <wp:positionV relativeFrom="paragraph">
            <wp:posOffset>-455930</wp:posOffset>
          </wp:positionV>
          <wp:extent cx="1327150" cy="355600"/>
          <wp:effectExtent l="0" t="0" r="6350" b="6350"/>
          <wp:wrapNone/>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1">
                    <a:extLst>
                      <a:ext uri="{BEBA8EAE-BF5A-486C-A8C5-ECC9F3942E4B}">
                        <a14:imgProps xmlns:a14="http://schemas.microsoft.com/office/drawing/2010/main">
                          <a14:imgLayer r:embed="rId2">
                            <a14:imgEffect>
                              <a14:brightnessContrast bright="100000" contrast="100000"/>
                            </a14:imgEffect>
                          </a14:imgLayer>
                        </a14:imgProps>
                      </a:ext>
                      <a:ext uri="{28A0092B-C50C-407E-A947-70E740481C1C}">
                        <a14:useLocalDpi xmlns:a14="http://schemas.microsoft.com/office/drawing/2010/main" val="0"/>
                      </a:ext>
                    </a:extLst>
                  </a:blip>
                  <a:stretch>
                    <a:fillRect/>
                  </a:stretch>
                </pic:blipFill>
                <pic:spPr>
                  <a:xfrm>
                    <a:off x="0" y="0"/>
                    <a:ext cx="1327150" cy="355600"/>
                  </a:xfrm>
                  <a:prstGeom prst="rect">
                    <a:avLst/>
                  </a:prstGeom>
                </pic:spPr>
              </pic:pic>
            </a:graphicData>
          </a:graphic>
        </wp:anchor>
      </w:drawing>
    </w:r>
    <w:r>
      <w:rPr>
        <w:rFonts w:hint="eastAsia" w:eastAsiaTheme="minorEastAsia"/>
        <w:lang w:eastAsia="zh-CN"/>
      </w:rPr>
      <w:drawing>
        <wp:anchor distT="0" distB="0" distL="114300" distR="114300" simplePos="0" relativeHeight="251661312" behindDoc="0" locked="0" layoutInCell="1" allowOverlap="1">
          <wp:simplePos x="0" y="0"/>
          <wp:positionH relativeFrom="column">
            <wp:posOffset>-1163955</wp:posOffset>
          </wp:positionH>
          <wp:positionV relativeFrom="paragraph">
            <wp:posOffset>-539750</wp:posOffset>
          </wp:positionV>
          <wp:extent cx="7577455" cy="1724025"/>
          <wp:effectExtent l="0" t="0" r="4445" b="9525"/>
          <wp:wrapNone/>
          <wp:docPr id="5" name="图片 5" descr="C:\Users\shanjin\Desktop\6.jp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shanjin\Desktop\6.jpg6"/>
                  <pic:cNvPicPr>
                    <a:picLocks noChangeAspect="1"/>
                  </pic:cNvPicPr>
                </pic:nvPicPr>
                <pic:blipFill>
                  <a:blip r:embed="rId3"/>
                  <a:srcRect/>
                  <a:stretch>
                    <a:fillRect/>
                  </a:stretch>
                </pic:blipFill>
                <pic:spPr>
                  <a:xfrm>
                    <a:off x="0" y="0"/>
                    <a:ext cx="7577455" cy="17240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keepNext w:val="0"/>
      <w:keepLines w:val="0"/>
      <w:widowControl/>
      <w:suppressLineNumbers w:val="0"/>
    </w:pPr>
    <w:r>
      <w:drawing>
        <wp:anchor distT="0" distB="0" distL="114300" distR="114300" simplePos="0" relativeHeight="251666432" behindDoc="0" locked="0" layoutInCell="1" allowOverlap="1">
          <wp:simplePos x="0" y="0"/>
          <wp:positionH relativeFrom="column">
            <wp:posOffset>-1145540</wp:posOffset>
          </wp:positionH>
          <wp:positionV relativeFrom="paragraph">
            <wp:posOffset>-527050</wp:posOffset>
          </wp:positionV>
          <wp:extent cx="7581265" cy="648970"/>
          <wp:effectExtent l="0" t="0" r="635" b="17780"/>
          <wp:wrapNone/>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1"/>
                  <a:stretch>
                    <a:fillRect/>
                  </a:stretch>
                </pic:blipFill>
                <pic:spPr>
                  <a:xfrm>
                    <a:off x="0" y="0"/>
                    <a:ext cx="7581265" cy="64897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E076A"/>
    <w:multiLevelType w:val="singleLevel"/>
    <w:tmpl w:val="1A4E076A"/>
    <w:lvl w:ilvl="0" w:tentative="0">
      <w:start w:val="3"/>
      <w:numFmt w:val="chineseCounting"/>
      <w:suff w:val="nothing"/>
      <w:lvlText w:val="第%1，"/>
      <w:lvlJc w:val="left"/>
      <w:rPr>
        <w:rFonts w:hint="eastAsia"/>
      </w:rPr>
    </w:lvl>
  </w:abstractNum>
  <w:abstractNum w:abstractNumId="1">
    <w:nsid w:val="393406C6"/>
    <w:multiLevelType w:val="singleLevel"/>
    <w:tmpl w:val="393406C6"/>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B6DD0"/>
    <w:rsid w:val="009224D0"/>
    <w:rsid w:val="011C07DF"/>
    <w:rsid w:val="01376E0A"/>
    <w:rsid w:val="014B38AD"/>
    <w:rsid w:val="01D3250C"/>
    <w:rsid w:val="01FB23CB"/>
    <w:rsid w:val="020E6655"/>
    <w:rsid w:val="02285570"/>
    <w:rsid w:val="02B844DC"/>
    <w:rsid w:val="02E845D2"/>
    <w:rsid w:val="03AE0B18"/>
    <w:rsid w:val="03B1713F"/>
    <w:rsid w:val="03FA7913"/>
    <w:rsid w:val="04472A79"/>
    <w:rsid w:val="04563557"/>
    <w:rsid w:val="04926F71"/>
    <w:rsid w:val="055943D7"/>
    <w:rsid w:val="05BA78F4"/>
    <w:rsid w:val="068715C6"/>
    <w:rsid w:val="06DA5222"/>
    <w:rsid w:val="07170028"/>
    <w:rsid w:val="076654CA"/>
    <w:rsid w:val="076F4158"/>
    <w:rsid w:val="078B23B3"/>
    <w:rsid w:val="07EC0D95"/>
    <w:rsid w:val="07F91018"/>
    <w:rsid w:val="08246A68"/>
    <w:rsid w:val="089A1F2A"/>
    <w:rsid w:val="08B84D5E"/>
    <w:rsid w:val="08F66DC1"/>
    <w:rsid w:val="08FA50E4"/>
    <w:rsid w:val="09A45050"/>
    <w:rsid w:val="0A3D4AA2"/>
    <w:rsid w:val="0B320637"/>
    <w:rsid w:val="0BB56CC5"/>
    <w:rsid w:val="0C311C32"/>
    <w:rsid w:val="0C892520"/>
    <w:rsid w:val="0CE62A84"/>
    <w:rsid w:val="0CEB6D41"/>
    <w:rsid w:val="0CF5184F"/>
    <w:rsid w:val="0DEE1A67"/>
    <w:rsid w:val="0E560192"/>
    <w:rsid w:val="0EF64818"/>
    <w:rsid w:val="0EFA0CA0"/>
    <w:rsid w:val="0F5229B3"/>
    <w:rsid w:val="0F9603CF"/>
    <w:rsid w:val="104D284B"/>
    <w:rsid w:val="10AC0666"/>
    <w:rsid w:val="10E478C7"/>
    <w:rsid w:val="11C90E3E"/>
    <w:rsid w:val="11D11EAA"/>
    <w:rsid w:val="12F7022B"/>
    <w:rsid w:val="14162C01"/>
    <w:rsid w:val="1425541A"/>
    <w:rsid w:val="146F139B"/>
    <w:rsid w:val="14D84158"/>
    <w:rsid w:val="158E1C28"/>
    <w:rsid w:val="15F42192"/>
    <w:rsid w:val="16265E64"/>
    <w:rsid w:val="16810FC2"/>
    <w:rsid w:val="16BB47BE"/>
    <w:rsid w:val="16F7073B"/>
    <w:rsid w:val="177B0D14"/>
    <w:rsid w:val="180B0603"/>
    <w:rsid w:val="18B505AB"/>
    <w:rsid w:val="18DA39CC"/>
    <w:rsid w:val="1931001B"/>
    <w:rsid w:val="19421580"/>
    <w:rsid w:val="194E33D7"/>
    <w:rsid w:val="19524ED3"/>
    <w:rsid w:val="1A1C7FE3"/>
    <w:rsid w:val="1A387913"/>
    <w:rsid w:val="1AA9696A"/>
    <w:rsid w:val="1AAC404F"/>
    <w:rsid w:val="1B4D19DA"/>
    <w:rsid w:val="1BD31C64"/>
    <w:rsid w:val="1BE268B4"/>
    <w:rsid w:val="1C142703"/>
    <w:rsid w:val="1C1D0A2D"/>
    <w:rsid w:val="1C3071CC"/>
    <w:rsid w:val="1C4221D7"/>
    <w:rsid w:val="1C46636E"/>
    <w:rsid w:val="1C951971"/>
    <w:rsid w:val="1CD65239"/>
    <w:rsid w:val="1CDD1F34"/>
    <w:rsid w:val="1D8C3120"/>
    <w:rsid w:val="1DAB4D3C"/>
    <w:rsid w:val="1E4A6151"/>
    <w:rsid w:val="1E827C5E"/>
    <w:rsid w:val="1E8F29CA"/>
    <w:rsid w:val="1EA47481"/>
    <w:rsid w:val="1EA731C1"/>
    <w:rsid w:val="1EBB33A8"/>
    <w:rsid w:val="1F16618C"/>
    <w:rsid w:val="1F4D55DB"/>
    <w:rsid w:val="1FD00E3E"/>
    <w:rsid w:val="2008261D"/>
    <w:rsid w:val="204F5EB9"/>
    <w:rsid w:val="21026F8C"/>
    <w:rsid w:val="216C6661"/>
    <w:rsid w:val="21AE5DF5"/>
    <w:rsid w:val="22233C11"/>
    <w:rsid w:val="22464811"/>
    <w:rsid w:val="22802B82"/>
    <w:rsid w:val="22AE5D73"/>
    <w:rsid w:val="22FF3710"/>
    <w:rsid w:val="23102595"/>
    <w:rsid w:val="23A94D12"/>
    <w:rsid w:val="23D01397"/>
    <w:rsid w:val="24F133E8"/>
    <w:rsid w:val="25011E21"/>
    <w:rsid w:val="25040446"/>
    <w:rsid w:val="25626261"/>
    <w:rsid w:val="25766E41"/>
    <w:rsid w:val="25B5026A"/>
    <w:rsid w:val="25E93F44"/>
    <w:rsid w:val="26261822"/>
    <w:rsid w:val="26315635"/>
    <w:rsid w:val="263578BE"/>
    <w:rsid w:val="26423351"/>
    <w:rsid w:val="269456DA"/>
    <w:rsid w:val="271635D9"/>
    <w:rsid w:val="284B6FA9"/>
    <w:rsid w:val="28C30DF5"/>
    <w:rsid w:val="29D25B2C"/>
    <w:rsid w:val="2A0240FC"/>
    <w:rsid w:val="2A105610"/>
    <w:rsid w:val="2A113092"/>
    <w:rsid w:val="2A3967D5"/>
    <w:rsid w:val="2A3B3FD2"/>
    <w:rsid w:val="2A694DA5"/>
    <w:rsid w:val="2A881DD7"/>
    <w:rsid w:val="2A9C2748"/>
    <w:rsid w:val="2AA7405D"/>
    <w:rsid w:val="2AAB580F"/>
    <w:rsid w:val="2AB73A3B"/>
    <w:rsid w:val="2ACE366B"/>
    <w:rsid w:val="2B1B7691"/>
    <w:rsid w:val="2B6C2049"/>
    <w:rsid w:val="2B8F1148"/>
    <w:rsid w:val="2C36322C"/>
    <w:rsid w:val="2CA91A51"/>
    <w:rsid w:val="2D3A4BC3"/>
    <w:rsid w:val="2D417641"/>
    <w:rsid w:val="2D665687"/>
    <w:rsid w:val="2DEA692F"/>
    <w:rsid w:val="2EB156AA"/>
    <w:rsid w:val="2EB909CC"/>
    <w:rsid w:val="2F475B9D"/>
    <w:rsid w:val="2F60131B"/>
    <w:rsid w:val="2F721689"/>
    <w:rsid w:val="2FBE69E5"/>
    <w:rsid w:val="2FFF7872"/>
    <w:rsid w:val="30153FEF"/>
    <w:rsid w:val="3091214E"/>
    <w:rsid w:val="30E74BC1"/>
    <w:rsid w:val="30F77AE2"/>
    <w:rsid w:val="31203039"/>
    <w:rsid w:val="317E6AC1"/>
    <w:rsid w:val="31DC6E5B"/>
    <w:rsid w:val="32167F39"/>
    <w:rsid w:val="322040CC"/>
    <w:rsid w:val="325B51AB"/>
    <w:rsid w:val="328F68FE"/>
    <w:rsid w:val="32C75B5F"/>
    <w:rsid w:val="32D14A30"/>
    <w:rsid w:val="33BE6FF0"/>
    <w:rsid w:val="33D939C5"/>
    <w:rsid w:val="341A770A"/>
    <w:rsid w:val="34EF2BE5"/>
    <w:rsid w:val="35594813"/>
    <w:rsid w:val="35611C20"/>
    <w:rsid w:val="35653A1F"/>
    <w:rsid w:val="363E0AEB"/>
    <w:rsid w:val="36684558"/>
    <w:rsid w:val="36C23F5A"/>
    <w:rsid w:val="373331A0"/>
    <w:rsid w:val="37537E51"/>
    <w:rsid w:val="3790555D"/>
    <w:rsid w:val="37CD4298"/>
    <w:rsid w:val="382736AC"/>
    <w:rsid w:val="38390ED6"/>
    <w:rsid w:val="39E44101"/>
    <w:rsid w:val="39E8110F"/>
    <w:rsid w:val="3A0642E1"/>
    <w:rsid w:val="3A3655EE"/>
    <w:rsid w:val="3A3F3BB8"/>
    <w:rsid w:val="3A8F14ED"/>
    <w:rsid w:val="3A9A0F33"/>
    <w:rsid w:val="3AA27591"/>
    <w:rsid w:val="3AD60153"/>
    <w:rsid w:val="3B021807"/>
    <w:rsid w:val="3B5073DC"/>
    <w:rsid w:val="3B9777D7"/>
    <w:rsid w:val="3BF00020"/>
    <w:rsid w:val="3C027200"/>
    <w:rsid w:val="3CB3794A"/>
    <w:rsid w:val="3CCF5D67"/>
    <w:rsid w:val="3D7D4571"/>
    <w:rsid w:val="3DA75332"/>
    <w:rsid w:val="3DAE273F"/>
    <w:rsid w:val="3E143B9F"/>
    <w:rsid w:val="3E390124"/>
    <w:rsid w:val="3E772188"/>
    <w:rsid w:val="3EA34D97"/>
    <w:rsid w:val="3EC44618"/>
    <w:rsid w:val="3EF178D3"/>
    <w:rsid w:val="3EF72A60"/>
    <w:rsid w:val="3F2E1791"/>
    <w:rsid w:val="3FBC4A1D"/>
    <w:rsid w:val="3FC6532D"/>
    <w:rsid w:val="40FA572A"/>
    <w:rsid w:val="411D49E5"/>
    <w:rsid w:val="414733A4"/>
    <w:rsid w:val="41C52874"/>
    <w:rsid w:val="422823E1"/>
    <w:rsid w:val="42582251"/>
    <w:rsid w:val="4259696B"/>
    <w:rsid w:val="42677E7F"/>
    <w:rsid w:val="42A9416B"/>
    <w:rsid w:val="433F6E2A"/>
    <w:rsid w:val="43C348B8"/>
    <w:rsid w:val="43D97A72"/>
    <w:rsid w:val="445B15B3"/>
    <w:rsid w:val="45520847"/>
    <w:rsid w:val="456C2B53"/>
    <w:rsid w:val="45AE6FD9"/>
    <w:rsid w:val="46136706"/>
    <w:rsid w:val="46CE1038"/>
    <w:rsid w:val="46ED18ED"/>
    <w:rsid w:val="46F41277"/>
    <w:rsid w:val="471E4089"/>
    <w:rsid w:val="47A9421E"/>
    <w:rsid w:val="47FC5EDB"/>
    <w:rsid w:val="4857563B"/>
    <w:rsid w:val="48DC2BCE"/>
    <w:rsid w:val="49333D25"/>
    <w:rsid w:val="49CA551D"/>
    <w:rsid w:val="4A0E090A"/>
    <w:rsid w:val="4A6F52E6"/>
    <w:rsid w:val="4B6B0F6B"/>
    <w:rsid w:val="4C00513D"/>
    <w:rsid w:val="4C012BBE"/>
    <w:rsid w:val="4C62195E"/>
    <w:rsid w:val="4CE27EB0"/>
    <w:rsid w:val="4D264517"/>
    <w:rsid w:val="4D53613E"/>
    <w:rsid w:val="4D742AA0"/>
    <w:rsid w:val="4DCA5C07"/>
    <w:rsid w:val="4E4901F2"/>
    <w:rsid w:val="4E912B4B"/>
    <w:rsid w:val="4EBF723F"/>
    <w:rsid w:val="4F527833"/>
    <w:rsid w:val="4F5819BC"/>
    <w:rsid w:val="4F5F5AC3"/>
    <w:rsid w:val="4F801AC7"/>
    <w:rsid w:val="4F94051C"/>
    <w:rsid w:val="4FC7696F"/>
    <w:rsid w:val="4FE21920"/>
    <w:rsid w:val="508E2A97"/>
    <w:rsid w:val="50A15F2C"/>
    <w:rsid w:val="50A41776"/>
    <w:rsid w:val="50E43632"/>
    <w:rsid w:val="510D2307"/>
    <w:rsid w:val="51BA49DE"/>
    <w:rsid w:val="51D57224"/>
    <w:rsid w:val="533D5E1F"/>
    <w:rsid w:val="53832D10"/>
    <w:rsid w:val="543D59C1"/>
    <w:rsid w:val="54743F7A"/>
    <w:rsid w:val="54BC3236"/>
    <w:rsid w:val="54E95ADA"/>
    <w:rsid w:val="5543746D"/>
    <w:rsid w:val="556F7038"/>
    <w:rsid w:val="557D1BD1"/>
    <w:rsid w:val="559B337F"/>
    <w:rsid w:val="55B464A8"/>
    <w:rsid w:val="55FB6C1C"/>
    <w:rsid w:val="561372FE"/>
    <w:rsid w:val="568A5206"/>
    <w:rsid w:val="57A25CD3"/>
    <w:rsid w:val="57E219C3"/>
    <w:rsid w:val="5999038C"/>
    <w:rsid w:val="5A650D5A"/>
    <w:rsid w:val="5AC32B55"/>
    <w:rsid w:val="5AD03C8C"/>
    <w:rsid w:val="5B455E49"/>
    <w:rsid w:val="5B4D6AD9"/>
    <w:rsid w:val="5B767C9D"/>
    <w:rsid w:val="5C016804"/>
    <w:rsid w:val="5C0C4893"/>
    <w:rsid w:val="5C4E7327"/>
    <w:rsid w:val="5C660FA0"/>
    <w:rsid w:val="5C845394"/>
    <w:rsid w:val="5C8964F1"/>
    <w:rsid w:val="5D9C143B"/>
    <w:rsid w:val="5DBF7DEC"/>
    <w:rsid w:val="5DE05E36"/>
    <w:rsid w:val="5E056DEE"/>
    <w:rsid w:val="5E4E70C6"/>
    <w:rsid w:val="5EA0144F"/>
    <w:rsid w:val="5F0B0AFE"/>
    <w:rsid w:val="5F275E09"/>
    <w:rsid w:val="5F4C5CE4"/>
    <w:rsid w:val="5F7C677D"/>
    <w:rsid w:val="5FFF488E"/>
    <w:rsid w:val="603A11F0"/>
    <w:rsid w:val="603D05FD"/>
    <w:rsid w:val="60A7051F"/>
    <w:rsid w:val="61192212"/>
    <w:rsid w:val="612F717E"/>
    <w:rsid w:val="61502F36"/>
    <w:rsid w:val="618A1E17"/>
    <w:rsid w:val="61C52EF5"/>
    <w:rsid w:val="61C96C3E"/>
    <w:rsid w:val="625414DF"/>
    <w:rsid w:val="62561C5C"/>
    <w:rsid w:val="62911E79"/>
    <w:rsid w:val="63065CD5"/>
    <w:rsid w:val="63164E21"/>
    <w:rsid w:val="637451BA"/>
    <w:rsid w:val="642F7AEC"/>
    <w:rsid w:val="643903FB"/>
    <w:rsid w:val="64C55A61"/>
    <w:rsid w:val="64CD2E6D"/>
    <w:rsid w:val="64D477DD"/>
    <w:rsid w:val="65035C77"/>
    <w:rsid w:val="6598383A"/>
    <w:rsid w:val="65E329B5"/>
    <w:rsid w:val="66042274"/>
    <w:rsid w:val="669E696B"/>
    <w:rsid w:val="66AD6467"/>
    <w:rsid w:val="6715689C"/>
    <w:rsid w:val="674A6A84"/>
    <w:rsid w:val="676F1242"/>
    <w:rsid w:val="678655E4"/>
    <w:rsid w:val="67B875AC"/>
    <w:rsid w:val="67BE1A0B"/>
    <w:rsid w:val="680A772B"/>
    <w:rsid w:val="6934718B"/>
    <w:rsid w:val="69A668E3"/>
    <w:rsid w:val="69D673B7"/>
    <w:rsid w:val="6A5034F9"/>
    <w:rsid w:val="6A7259FE"/>
    <w:rsid w:val="6AA66486"/>
    <w:rsid w:val="6AB22052"/>
    <w:rsid w:val="6AD92158"/>
    <w:rsid w:val="6B131038"/>
    <w:rsid w:val="6BA375FD"/>
    <w:rsid w:val="6BC0083E"/>
    <w:rsid w:val="6C327292"/>
    <w:rsid w:val="6C5E35D9"/>
    <w:rsid w:val="6C770900"/>
    <w:rsid w:val="6CFE0101"/>
    <w:rsid w:val="6DBA64BB"/>
    <w:rsid w:val="6DD30BBC"/>
    <w:rsid w:val="6DDB184C"/>
    <w:rsid w:val="6E817651"/>
    <w:rsid w:val="6EA57A35"/>
    <w:rsid w:val="6ECF42D7"/>
    <w:rsid w:val="6EEC7A6B"/>
    <w:rsid w:val="6F1C6B95"/>
    <w:rsid w:val="6F6B6EC0"/>
    <w:rsid w:val="6F747076"/>
    <w:rsid w:val="6FA27059"/>
    <w:rsid w:val="70560610"/>
    <w:rsid w:val="70A367DC"/>
    <w:rsid w:val="70F33FDC"/>
    <w:rsid w:val="716A5681"/>
    <w:rsid w:val="719A15C0"/>
    <w:rsid w:val="71A90288"/>
    <w:rsid w:val="71BB4DD7"/>
    <w:rsid w:val="71CD1741"/>
    <w:rsid w:val="71D2144C"/>
    <w:rsid w:val="720A7DED"/>
    <w:rsid w:val="72BB2DE9"/>
    <w:rsid w:val="7383558F"/>
    <w:rsid w:val="73C43DFB"/>
    <w:rsid w:val="73F45294"/>
    <w:rsid w:val="7474619D"/>
    <w:rsid w:val="74932401"/>
    <w:rsid w:val="74B41184"/>
    <w:rsid w:val="74EF06D7"/>
    <w:rsid w:val="75157FB5"/>
    <w:rsid w:val="75403F6C"/>
    <w:rsid w:val="75C70DD8"/>
    <w:rsid w:val="76BC3479"/>
    <w:rsid w:val="76FB6DD0"/>
    <w:rsid w:val="78540376"/>
    <w:rsid w:val="789214E0"/>
    <w:rsid w:val="78BC2324"/>
    <w:rsid w:val="78EC17AD"/>
    <w:rsid w:val="79351615"/>
    <w:rsid w:val="79577FFA"/>
    <w:rsid w:val="796171F2"/>
    <w:rsid w:val="79626335"/>
    <w:rsid w:val="79840EF6"/>
    <w:rsid w:val="79FF741A"/>
    <w:rsid w:val="7AA51E44"/>
    <w:rsid w:val="7AA678C6"/>
    <w:rsid w:val="7B18614D"/>
    <w:rsid w:val="7B611298"/>
    <w:rsid w:val="7B8F7843"/>
    <w:rsid w:val="7BAF5A0A"/>
    <w:rsid w:val="7BBB7AF7"/>
    <w:rsid w:val="7BE94A5A"/>
    <w:rsid w:val="7C0B37AE"/>
    <w:rsid w:val="7C1B32EA"/>
    <w:rsid w:val="7C8F493C"/>
    <w:rsid w:val="7CAC1AA7"/>
    <w:rsid w:val="7CAE2219"/>
    <w:rsid w:val="7CED202F"/>
    <w:rsid w:val="7D7B3DA7"/>
    <w:rsid w:val="7D813877"/>
    <w:rsid w:val="7E380E55"/>
    <w:rsid w:val="7E437985"/>
    <w:rsid w:val="7EBE547D"/>
    <w:rsid w:val="7F2E0FB4"/>
    <w:rsid w:val="7FD52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widowControl/>
      <w:spacing w:before="340" w:after="330" w:line="578" w:lineRule="atLeast"/>
      <w:jc w:val="left"/>
      <w:outlineLvl w:val="0"/>
    </w:pPr>
    <w:rPr>
      <w:b/>
      <w:bCs/>
      <w:kern w:val="44"/>
      <w:sz w:val="44"/>
      <w:szCs w:val="44"/>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unhideWhenUsed/>
    <w:qFormat/>
    <w:uiPriority w:val="39"/>
    <w:pPr>
      <w:tabs>
        <w:tab w:val="right" w:leader="dot" w:pos="10456"/>
      </w:tabs>
      <w:spacing w:line="480" w:lineRule="auto"/>
    </w:pPr>
    <w:rPr>
      <w:rFonts w:ascii="楷体" w:hAnsi="楷体" w:eastAsia="楷体"/>
      <w:b/>
      <w:bCs/>
      <w:sz w:val="24"/>
      <w:szCs w:val="28"/>
      <w:lang w:val="zh-CN"/>
    </w:rPr>
  </w:style>
  <w:style w:type="paragraph" w:styleId="6">
    <w:name w:val="toc 2"/>
    <w:basedOn w:val="1"/>
    <w:next w:val="1"/>
    <w:unhideWhenUsed/>
    <w:qFormat/>
    <w:uiPriority w:val="39"/>
    <w:pPr>
      <w:ind w:left="420" w:leftChars="200"/>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99"/>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microsoft.com/office/2007/relationships/hdphoto" Target="media/image2.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3126</Words>
  <Characters>3182</Characters>
  <Lines>0</Lines>
  <Paragraphs>0</Paragraphs>
  <TotalTime>26</TotalTime>
  <ScaleCrop>false</ScaleCrop>
  <LinksUpToDate>false</LinksUpToDate>
  <CharactersWithSpaces>3182</CharactersWithSpaces>
  <Application>WPS Office_11.8.6.11825_F1E327BC-269C-435d-A152-05C5408002CA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2025-02-21T07:08:00Z</dcterms:created>
  <dc:creator>shanjin</dc:creator>
  <cp:lastModifiedBy>曹有明</cp:lastModifiedBy>
  <dcterms:modified xsi:type="dcterms:W3CDTF">2026-03-16T09:07:01Z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2052-11.8.6.11825</vt:lpwstr>
  </property>
  <property fmtid="{D5CDD505-2E9C-101B-9397-08002B2CF9AE}" pid="3" name="ICV">
    <vt:lpwstr>838459D330D042CCA2F2BE8A354C7D1D</vt:lpwstr>
  </property>
</Properties>
</file>