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ESCOPO</w:t>
      </w:r>
      <w:r>
        <w:t xml:space="preserve"> </w:t>
      </w:r>
      <w:r>
        <w:t xml:space="preserve">DE</w:t>
      </w:r>
      <w:r>
        <w:t xml:space="preserve"> </w:t>
      </w:r>
      <w:r>
        <w:t xml:space="preserve">SERVIÇOS</w:t>
      </w:r>
      <w:r>
        <w:t xml:space="preserve"> </w:t>
      </w:r>
      <w:r>
        <w:t xml:space="preserve">–</w:t>
      </w:r>
      <w:r>
        <w:t xml:space="preserve"> </w:t>
      </w:r>
      <w:r>
        <w:t xml:space="preserve">ADMINISTRATIVO</w:t>
      </w:r>
      <w:r>
        <w:t xml:space="preserve"> </w:t>
      </w:r>
      <w:r>
        <w:t xml:space="preserve">FINANCEIRO</w:t>
      </w:r>
    </w:p>
    <w:p>
      <w:pPr>
        <w:pStyle w:val="Subtitle"/>
      </w:pPr>
      <w:r>
        <w:t xml:space="preserve">GS</w:t>
      </w:r>
      <w:r>
        <w:t xml:space="preserve"> </w:t>
      </w:r>
      <w:r>
        <w:t xml:space="preserve">GROUP</w:t>
      </w:r>
      <w:r>
        <w:t xml:space="preserve"> </w:t>
      </w:r>
      <w:r>
        <w:t xml:space="preserve">·</w:t>
      </w:r>
      <w:r>
        <w:t xml:space="preserve"> </w:t>
      </w:r>
      <w:r>
        <w:t xml:space="preserve">Anexo</w:t>
      </w:r>
      <w:r>
        <w:t xml:space="preserve"> </w:t>
      </w:r>
      <w:r>
        <w:t xml:space="preserve">I</w:t>
      </w:r>
      <w:r>
        <w:t xml:space="preserve"> </w:t>
      </w:r>
      <w:r>
        <w:t xml:space="preserve">ao</w:t>
      </w:r>
      <w:r>
        <w:t xml:space="preserve"> </w:t>
      </w:r>
      <w:r>
        <w:t xml:space="preserve">Contrato</w:t>
      </w:r>
      <w:r>
        <w:t xml:space="preserve"> </w:t>
      </w:r>
      <w:r>
        <w:t xml:space="preserve">de</w:t>
      </w:r>
      <w:r>
        <w:t xml:space="preserve"> </w:t>
      </w:r>
      <w:r>
        <w:t xml:space="preserve">Prestação</w:t>
      </w:r>
      <w:r>
        <w:t xml:space="preserve"> </w:t>
      </w:r>
      <w:r>
        <w:t xml:space="preserve">de</w:t>
      </w:r>
      <w:r>
        <w:t xml:space="preserve"> </w:t>
      </w:r>
      <w:r>
        <w:t xml:space="preserve">Serviços</w:t>
      </w:r>
      <w:r>
        <w:t xml:space="preserve"> </w:t>
      </w:r>
      <w:r>
        <w:t xml:space="preserve">Profissionais</w:t>
      </w:r>
    </w:p>
    <w:p>
      <w:pPr>
        <w:pStyle w:val="BlockText"/>
      </w:pPr>
      <w:r>
        <w:rPr>
          <w:bCs/>
          <w:b/>
        </w:rPr>
        <w:t xml:space="preserve">Como usar este documento.</w:t>
      </w:r>
      <w:r>
        <w:t xml:space="preserve"> </w:t>
      </w:r>
      <w:r>
        <w:t xml:space="preserve">Este escopo detalha as entregas previstas na Cláusula 1ª do contrato. Ele descreve</w:t>
      </w:r>
      <w:r>
        <w:t xml:space="preserve"> </w:t>
      </w:r>
      <w:r>
        <w:rPr>
          <w:bCs/>
          <w:b/>
        </w:rPr>
        <w:t xml:space="preserve">o que</w:t>
      </w:r>
      <w:r>
        <w:t xml:space="preserve"> </w:t>
      </w:r>
      <w:r>
        <w:t xml:space="preserve">deve ser entregue e</w:t>
      </w:r>
      <w:r>
        <w:t xml:space="preserve"> </w:t>
      </w:r>
      <w:r>
        <w:rPr>
          <w:bCs/>
          <w:b/>
        </w:rPr>
        <w:t xml:space="preserve">em que prazo</w:t>
      </w:r>
      <w:r>
        <w:t xml:space="preserve">, não</w:t>
      </w:r>
      <w:r>
        <w:t xml:space="preserve"> </w:t>
      </w:r>
      <w:r>
        <w:rPr>
          <w:bCs/>
          <w:b/>
        </w:rPr>
        <w:t xml:space="preserve">como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em que horário</w:t>
      </w:r>
      <w:r>
        <w:t xml:space="preserve"> </w:t>
      </w:r>
      <w:r>
        <w:t xml:space="preserve">o trabalho é feito, preservando a autonomia da prestadora (Cláusulas 1.3 e 2.1). Os campos entre colchetes devem ser ajustados à realidade da operação.</w:t>
      </w:r>
    </w:p>
    <w:bookmarkStart w:id="20" w:name="identificação"/>
    <w:p>
      <w:pPr>
        <w:pStyle w:val="Heading2"/>
      </w:pPr>
      <w:r>
        <w:t xml:space="preserve">1. Identificação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[Analista/Assistente] Administrativo Financeiro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Prestação de serviços PJ, sem vínculo empregatício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[Remota / híbrida / presencial em Vilhena-RO]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 focal na CONTRATANTE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[Nome] – responsável por prioridades e aprovações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Aprovador de pagamentos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[Nome(s)] conforme alçadas do item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Empresas atendidas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empresas do GS GROUP listadas no contrato</w:t>
            </w:r>
          </w:p>
        </w:tc>
      </w:tr>
    </w:tbl>
    <w:bookmarkEnd w:id="20"/>
    <w:bookmarkStart w:id="21" w:name="objetivo-da-função"/>
    <w:p>
      <w:pPr>
        <w:pStyle w:val="Heading2"/>
      </w:pPr>
      <w:r>
        <w:t xml:space="preserve">2. Objetivo da função</w:t>
      </w:r>
    </w:p>
    <w:p>
      <w:pPr>
        <w:pStyle w:val="FirstParagraph"/>
      </w:pPr>
      <w:r>
        <w:t xml:space="preserve">Garantir que a rotina administrativa e financeira do GS GROUP funcione</w:t>
      </w:r>
      <w:r>
        <w:t xml:space="preserve"> </w:t>
      </w:r>
      <w:r>
        <w:rPr>
          <w:bCs/>
          <w:b/>
        </w:rPr>
        <w:t xml:space="preserve">em dia, organizada e segura</w:t>
      </w:r>
      <w:r>
        <w:t xml:space="preserve">: contas pagas e recebidas no prazo, caixa conciliado e previsível, documentos em ordem para a contabilidade, contratos e fornecedores sob controle, e a liderança com informação confiável para decidir.</w:t>
      </w:r>
    </w:p>
    <w:p>
      <w:pPr>
        <w:pStyle w:val="BodyText"/>
      </w:pPr>
      <w:r>
        <w:rPr>
          <w:bCs/>
          <w:b/>
        </w:rPr>
        <w:t xml:space="preserve">Problemas que a função resolve:</w:t>
      </w:r>
    </w:p>
    <w:p>
      <w:pPr>
        <w:numPr>
          <w:ilvl w:val="0"/>
          <w:numId w:val="1001"/>
        </w:numPr>
        <w:pStyle w:val="Compact"/>
      </w:pPr>
      <w:r>
        <w:t xml:space="preserve">Pagamentos atrasados, com multa e juros, ou feitos sem conferência;</w:t>
      </w:r>
    </w:p>
    <w:p>
      <w:pPr>
        <w:numPr>
          <w:ilvl w:val="0"/>
          <w:numId w:val="1001"/>
        </w:numPr>
        <w:pStyle w:val="Compact"/>
      </w:pPr>
      <w:r>
        <w:t xml:space="preserve">Recebíveis sem acompanhamento e inadimplência sem cobrança;</w:t>
      </w:r>
    </w:p>
    <w:p>
      <w:pPr>
        <w:numPr>
          <w:ilvl w:val="0"/>
          <w:numId w:val="1001"/>
        </w:numPr>
        <w:pStyle w:val="Compact"/>
      </w:pPr>
      <w:r>
        <w:t xml:space="preserve">Caixa sem conciliação, sem saber o saldo real e o que vence;</w:t>
      </w:r>
    </w:p>
    <w:p>
      <w:pPr>
        <w:numPr>
          <w:ilvl w:val="0"/>
          <w:numId w:val="1001"/>
        </w:numPr>
        <w:pStyle w:val="Compact"/>
      </w:pPr>
      <w:r>
        <w:t xml:space="preserve">Fechamento contábil atrasado por falta de documentos;</w:t>
      </w:r>
    </w:p>
    <w:p>
      <w:pPr>
        <w:numPr>
          <w:ilvl w:val="0"/>
          <w:numId w:val="1001"/>
        </w:numPr>
        <w:pStyle w:val="Compact"/>
      </w:pPr>
      <w:r>
        <w:t xml:space="preserve">Contratos, assinaturas e certidões vencendo sem controle;</w:t>
      </w:r>
    </w:p>
    <w:p>
      <w:pPr>
        <w:numPr>
          <w:ilvl w:val="0"/>
          <w:numId w:val="1001"/>
        </w:numPr>
        <w:pStyle w:val="Compact"/>
      </w:pPr>
      <w:r>
        <w:t xml:space="preserve">Despesas misturadas entre as empresas do grupo.</w:t>
      </w:r>
    </w:p>
    <w:bookmarkEnd w:id="21"/>
    <w:bookmarkStart w:id="29" w:name="macroáreas-e-entregas"/>
    <w:p>
      <w:pPr>
        <w:pStyle w:val="Heading2"/>
      </w:pPr>
      <w:r>
        <w:t xml:space="preserve">3. Macroáreas e entregas</w:t>
      </w:r>
    </w:p>
    <w:bookmarkStart w:id="22" w:name="contas-a-pagar"/>
    <w:p>
      <w:pPr>
        <w:pStyle w:val="Heading3"/>
      </w:pPr>
      <w:r>
        <w:t xml:space="preserve">3.1 Contas a pagar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Recepção e cadastro de boletos, notas, guias e faturas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lançados no sistema/planilha em até 2 dias úteis do recebimento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Conferência antes da aprovação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Valor, vencimento, CNPJ do beneficiário, dados bancários e vínculo com contrato ou pedido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 do grupo correta + centro de custo + categoria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Programação de pagamentos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Lote enviado ao aprovador com antecedência mínima de [2] dias úteis do vencimento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Comprovantes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Anexados ao lançamento em até 1 dia útil após o pagamento</w:t>
            </w:r>
          </w:p>
        </w:tc>
      </w:tr>
    </w:tbl>
    <w:bookmarkEnd w:id="22"/>
    <w:bookmarkStart w:id="23" w:name="contas-a-receber-e-cobrança"/>
    <w:p>
      <w:pPr>
        <w:pStyle w:val="Heading3"/>
      </w:pPr>
      <w:r>
        <w:t xml:space="preserve">3.2 Contas a receber e cobrança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vendas e contratos a receber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Lançados por empresa, cliente, valor e vencimento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 de recebimentos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Conferida com extrato/plataforma em até 1 dia útil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Régua de cobrança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Contato em D+1, D+5, D+15 e D+30 do vencimento, conforme política da CONTRATANTE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 de inadimplência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Semanal, por cliente, empresa e faixa de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Negociação de dívidas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propõe; condições e descontos dependem de aprovação</w:t>
            </w:r>
          </w:p>
        </w:tc>
      </w:tr>
    </w:tbl>
    <w:bookmarkEnd w:id="23"/>
    <w:bookmarkStart w:id="24" w:name="tesouraria-e-conciliação"/>
    <w:p>
      <w:pPr>
        <w:pStyle w:val="Heading3"/>
      </w:pPr>
      <w:r>
        <w:t xml:space="preserve">3.3 Tesouraria e conciliação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Conciliação bancária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Diária ou, no máximo, a cada 2 dias úteis, por conta e por empresa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Conciliação de cartões, gateways e plataformas (ex.: Hotmart, Asaas, Stripe, maquininhas)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Semanal, com divergências apontadas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Fluxo de caixa realizado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Atualizado diariamente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Fluxo de caixa projetado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Próximos 30, 60 e 90 dias, atualizado semanalmente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Alerta de caixa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 imediato se a projeção indicar saldo abaixo do mínimo definido: R$ [valor]</w:t>
            </w:r>
          </w:p>
        </w:tc>
      </w:tr>
    </w:tbl>
    <w:bookmarkEnd w:id="24"/>
    <w:bookmarkStart w:id="25" w:name="faturamento-e-fiscal-operacional"/>
    <w:p>
      <w:pPr>
        <w:pStyle w:val="Heading3"/>
      </w:pPr>
      <w:r>
        <w:t xml:space="preserve">3.4 Faturamento e fiscal operacional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Emissão de notas fiscais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regras de cada empresa e no prazo combinado com o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Controle de notas emitidas e recebidas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Conferido mensalmente com o faturamento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Guias e tributos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Recebe da contabilidade, confere e programa o pagamento no prazo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Notas dos prestadores PJ do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Recebe, confere valor, contrato e competência e programa o pagamento</w:t>
            </w:r>
          </w:p>
        </w:tc>
      </w:tr>
    </w:tbl>
    <w:bookmarkEnd w:id="25"/>
    <w:bookmarkStart w:id="26" w:name="fechamento-e-relação-com-a-contabilidade"/>
    <w:p>
      <w:pPr>
        <w:pStyle w:val="Heading3"/>
      </w:pPr>
      <w:r>
        <w:t xml:space="preserve">3.5 Fechamento e relação com a contabilidade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Pacote mensal para a contabilidade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Extratos, notas, comprovantes e relatórios enviados até o [5º] dia útil do mês seguinte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Pendências da contabilidade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Respondidas em até 2 dias úteis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Separação entre empresas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despesa de uma empresa paga ou lançada em outra sem registro de reembolso ou rateio</w:t>
            </w:r>
          </w:p>
        </w:tc>
      </w:tr>
    </w:tbl>
    <w:bookmarkEnd w:id="26"/>
    <w:bookmarkStart w:id="27" w:name="administrativo-contratos-e-fornecedores"/>
    <w:p>
      <w:pPr>
        <w:pStyle w:val="Heading3"/>
      </w:pPr>
      <w:r>
        <w:t xml:space="preserve">3.6 Administrativo, contratos e fornecedores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 digital organizado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 padrão de pastas por empresa, tipo de documento e ano, com nomes padronizados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Controle de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Planilha com partes, objeto, valor, reajuste, vigência, renovação e aviso prévio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Controle de vencimentos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Certidões, alvarás, licenças, domínios, seguros, certificados digitais e assinaturas de software, com aviso [30] dias 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Cadastro de fornecedores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completos e conferidos; alteração bancária só com confirmação por canal independente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de [3] cotações acima de R$ [valor], encaminhadas para aprovação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Assinaturas/SaaS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Inventário mensal (ferramenta, empresa, responsável, valor, uso), com sugestões de corte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Patrimônio e equipamentos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Inventário atualizado, quando solicitado</w:t>
            </w:r>
          </w:p>
        </w:tc>
      </w:tr>
    </w:tbl>
    <w:bookmarkEnd w:id="27"/>
    <w:bookmarkStart w:id="28" w:name="relatórios-gerenciais"/>
    <w:p>
      <w:pPr>
        <w:pStyle w:val="Heading3"/>
      </w:pPr>
      <w:r>
        <w:t xml:space="preserve">3.7 Relatórios gerenciais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Posição de caixa + contas do dia/semana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[segunda-feira]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Inadimplência e recebíveis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[segunda-feira]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Fluxo de caixa projetado (30/60/90)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[segunda-feira]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Despesas por empresa e centro de custo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o [8º] dia útil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 gerencial simplificada por empresa (com a contabilidade)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o [10º] dia útil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Vencimentos de contratos e documentos (próximos 60 dias)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o [5º] dia útil</w:t>
            </w:r>
          </w:p>
        </w:tc>
      </w:tr>
    </w:tbl>
    <w:bookmarkEnd w:id="28"/>
    <w:bookmarkEnd w:id="29"/>
    <w:bookmarkStart w:id="30" w:name="calendário-de-rotinas"/>
    <w:p>
      <w:pPr>
        <w:pStyle w:val="Heading2"/>
      </w:pPr>
      <w:r>
        <w:t xml:space="preserve">4. Calendário de rotinas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Frequência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Conferir extratos e conciliar; lançar recebimentos e pagamentos; triar e-mails e documentos financeiros; checar o que vence no dia seguinte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o lote de pagamentos para aprovação; rodar a régua de cobrança; atualizar o fluxo projetado; conciliar cartões e plataformas; enviar os relatórios semanais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Fechar o mês e enviar o pacote à contabilidade; conferir notas emitidas e recebidas; fazer o inventário de assinaturas; enviar os relatórios mensais; revisar os vencimentos de contratos e documentos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cadastro de fornecedores, reajustes contratuais e acessos bancários e de sistemas; propor melhorias de processo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Sob demanda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Cotações, apoio a auditorias, levantamento de informações para decisões, apoio à contabilidade e ao jurídico</w:t>
            </w:r>
          </w:p>
        </w:tc>
      </w:tr>
    </w:tbl>
    <w:bookmarkEnd w:id="30"/>
    <w:bookmarkStart w:id="31" w:name="alçadas-e-limites-de-decisão"/>
    <w:p>
      <w:pPr>
        <w:pStyle w:val="Heading2"/>
      </w:pPr>
      <w:r>
        <w:t xml:space="preserve">5. Alçadas e limites de decisão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Aprovação da CONTRATANTE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Lançar, classificar e conciliar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precisa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Programar pagamento já 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Aprovação prévia do lote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Liberar pagamento no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[Não executa / executa somente após aprovação no sistema]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Pagamento fora do lote ou urgente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Sempre, por escrito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Cadastrar ou alterar dados bancários de fornecedor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 e confirma por canal independente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Compras e novas contratações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 e recomenda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Desconto, parcelamento ou acordo com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Propõe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Assinar contratos ou representar a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executa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Somente com procuração específica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Regra de segurança:</w:t>
      </w:r>
      <w:r>
        <w:t xml:space="preserve"> </w:t>
      </w:r>
      <w:r>
        <w:t xml:space="preserve">qualquer pedido de troca de conta bancária, pagamento urgente fora do padrão ou mensagem de</w:t>
      </w:r>
      <w:r>
        <w:t xml:space="preserve"> </w:t>
      </w:r>
      <w:r>
        <w:t xml:space="preserve">“</w:t>
      </w:r>
      <w:r>
        <w:t xml:space="preserve">diretor</w:t>
      </w:r>
      <w:r>
        <w:t xml:space="preserve">”</w:t>
      </w:r>
      <w:r>
        <w:t xml:space="preserve"> </w:t>
      </w:r>
      <w:r>
        <w:t xml:space="preserve">pedindo transferência deve ser confirmado por telefone com o ponto focal antes de qualquer ação (contrato, Cláusula 3.4).</w:t>
      </w:r>
    </w:p>
    <w:bookmarkEnd w:id="31"/>
    <w:bookmarkStart w:id="32" w:name="interfaces"/>
    <w:p>
      <w:pPr>
        <w:pStyle w:val="Heading2"/>
      </w:pPr>
      <w:r>
        <w:t xml:space="preserve">6. Interfaces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 quem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Sócio/administrador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Prioridades, aprovações, decisões e relatórios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Fechamento, guias, notas, folha e pró-labore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Jurídico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Contratos, cobranças judiciais e notificações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 / 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Vendas fechadas, condições negociadas, cobrança de 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Fornecedores e prestadores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Notas, cobranças, cadastros e cotações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Bancos e plataformas de pagamento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Extratos, conciliação e suporte operacional</w:t>
            </w:r>
          </w:p>
        </w:tc>
      </w:tr>
    </w:tbl>
    <w:bookmarkEnd w:id="32"/>
    <w:bookmarkStart w:id="33" w:name="ferramentas-e-acessos"/>
    <w:p>
      <w:pPr>
        <w:pStyle w:val="Heading2"/>
      </w:pPr>
      <w:r>
        <w:t xml:space="preserve">7. Ferramentas e acessos</w:t>
      </w:r>
    </w:p>
    <w:p>
      <w:pPr>
        <w:numPr>
          <w:ilvl w:val="0"/>
          <w:numId w:val="1002"/>
        </w:numPr>
        <w:pStyle w:val="Compact"/>
      </w:pPr>
      <w:r>
        <w:t xml:space="preserve">Internet banking das empresas: [perfil de consulta / preparação de pagamentos, sem liberação, ou conforme alçada];</w:t>
      </w:r>
    </w:p>
    <w:p>
      <w:pPr>
        <w:numPr>
          <w:ilvl w:val="0"/>
          <w:numId w:val="1002"/>
        </w:numPr>
        <w:pStyle w:val="Compact"/>
      </w:pPr>
      <w:r>
        <w:t xml:space="preserve">Sistema financeiro/ERP: [nome];</w:t>
      </w:r>
    </w:p>
    <w:p>
      <w:pPr>
        <w:numPr>
          <w:ilvl w:val="0"/>
          <w:numId w:val="1002"/>
        </w:numPr>
        <w:pStyle w:val="Compact"/>
      </w:pPr>
      <w:r>
        <w:t xml:space="preserve">Plataformas de pagamento e recebimento: [nomes];</w:t>
      </w:r>
    </w:p>
    <w:p>
      <w:pPr>
        <w:numPr>
          <w:ilvl w:val="0"/>
          <w:numId w:val="1002"/>
        </w:numPr>
        <w:pStyle w:val="Compact"/>
      </w:pPr>
      <w:r>
        <w:t xml:space="preserve">Emissor de notas fiscais: [nome/prefeitura];</w:t>
      </w:r>
    </w:p>
    <w:p>
      <w:pPr>
        <w:numPr>
          <w:ilvl w:val="0"/>
          <w:numId w:val="1002"/>
        </w:numPr>
        <w:pStyle w:val="Compact"/>
      </w:pPr>
      <w:r>
        <w:t xml:space="preserve">Drive compartilhado e planilhas de controle: [Google Drive / outro];</w:t>
      </w:r>
    </w:p>
    <w:p>
      <w:pPr>
        <w:numPr>
          <w:ilvl w:val="0"/>
          <w:numId w:val="1002"/>
        </w:numPr>
        <w:pStyle w:val="Compact"/>
      </w:pPr>
      <w:r>
        <w:t xml:space="preserve">Canal oficial de comunicação: [WhatsApp corporativo / e-mail / outro].</w:t>
      </w:r>
    </w:p>
    <w:p>
      <w:pPr>
        <w:pStyle w:val="FirstParagraph"/>
      </w:pPr>
      <w:r>
        <w:t xml:space="preserve">Os acessos são pessoais e intransferíveis e serão revogados no encerramento do contrato (Cláusulas 3.3 e 13.6).</w:t>
      </w:r>
    </w:p>
    <w:bookmarkEnd w:id="33"/>
    <w:bookmarkStart w:id="34" w:name="indicadores-de-desempenho-e-ote"/>
    <w:p>
      <w:pPr>
        <w:pStyle w:val="Heading2"/>
      </w:pPr>
      <w:r>
        <w:t xml:space="preserve">8. Indicadores de desempenho e OTE</w:t>
      </w:r>
    </w:p>
    <w:p>
      <w:pPr>
        <w:pStyle w:val="FirstParagraph"/>
      </w:pPr>
      <w:r>
        <w:t xml:space="preserve">Sugestão para a contraprestação variável da Cláusula 8.1(b). As metas valem por mês e são apuradas até o [5º] dia útil do mês seguinte, com base em dados objetivos.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602"/>
        <w:gridCol w:w="1893"/>
        <w:gridCol w:w="1893"/>
        <w:gridCol w:w="14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 (50%) e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Pagamentos sem multa ou juros por atraso imputável à prestadora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dos pagamentos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ocorrência = 50%; 2 ou mais =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Extratos e comprovantes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Conciliação bancária em 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Contas conciliadas até D+2 em 100% dos dias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 dos dias = 50%; abaixo =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Sistema/planilha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Pacote contábil no prazo e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o [5º] dia útil, sem pendência relevante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o [7º] dia útil = 50%; depois =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Confirmação da contabilidade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Inadimplência acima de 30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[X]% da 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[X+3]% = 50%; acima =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de recebíveis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Relatórios gerenciais no 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no 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atraso = 50%; 2 ou mais =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envio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Exemplo de cálculo</w:t>
      </w:r>
      <w:r>
        <w:t xml:space="preserve"> </w:t>
      </w:r>
      <w:r>
        <w:t xml:space="preserve">(OTE de R$ [valor]): indicadores 1, 2, 3 e 5 em 100% e o indicador 4 em 50% → 25 + 20 + 20 + 10 + 15 =</w:t>
      </w:r>
      <w:r>
        <w:t xml:space="preserve"> </w:t>
      </w:r>
      <w:r>
        <w:rPr>
          <w:bCs/>
          <w:b/>
        </w:rPr>
        <w:t xml:space="preserve">90%</w:t>
      </w:r>
      <w:r>
        <w:t xml:space="preserve"> </w:t>
      </w:r>
      <w:r>
        <w:t xml:space="preserve">→ paga-se 90% da OTE.</w:t>
      </w:r>
    </w:p>
    <w:p>
      <w:pPr>
        <w:pStyle w:val="BodyText"/>
      </w:pPr>
      <w:r>
        <w:rPr>
          <w:bCs/>
          <w:b/>
        </w:rPr>
        <w:t xml:space="preserve">Regras gerais:</w:t>
      </w:r>
    </w:p>
    <w:p>
      <w:pPr>
        <w:numPr>
          <w:ilvl w:val="0"/>
          <w:numId w:val="1003"/>
        </w:numPr>
        <w:pStyle w:val="Compact"/>
      </w:pPr>
      <w:r>
        <w:t xml:space="preserve">Só conta como atraso da prestadora aquele em que ela recebeu o documento e a aprovação a tempo;</w:t>
      </w:r>
    </w:p>
    <w:p>
      <w:pPr>
        <w:numPr>
          <w:ilvl w:val="0"/>
          <w:numId w:val="1003"/>
        </w:numPr>
        <w:pStyle w:val="Compact"/>
      </w:pPr>
      <w:r>
        <w:t xml:space="preserve">Atraso causado por falta de aprovação, saldo ou informação da CONTRATANTE não reduz a OTE;</w:t>
      </w:r>
    </w:p>
    <w:p>
      <w:pPr>
        <w:numPr>
          <w:ilvl w:val="0"/>
          <w:numId w:val="1003"/>
        </w:numPr>
        <w:pStyle w:val="Compact"/>
      </w:pPr>
      <w:r>
        <w:t xml:space="preserve">As metas podem ser revisadas por escrito, com efeito a partir do mês seguinte;</w:t>
      </w:r>
    </w:p>
    <w:p>
      <w:pPr>
        <w:numPr>
          <w:ilvl w:val="0"/>
          <w:numId w:val="1003"/>
        </w:numPr>
        <w:pStyle w:val="Compact"/>
      </w:pPr>
      <w:r>
        <w:t xml:space="preserve">A OTE é variável e eventual, não se incorpora ao valor fixo e não é garantida (Cláusula 8.1(c));</w:t>
      </w:r>
    </w:p>
    <w:p>
      <w:pPr>
        <w:numPr>
          <w:ilvl w:val="0"/>
          <w:numId w:val="1003"/>
        </w:numPr>
        <w:pStyle w:val="Compact"/>
      </w:pPr>
      <w:r>
        <w:t xml:space="preserve">Fraude, pagamento sem autorização ou quebra de sigilo zeram a OTE do mês, sem prejuízo das demais medidas contratuais.</w:t>
      </w:r>
    </w:p>
    <w:bookmarkEnd w:id="34"/>
    <w:bookmarkStart w:id="35" w:name="fora-do-escopo"/>
    <w:p>
      <w:pPr>
        <w:pStyle w:val="Heading2"/>
      </w:pPr>
      <w:r>
        <w:t xml:space="preserve">9. Fora do escopo</w:t>
      </w:r>
    </w:p>
    <w:p>
      <w:pPr>
        <w:pStyle w:val="FirstParagraph"/>
      </w:pPr>
      <w:r>
        <w:t xml:space="preserve">Salvo ajuste escrito,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fazem parte deste escopo:</w:t>
      </w:r>
    </w:p>
    <w:p>
      <w:pPr>
        <w:numPr>
          <w:ilvl w:val="0"/>
          <w:numId w:val="1004"/>
        </w:numPr>
        <w:pStyle w:val="Compact"/>
      </w:pPr>
      <w:r>
        <w:t xml:space="preserve">Contabilidade formal, escrituração, apuração de tributos e obrigações acessórias, que ficam com o escritório contábil;</w:t>
      </w:r>
    </w:p>
    <w:p>
      <w:pPr>
        <w:numPr>
          <w:ilvl w:val="0"/>
          <w:numId w:val="1004"/>
        </w:numPr>
        <w:pStyle w:val="Compact"/>
      </w:pPr>
      <w:r>
        <w:t xml:space="preserve">Departamento pessoal (cálculo de folha, admissões e rescisões CLT);</w:t>
      </w:r>
    </w:p>
    <w:p>
      <w:pPr>
        <w:numPr>
          <w:ilvl w:val="0"/>
          <w:numId w:val="1004"/>
        </w:numPr>
        <w:pStyle w:val="Compact"/>
      </w:pPr>
      <w:r>
        <w:t xml:space="preserve">Planejamento tributário, planejamento financeiro estratégico, captação de crédito e investimentos;</w:t>
      </w:r>
    </w:p>
    <w:p>
      <w:pPr>
        <w:numPr>
          <w:ilvl w:val="0"/>
          <w:numId w:val="1004"/>
        </w:numPr>
        <w:pStyle w:val="Compact"/>
      </w:pPr>
      <w:r>
        <w:t xml:space="preserve">Representação da empresa perante bancos, órgãos públicos ou terceiros sem procuração;</w:t>
      </w:r>
    </w:p>
    <w:p>
      <w:pPr>
        <w:numPr>
          <w:ilvl w:val="0"/>
          <w:numId w:val="1004"/>
        </w:numPr>
        <w:pStyle w:val="Compact"/>
      </w:pPr>
      <w:r>
        <w:t xml:space="preserve">Gestão de pessoas ou coordenação de equipe;</w:t>
      </w:r>
    </w:p>
    <w:p>
      <w:pPr>
        <w:numPr>
          <w:ilvl w:val="0"/>
          <w:numId w:val="1004"/>
        </w:numPr>
        <w:pStyle w:val="Compact"/>
      </w:pPr>
      <w:r>
        <w:t xml:space="preserve">Atividades comerciais, de marketing ou de atendimento a clientes, exceto a cobrança.</w:t>
      </w:r>
    </w:p>
    <w:bookmarkEnd w:id="35"/>
    <w:bookmarkStart w:id="36" w:name="plano-de-entrada-primeiros-90-dias"/>
    <w:p>
      <w:pPr>
        <w:pStyle w:val="Heading2"/>
      </w:pPr>
      <w:r>
        <w:t xml:space="preserve">10. Plano de entrada (primeiros 90 dias)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Dias 1–30: diagnóstico e controle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Mapear a situação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contas bancárias, plataformas e acessos por empresa; levantamento de contas a pagar e receber em aberto; inventário de contratos, assinaturas e vencimentos; conciliação dos últimos 30 dias; estrutura padrão de pastas criada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Dias 31–60: rotina implantada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Fazer a rotina rodar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Calendário do item 4 funcionando; régua de cobrança ativa; fluxo projetado de 30/60/90 dias; primeiro fechamento entregue à contabilidade no prazo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Dias 61–90: estabilidade e melhoria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Medir e melhorar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Indicadores do item 8 apurados pela primeira vez; relatório de despesas por empresa e centro de custo; proposta de melhorias (cortes de assinaturas, política de compras, alçadas)</w:t>
            </w:r>
          </w:p>
        </w:tc>
      </w:tr>
    </w:tbl>
    <w:p>
      <w:pPr>
        <w:pStyle w:val="BlockText"/>
      </w:pPr>
      <w:r>
        <w:t xml:space="preserve">Sugestão: nos primeiros 90 dias, apurar os indicadores apenas para acompanhamento e passar a pagar a OTE a partir do 4º mês, com a operação já mapeada.</w:t>
      </w:r>
    </w:p>
    <w:bookmarkEnd w:id="36"/>
    <w:bookmarkStart w:id="37" w:name="perfil-recomendado"/>
    <w:p>
      <w:pPr>
        <w:pStyle w:val="Heading2"/>
      </w:pPr>
      <w:r>
        <w:t xml:space="preserve">11. Perfil recomendado</w:t>
      </w:r>
    </w:p>
    <w:p>
      <w:pPr>
        <w:pStyle w:val="FirstParagraph"/>
      </w:pPr>
      <w:r>
        <w:rPr>
          <w:bCs/>
          <w:b/>
        </w:rPr>
        <w:t xml:space="preserve">Conhecimentos técnicos:</w:t>
      </w:r>
      <w:r>
        <w:t xml:space="preserve"> </w:t>
      </w:r>
      <w:r>
        <w:t xml:space="preserve">rotina de contas a pagar e receber, conciliação bancária, noções de fluxo de caixa e DRE, emissão de NFS-e, Excel/Google Sheets intermediário (PROCV/XLOOKUP, tabela dinâmica, filtros) e familiaridade com ERP e bancos digitais.</w:t>
      </w:r>
    </w:p>
    <w:p>
      <w:pPr>
        <w:pStyle w:val="BodyText"/>
      </w:pPr>
      <w:r>
        <w:rPr>
          <w:bCs/>
          <w:b/>
        </w:rPr>
        <w:t xml:space="preserve">Comportamento:</w:t>
      </w:r>
      <w:r>
        <w:t xml:space="preserve"> </w:t>
      </w:r>
      <w:r>
        <w:t xml:space="preserve">organização, atenção a detalhes, confiabilidade com dados sigilosos, comunicação proativa de riscos e firmeza cordial na cobrança.</w:t>
      </w:r>
    </w:p>
    <w:p>
      <w:pPr>
        <w:pStyle w:val="BodyText"/>
      </w:pPr>
      <w:r>
        <w:rPr>
          <w:bCs/>
          <w:b/>
        </w:rPr>
        <w:t xml:space="preserve">Perfil DISC ideal:</w:t>
      </w:r>
      <w:r>
        <w:t xml:space="preserve"> </w:t>
      </w:r>
      <w:r>
        <w:rPr>
          <w:bCs/>
          <w:b/>
        </w:rPr>
        <w:t xml:space="preserve">C/S</w:t>
      </w:r>
      <w:r>
        <w:t xml:space="preserve"> </w:t>
      </w:r>
      <w:r>
        <w:t xml:space="preserve">(conformidade e estabilidade), com bom senso de prioridade. Pontos de atenção: perfis muito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podem demorar a escalar problemas, e perfis muito</w:t>
      </w:r>
      <w:r>
        <w:t xml:space="preserve"> </w:t>
      </w:r>
      <w:r>
        <w:rPr>
          <w:bCs/>
          <w:b/>
        </w:rPr>
        <w:t xml:space="preserve">I/D</w:t>
      </w:r>
      <w:r>
        <w:t xml:space="preserve"> </w:t>
      </w:r>
      <w:r>
        <w:t xml:space="preserve">tendem a pular etapas de conferência.</w:t>
      </w:r>
    </w:p>
    <w:bookmarkEnd w:id="37"/>
    <w:bookmarkStart w:id="38" w:name="aprovação"/>
    <w:p>
      <w:pPr>
        <w:pStyle w:val="Heading2"/>
      </w:pPr>
      <w:r>
        <w:t xml:space="preserve">12. Aprovação</w:t>
      </w:r>
    </w:p>
    <w:p>
      <w:pPr>
        <w:pStyle w:val="FirstParagraph"/>
      </w:pPr>
      <w:r>
        <w:t xml:space="preserve">Este escopo integra o contrato de prestação de serviços como Anexo I e pode ser atualizado por escrito entre as partes (Cláusula 10.2).</w:t>
      </w:r>
    </w:p>
    <w:p>
      <w:pPr>
        <w:pStyle w:val="BodyText"/>
      </w:pPr>
      <w:r>
        <w:t xml:space="preserve">Local e data: [cidade-UF], [dia] de [mês] de [ano].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rPr>
          <w:bCs/>
          <w:b/>
        </w:rPr>
        <w:t xml:space="preserve">CONTRATANTE</w:t>
      </w:r>
      <w:r>
        <w:t xml:space="preserve"> </w:t>
      </w:r>
      <w:r>
        <w:t xml:space="preserve">– G. SCHUMANN TREINAMENTOS LTDA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rPr>
          <w:bCs/>
          <w:b/>
        </w:rPr>
        <w:t xml:space="preserve">CONTRATADA</w:t>
      </w:r>
      <w:r>
        <w:t xml:space="preserve"> </w:t>
      </w:r>
      <w:r>
        <w:t xml:space="preserve">– [RAZÃO SOCIAL DA CONTRATADA]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ESCOPO DE SERVIÇOS – ADMINISTRATIVO FINANCEIRO</dc:title>
  <dc:creator/>
  <dc:language>pt-BR</dc:language>
  <cp:keywords/>
  <dcterms:created xsi:type="dcterms:W3CDTF">2026-10-07T19:56:00Z</dcterms:created>
  <dcterms:modified xsi:type="dcterms:W3CDTF">2026-10-07T19:56:00Z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GS GROUP · Anexo I ao Contrato de Prestação de Serviços Profissionais</vt:lpwstr>
  </property>
</Properties>
</file>