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0"/>
        </w:rPr>
        <w:t>EOS S06B VIP Intelligence and Protocol Command</w:t>
      </w:r>
    </w:p>
    <w:p>
      <w:r>
        <w:rPr>
          <w:rFonts w:ascii="Arial" w:hAnsi="Arial"/>
          <w:b w:val="0"/>
          <w:color w:val="666666"/>
          <w:sz w:val="26"/>
        </w:rPr>
        <w:t>Ratification and execution authority framework</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4997"/>
        <w:gridCol w:w="4997"/>
      </w:tblGrid>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Control code</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EOS-S06B-00</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Status</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CEO RATIFICATION DRAFT</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Programme position</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After EOS S06A and before EOS S07</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Production effect</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None until separately authorised</w:t>
            </w:r>
          </w:p>
        </w:tc>
      </w:tr>
    </w:tbl>
    <w:p/>
    <w:p>
      <w:pPr>
        <w:pStyle w:val="Heading1"/>
      </w:pPr>
      <w:r>
        <w:t>Decision requested</w:t>
      </w:r>
    </w:p>
    <w:p>
      <w:r>
        <w:rPr>
          <w:rFonts w:ascii="Arial" w:hAnsi="Arial"/>
          <w:b w:val="0"/>
          <w:color w:val="000000"/>
          <w:sz w:val="21"/>
        </w:rPr>
        <w:t>The CEO is asked to ratify EOS-S06B as a non-catalogue additive Event OS command positioned after accepted EOS-S06A and before EOS-S07. Ratification approves the canonical corpus and proposed execution sequence only. It does not start implementation until the CEO separately releases the execution prompt.</w:t>
      </w:r>
    </w:p>
    <w:p>
      <w:pPr>
        <w:pStyle w:val="Heading1"/>
      </w:pPr>
      <w:r>
        <w:t>Product decision</w:t>
      </w:r>
    </w:p>
    <w:p>
      <w:r>
        <w:rPr>
          <w:rFonts w:ascii="Arial" w:hAnsi="Arial"/>
          <w:b w:val="0"/>
          <w:color w:val="000000"/>
          <w:sz w:val="21"/>
        </w:rPr>
        <w:t>EOS-S06B converts a generic VIP flag into governed, multi-dimensional intelligence that identifies why a guest is operationally significant, what must be confirmed, what individual care may be required, and what event-wide pressure or conflict the combined VIP cohort creates.</w:t>
      </w:r>
    </w:p>
    <w:p>
      <w:pPr>
        <w:pStyle w:val="Heading1"/>
      </w:pPr>
      <w:r>
        <w:t>Standalone Accessibility Intelligence group</w:t>
      </w:r>
    </w:p>
    <w:p>
      <w:r>
        <w:rPr>
          <w:rFonts w:ascii="Arial" w:hAnsi="Arial"/>
          <w:b w:val="0"/>
          <w:color w:val="000000"/>
          <w:sz w:val="21"/>
        </w:rPr>
        <w:t>Accessibility is a first-class special group with its own intake, consent, minimum-necessary disclosure, companion and carer logic, venue and transport checks, seating implications, service-level monitoring, unresolved-needs escalation and acceptance gates. It is not treated as a VIP category, medical label or courtesy preference. Any guest may require accessibility support regardless of VIP status.</w:t>
      </w:r>
    </w:p>
    <w:p>
      <w:pPr>
        <w:pStyle w:val="Heading1"/>
      </w:pPr>
      <w:r>
        <w:t>Ratification decisions</w:t>
      </w:r>
    </w:p>
    <w:tbl>
      <w:tblPr>
        <w:tblStyle w:val="TableGrid"/>
        <w:tblW w:type="auto" w:w="0"/>
        <w:jc w:val="center"/>
        <w:tblLook w:firstColumn="1" w:firstRow="1" w:lastColumn="0" w:lastRow="0" w:noHBand="0" w:noVBand="1" w:val="04A0"/>
      </w:tblPr>
      <w:tblGrid>
        <w:gridCol w:w="4997"/>
        <w:gridCol w:w="4997"/>
      </w:tblGrid>
      <w:tr>
        <w:tc>
          <w:tcPr>
            <w:tcW w:type="dxa" w:w="3024"/>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Decision</w:t>
            </w:r>
          </w:p>
        </w:tc>
        <w:tc>
          <w:tcPr>
            <w:tcW w:type="dxa" w:w="676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Proposed value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Programme ID</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EOS-S06B</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Title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VIP Intelligence and Protocol Command</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Position</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After EOS-S06A; before EOS-S07</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Catalogue status</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Non-catalogue additive command</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Primary experience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VIP Command with individual briefs and event-wide command view</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Accessibility</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Standalone special group connected to every guest, not limited to VIPs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Implementation posture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Full product, synthetic data, providers inactive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Production posture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productionAuthorised remains false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Acceptance authority</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ChatGPT AI CTO after independent Claude verification</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Next numbered slice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EOS-S07 remains not authorised until S06B acceptance and debt closure</w:t>
            </w:r>
          </w:p>
        </w:tc>
      </w:tr>
    </w:tbl>
    <w:p/>
    <w:p>
      <w:pPr>
        <w:pStyle w:val="Heading1"/>
      </w:pPr>
      <w:r>
        <w:t>Scope included</w:t>
      </w:r>
    </w:p>
    <w:p>
      <w:pPr>
        <w:pStyle w:val="ListBullet"/>
      </w:pPr>
      <w:r>
        <w:rPr>
          <w:rFonts w:ascii="Arial" w:hAnsi="Arial"/>
          <w:b w:val="0"/>
          <w:color w:val="000000"/>
          <w:sz w:val="21"/>
        </w:rPr>
        <w:t>Multi-select VIP significance classification and event applicability</w:t>
      </w:r>
    </w:p>
    <w:p>
      <w:pPr>
        <w:pStyle w:val="ListBullet"/>
      </w:pPr>
      <w:r>
        <w:rPr>
          <w:rFonts w:ascii="Arial" w:hAnsi="Arial"/>
          <w:b w:val="0"/>
          <w:color w:val="000000"/>
          <w:sz w:val="21"/>
        </w:rPr>
        <w:t>Evidence-backed needs discovery and confirmation</w:t>
      </w:r>
    </w:p>
    <w:p>
      <w:pPr>
        <w:pStyle w:val="ListBullet"/>
      </w:pPr>
      <w:r>
        <w:rPr>
          <w:rFonts w:ascii="Arial" w:hAnsi="Arial"/>
          <w:b w:val="0"/>
          <w:color w:val="000000"/>
          <w:sz w:val="21"/>
        </w:rPr>
        <w:t>Individual VIP operational brief</w:t>
      </w:r>
    </w:p>
    <w:p>
      <w:pPr>
        <w:pStyle w:val="ListBullet"/>
      </w:pPr>
      <w:r>
        <w:rPr>
          <w:rFonts w:ascii="Arial" w:hAnsi="Arial"/>
          <w:b w:val="0"/>
          <w:color w:val="000000"/>
          <w:sz w:val="21"/>
        </w:rPr>
        <w:t>Event-wide VIP impact and conflict intelligence</w:t>
      </w:r>
    </w:p>
    <w:p>
      <w:pPr>
        <w:pStyle w:val="ListBullet"/>
      </w:pPr>
      <w:r>
        <w:rPr>
          <w:rFonts w:ascii="Arial" w:hAnsi="Arial"/>
          <w:b w:val="0"/>
          <w:color w:val="000000"/>
          <w:sz w:val="21"/>
        </w:rPr>
        <w:t>Protocol, precedence, entourage, arrival, recognition and hospitality orchestration</w:t>
      </w:r>
    </w:p>
    <w:p>
      <w:pPr>
        <w:pStyle w:val="ListBullet"/>
      </w:pPr>
      <w:r>
        <w:rPr>
          <w:rFonts w:ascii="Arial" w:hAnsi="Arial"/>
          <w:b w:val="0"/>
          <w:color w:val="000000"/>
          <w:sz w:val="21"/>
        </w:rPr>
        <w:t>Standalone Accessibility Intelligence special group for all guests</w:t>
      </w:r>
    </w:p>
    <w:p>
      <w:pPr>
        <w:pStyle w:val="ListBullet"/>
      </w:pPr>
      <w:r>
        <w:rPr>
          <w:rFonts w:ascii="Arial" w:hAnsi="Arial"/>
          <w:b w:val="0"/>
          <w:color w:val="000000"/>
          <w:sz w:val="21"/>
        </w:rPr>
        <w:t>Cultural and religious consideration handoffs without inference</w:t>
      </w:r>
    </w:p>
    <w:p>
      <w:pPr>
        <w:pStyle w:val="ListBullet"/>
      </w:pPr>
      <w:r>
        <w:rPr>
          <w:rFonts w:ascii="Arial" w:hAnsi="Arial"/>
          <w:b w:val="0"/>
          <w:color w:val="000000"/>
          <w:sz w:val="21"/>
        </w:rPr>
        <w:t>Security and privacy liaison without risk profiling by stereotype</w:t>
      </w:r>
    </w:p>
    <w:p>
      <w:pPr>
        <w:pStyle w:val="ListBullet"/>
      </w:pPr>
      <w:r>
        <w:rPr>
          <w:rFonts w:ascii="Arial" w:hAnsi="Arial"/>
          <w:b w:val="0"/>
          <w:color w:val="000000"/>
          <w:sz w:val="21"/>
        </w:rPr>
        <w:t>Tasks, owners, deadlines, dependencies and escalations</w:t>
      </w:r>
    </w:p>
    <w:p>
      <w:pPr>
        <w:pStyle w:val="ListBullet"/>
      </w:pPr>
      <w:r>
        <w:rPr>
          <w:rFonts w:ascii="Arial" w:hAnsi="Arial"/>
          <w:b w:val="0"/>
          <w:color w:val="000000"/>
          <w:sz w:val="21"/>
        </w:rPr>
        <w:t>Maker-checker decisions, durable audit and versioned outputs</w:t>
      </w:r>
    </w:p>
    <w:p>
      <w:pPr>
        <w:pStyle w:val="ListBullet"/>
      </w:pPr>
      <w:r>
        <w:rPr>
          <w:rFonts w:ascii="Arial" w:hAnsi="Arial"/>
          <w:b w:val="0"/>
          <w:color w:val="000000"/>
          <w:sz w:val="21"/>
        </w:rPr>
        <w:t>Atelier Command intelligence and governed execution integration</w:t>
      </w:r>
    </w:p>
    <w:p>
      <w:pPr>
        <w:pStyle w:val="ListBullet"/>
      </w:pPr>
      <w:r>
        <w:rPr>
          <w:rFonts w:ascii="Arial" w:hAnsi="Arial"/>
          <w:b w:val="0"/>
          <w:color w:val="000000"/>
          <w:sz w:val="21"/>
        </w:rPr>
        <w:t>Seating, Communications, Credentials and Event-Day handoff contracts</w:t>
      </w:r>
    </w:p>
    <w:p>
      <w:pPr>
        <w:pStyle w:val="ListBullet"/>
      </w:pPr>
      <w:r>
        <w:rPr>
          <w:rFonts w:ascii="Arial" w:hAnsi="Arial"/>
          <w:b w:val="0"/>
          <w:color w:val="000000"/>
          <w:sz w:val="21"/>
        </w:rPr>
        <w:t>Responsive, accessible, premium Command Atelier experience</w:t>
      </w:r>
    </w:p>
    <w:p>
      <w:pPr>
        <w:pStyle w:val="ListBullet"/>
      </w:pPr>
      <w:r>
        <w:rPr>
          <w:rFonts w:ascii="Arial" w:hAnsi="Arial"/>
          <w:b w:val="0"/>
          <w:color w:val="000000"/>
          <w:sz w:val="21"/>
        </w:rPr>
        <w:t>Executable evaluation corpus and independent browser verification</w:t>
      </w:r>
    </w:p>
    <w:p>
      <w:pPr>
        <w:pStyle w:val="Heading1"/>
      </w:pPr>
      <w:r>
        <w:t>Explicit exclusions</w:t>
      </w:r>
    </w:p>
    <w:p>
      <w:pPr>
        <w:pStyle w:val="ListBullet"/>
      </w:pPr>
      <w:r>
        <w:rPr>
          <w:rFonts w:ascii="Arial" w:hAnsi="Arial"/>
          <w:b w:val="0"/>
          <w:color w:val="000000"/>
          <w:sz w:val="21"/>
        </w:rPr>
        <w:t>No social-worth score or universal VIP rank</w:t>
      </w:r>
    </w:p>
    <w:p>
      <w:pPr>
        <w:pStyle w:val="ListBullet"/>
      </w:pPr>
      <w:r>
        <w:rPr>
          <w:rFonts w:ascii="Arial" w:hAnsi="Arial"/>
          <w:b w:val="0"/>
          <w:color w:val="000000"/>
          <w:sz w:val="21"/>
        </w:rPr>
        <w:t>No inference of protected or sensitive characteristics</w:t>
      </w:r>
    </w:p>
    <w:p>
      <w:pPr>
        <w:pStyle w:val="ListBullet"/>
      </w:pPr>
      <w:r>
        <w:rPr>
          <w:rFonts w:ascii="Arial" w:hAnsi="Arial"/>
          <w:b w:val="0"/>
          <w:color w:val="000000"/>
          <w:sz w:val="21"/>
        </w:rPr>
        <w:t>No automated admission, credential, seating, security or public-recognition decision</w:t>
      </w:r>
    </w:p>
    <w:p>
      <w:pPr>
        <w:pStyle w:val="ListBullet"/>
      </w:pPr>
      <w:r>
        <w:rPr>
          <w:rFonts w:ascii="Arial" w:hAnsi="Arial"/>
          <w:b w:val="0"/>
          <w:color w:val="000000"/>
          <w:sz w:val="21"/>
        </w:rPr>
        <w:t>No biometric or FaceGate work</w:t>
      </w:r>
    </w:p>
    <w:p>
      <w:pPr>
        <w:pStyle w:val="ListBullet"/>
      </w:pPr>
      <w:r>
        <w:rPr>
          <w:rFonts w:ascii="Arial" w:hAnsi="Arial"/>
          <w:b w:val="0"/>
          <w:color w:val="000000"/>
          <w:sz w:val="21"/>
        </w:rPr>
        <w:t>No real provider activation or real communication</w:t>
      </w:r>
    </w:p>
    <w:p>
      <w:pPr>
        <w:pStyle w:val="ListBullet"/>
      </w:pPr>
      <w:r>
        <w:rPr>
          <w:rFonts w:ascii="Arial" w:hAnsi="Arial"/>
          <w:b w:val="0"/>
          <w:color w:val="000000"/>
          <w:sz w:val="21"/>
        </w:rPr>
        <w:t>No real guest or client data</w:t>
      </w:r>
    </w:p>
    <w:p>
      <w:pPr>
        <w:pStyle w:val="ListBullet"/>
      </w:pPr>
      <w:r>
        <w:rPr>
          <w:rFonts w:ascii="Arial" w:hAnsi="Arial"/>
          <w:b w:val="0"/>
          <w:color w:val="000000"/>
          <w:sz w:val="21"/>
        </w:rPr>
        <w:t>No EOS-S07 credential implementation</w:t>
      </w:r>
    </w:p>
    <w:p>
      <w:pPr>
        <w:pStyle w:val="ListBullet"/>
      </w:pPr>
      <w:r>
        <w:rPr>
          <w:rFonts w:ascii="Arial" w:hAnsi="Arial"/>
          <w:b w:val="0"/>
          <w:color w:val="000000"/>
          <w:sz w:val="21"/>
        </w:rPr>
        <w:t>No Event-Day admission or attendance write</w:t>
      </w:r>
    </w:p>
    <w:p>
      <w:pPr>
        <w:pStyle w:val="ListBullet"/>
      </w:pPr>
      <w:r>
        <w:rPr>
          <w:rFonts w:ascii="Arial" w:hAnsi="Arial"/>
          <w:b w:val="0"/>
          <w:color w:val="000000"/>
          <w:sz w:val="21"/>
        </w:rPr>
        <w:t>No Control Tower deployment</w:t>
      </w:r>
    </w:p>
    <w:p>
      <w:pPr>
        <w:pStyle w:val="ListBullet"/>
      </w:pPr>
      <w:r>
        <w:rPr>
          <w:rFonts w:ascii="Arial" w:hAnsi="Arial"/>
          <w:b w:val="0"/>
          <w:color w:val="000000"/>
          <w:sz w:val="21"/>
        </w:rPr>
        <w:t>No production authorisation</w:t>
      </w:r>
    </w:p>
    <w:p>
      <w:pPr>
        <w:pStyle w:val="Heading1"/>
      </w:pPr>
      <w:r>
        <w:t>Authority and precedence</w:t>
      </w:r>
    </w:p>
    <w:p>
      <w:r>
        <w:rPr>
          <w:rFonts w:ascii="Arial" w:hAnsi="Arial"/>
          <w:b w:val="0"/>
          <w:color w:val="000000"/>
          <w:sz w:val="21"/>
        </w:rPr>
        <w:t>If ratified, documents 00 through 06 form one canonical corpus. Document 00 governs programme position and authority. Document 01 governs product behaviour. Document 02 governs data, intelligence and safeguards. Document 03 governs user experience and operations. Document 04 governs assurance and acceptance. Document 05 governs traceability and definitions. Document 06 contains executable Cursor prompts and cannot be run until separately authorised.</w:t>
      </w:r>
    </w:p>
    <w:p>
      <w:pPr>
        <w:pStyle w:val="Heading1"/>
      </w:pPr>
      <w:r>
        <w:t>CEO ratification record</w:t>
      </w:r>
    </w:p>
    <w:tbl>
      <w:tblPr>
        <w:tblStyle w:val="TableGrid"/>
        <w:tblW w:type="auto" w:w="0"/>
        <w:jc w:val="center"/>
        <w:tblLook w:firstColumn="1" w:firstRow="1" w:lastColumn="0" w:lastRow="0" w:noHBand="0" w:noVBand="1" w:val="04A0"/>
      </w:tblPr>
      <w:tblGrid>
        <w:gridCol w:w="4997"/>
        <w:gridCol w:w="4997"/>
      </w:tblGrid>
      <w:tr>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Field</w:t>
            </w:r>
          </w:p>
        </w:tc>
        <w:tc>
          <w:tcPr>
            <w:tcW w:type="dxa" w:w="691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CEO entry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Decision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RATIFY / RETURN FOR REVISION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Execution authority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NOT GRANTED BY RATIFICATION unless expressly stated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Conditions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r>
          </w:p>
        </w:tc>
      </w:tr>
    </w:tbl>
    <w:p/>
    <w:p>
      <w:r>
        <w:rPr>
          <w:rFonts w:ascii="Arial" w:hAnsi="Arial"/>
          <w:b w:val="0"/>
          <w:color w:val="000000"/>
          <w:sz w:val="21"/>
        </w:rPr>
        <w:t>Ratification record: date, CEO name and written confirmation.</w:t>
      </w:r>
    </w:p>
    <w:sectPr w:rsidR="00FC693F" w:rsidRPr="0006063C" w:rsidSect="00034616">
      <w:footerReference w:type="default" r:id="rId9"/>
      <w:pgSz w:w="12240" w:h="15840"/>
      <w:pgMar w:top="792" w:right="1123"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EOS-S06B-00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6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