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color w:val="000000"/>
          <w:sz w:val="50"/>
        </w:rPr>
        <w:t>EOS S06B VIP Intelligence and Protocol Command</w:t>
      </w:r>
    </w:p>
    <w:p>
      <w:r>
        <w:rPr>
          <w:rFonts w:ascii="Arial" w:hAnsi="Arial"/>
          <w:b w:val="0"/>
          <w:color w:val="666666"/>
          <w:sz w:val="26"/>
        </w:rPr>
        <w:t>Canonical product specification and operating doctrine</w:t>
      </w:r>
    </w:p>
    <w:p>
      <w:r>
        <w:rPr>
          <w:rFonts w:ascii="Arial" w:hAnsi="Arial"/>
          <w:b/>
          <w:color w:val="8B6E38"/>
          <w:sz w:val="20"/>
        </w:rPr>
        <w:t>Maison Doclar Event OS</w:t>
      </w:r>
    </w:p>
    <w:tbl>
      <w:tblPr>
        <w:tblW w:type="auto" w:w="0"/>
        <w:jc w:val="left"/>
        <w:tblLook w:firstColumn="1" w:firstRow="1" w:lastColumn="0" w:lastRow="0" w:noHBand="0" w:noVBand="1" w:val="04A0"/>
      </w:tblPr>
      <w:tblGrid>
        <w:gridCol w:w="4997"/>
        <w:gridCol w:w="4997"/>
      </w:tblGrid>
      <w:tr>
        <w:tc>
          <w:tcPr>
            <w:tcW w:type="dxa" w:w="4997"/>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8"/>
              </w:rPr>
              <w:t>Control code</w:t>
            </w:r>
          </w:p>
        </w:tc>
        <w:tc>
          <w:tcPr>
            <w:tcW w:type="dxa" w:w="4997"/>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8"/>
              </w:rPr>
              <w:t>EOS-S06B-01</w:t>
            </w:r>
          </w:p>
        </w:tc>
      </w:tr>
      <w:tr>
        <w:tc>
          <w:tcPr>
            <w:tcW w:type="dxa" w:w="4997"/>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8"/>
              </w:rPr>
              <w:t>Status</w:t>
            </w:r>
          </w:p>
        </w:tc>
        <w:tc>
          <w:tcPr>
            <w:tcW w:type="dxa" w:w="4997"/>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8"/>
              </w:rPr>
              <w:t>CEO RATIFICATION DRAFT</w:t>
            </w:r>
          </w:p>
        </w:tc>
      </w:tr>
      <w:tr>
        <w:tc>
          <w:tcPr>
            <w:tcW w:type="dxa" w:w="4997"/>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8"/>
              </w:rPr>
              <w:t>Programme position</w:t>
            </w:r>
          </w:p>
        </w:tc>
        <w:tc>
          <w:tcPr>
            <w:tcW w:type="dxa" w:w="4997"/>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8"/>
              </w:rPr>
              <w:t>After EOS S06A and before EOS S07</w:t>
            </w:r>
          </w:p>
        </w:tc>
      </w:tr>
      <w:tr>
        <w:tc>
          <w:tcPr>
            <w:tcW w:type="dxa" w:w="4997"/>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8"/>
              </w:rPr>
              <w:t>Production effect</w:t>
            </w:r>
          </w:p>
        </w:tc>
        <w:tc>
          <w:tcPr>
            <w:tcW w:type="dxa" w:w="4997"/>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8"/>
              </w:rPr>
              <w:t>None until separately authorised</w:t>
            </w:r>
          </w:p>
        </w:tc>
      </w:tr>
    </w:tbl>
    <w:p/>
    <w:p>
      <w:pPr>
        <w:pStyle w:val="Heading1"/>
      </w:pPr>
      <w:r>
        <w:t>Purpose</w:t>
      </w:r>
    </w:p>
    <w:p>
      <w:r>
        <w:rPr>
          <w:rFonts w:ascii="Arial" w:hAnsi="Arial"/>
          <w:b w:val="0"/>
          <w:color w:val="000000"/>
          <w:sz w:val="21"/>
        </w:rPr>
        <w:t>The command minimises preventable blind spots by turning a guest significance flag into a structured cycle of classification, confirmation, intelligence, decision, action, monitoring and closure at both individual and event level.</w:t>
      </w:r>
    </w:p>
    <w:p>
      <w:pPr>
        <w:pStyle w:val="Heading1"/>
      </w:pPr>
      <w:r>
        <w:t>Core operating question</w:t>
      </w:r>
    </w:p>
    <w:p>
      <w:r>
        <w:rPr>
          <w:rFonts w:ascii="Arial" w:hAnsi="Arial"/>
          <w:b w:val="0"/>
          <w:color w:val="000000"/>
          <w:sz w:val="21"/>
        </w:rPr>
        <w:t>Because this guest has been marked as significant, what must Maison Doclar understand, confirm, decide and deliver for the individual and for the event as a whole?</w:t>
      </w:r>
    </w:p>
    <w:p>
      <w:pPr>
        <w:pStyle w:val="Heading1"/>
      </w:pPr>
      <w:r>
        <w:t>Canonical laws</w:t>
      </w:r>
    </w:p>
    <w:tbl>
      <w:tblPr>
        <w:tblStyle w:val="TableGrid"/>
        <w:tblW w:type="auto" w:w="0"/>
        <w:jc w:val="center"/>
        <w:tblLook w:firstColumn="1" w:firstRow="1" w:lastColumn="0" w:lastRow="0" w:noHBand="0" w:noVBand="1" w:val="04A0"/>
      </w:tblPr>
      <w:tblGrid>
        <w:gridCol w:w="4997"/>
        <w:gridCol w:w="4997"/>
      </w:tblGrid>
      <w:tr>
        <w:tc>
          <w:tcPr>
            <w:tcW w:type="dxa" w:w="2880"/>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Law</w:t>
            </w:r>
          </w:p>
        </w:tc>
        <w:tc>
          <w:tcPr>
            <w:tcW w:type="dxa" w:w="6912"/>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Requirement</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Multi dimensional significance</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A guest may hold multiple significance categories. No single tier may erase the operational meaning of another category.</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Event scoped truth</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VIP status, category, entitlement and required care are event-specific and derived from trusted Organisation Client Event context.</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No sensitive inference</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Religion, disability, medical condition, ethnicity, political belief, security risk, wealth or personal relationship must not be inferred from name, title, appearance, nationality or public reputation.</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Evidence and confirmation</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Every material classification or need records source, confirmer, date, confidence, applicability, review owner and status.</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Intelligence is not authority</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A flag creates questions and review obligations. It does not automatically grant access, seating, credentials, entourage, security clearance or exemption.</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Human consequential decisions</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Humans approve precedence, entitlements, security posture, protected seating, public recognition, credentialing and sensitive disclosures.</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Minimum necessary visibility</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Sensitive facts and narratives are separated from operational instructions; each role sees only what it needs to act.</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Truthful unknowns</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Unknown, unconfirmed, declined and not applicable remain distinct. The system never turns missing information into a confident answer.</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Cross intelligence orchestration</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Protocol, Culture, Religion, Accessibility, Risk, Seating, Communications, Credentials and Atelier Command remain authoritative for their domains; S06B coordinates rather than duplicates them.</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Audit and reversibility</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Material changes are reasoned, audited, versioned, maker-checker where required, concurrency-safe and recoverable.</w:t>
            </w:r>
          </w:p>
        </w:tc>
      </w:tr>
    </w:tbl>
    <w:p/>
    <w:p>
      <w:pPr>
        <w:pStyle w:val="Heading1"/>
      </w:pPr>
      <w:r>
        <w:t>Significance groups</w:t>
      </w:r>
    </w:p>
    <w:tbl>
      <w:tblPr>
        <w:tblStyle w:val="TableGrid"/>
        <w:tblW w:type="auto" w:w="0"/>
        <w:jc w:val="center"/>
        <w:tblLook w:firstColumn="1" w:firstRow="1" w:lastColumn="0" w:lastRow="0" w:noHBand="0" w:noVBand="1" w:val="04A0"/>
      </w:tblPr>
      <w:tblGrid>
        <w:gridCol w:w="4997"/>
        <w:gridCol w:w="4997"/>
      </w:tblGrid>
      <w:tr>
        <w:tc>
          <w:tcPr>
            <w:tcW w:type="dxa" w:w="2880"/>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Group</w:t>
            </w:r>
          </w:p>
        </w:tc>
        <w:tc>
          <w:tcPr>
            <w:tcW w:type="dxa" w:w="6912"/>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Meaning</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Host and relationship</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Principal, host, immediate host family, family elder, honouree, client-designated priority guest.</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Traditional and royal</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Traditional ruler, royal household, title holder, palace or customary representative.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Government and public office</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Office-holder, senior official, political principal, public institution representative; office and event role must be verified.</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Diplomatic and consular</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Ambassadorial, consular, mission or international organisation representation.</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Religious and faith leadership</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Faith leader or authorised representative; faith or practice is never inferred.</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Community and civic</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Community leader, association principal, elder or civic representative.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Corporate and professional</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Board chair, executive, institutional principal, professional leader or strategic partner.</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Sponsor patron and donor</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Sponsor representative, patron, benefactor or donor with confirmed event relationship.</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Public figure and media</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Celebrity, creator, athlete, public personality or media-sensitive guest.</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Programme participant</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Speaker, performer, award recipient, presenter, officiant or ceremonial participant.</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Security or privacy sensitive</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Confirmed enhanced protection, discreet attendance, controlled photography or restricted disclosure requirement.</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Event specific</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Any significance defined by the client for this event with recorded rationale and authority.</w:t>
            </w:r>
          </w:p>
        </w:tc>
      </w:tr>
    </w:tbl>
    <w:p/>
    <w:p>
      <w:pPr>
        <w:pStyle w:val="Heading1"/>
      </w:pPr>
      <w:r>
        <w:t>Standalone Accessibility Intelligence special group</w:t>
      </w:r>
    </w:p>
    <w:p>
      <w:r>
        <w:rPr>
          <w:rFonts w:ascii="Arial" w:hAnsi="Arial"/>
          <w:b w:val="0"/>
          <w:color w:val="000000"/>
          <w:sz w:val="21"/>
        </w:rPr>
        <w:t>Accessibility is independent of VIP significance and applies to every guest, staff member or participant. The command may surface an accessibility coordination badge alongside VIP intelligence, but must never equate disability with rank or expose diagnosis where an operational instruction is sufficient.</w:t>
      </w:r>
    </w:p>
    <w:tbl>
      <w:tblPr>
        <w:tblStyle w:val="TableGrid"/>
        <w:tblW w:type="auto" w:w="0"/>
        <w:jc w:val="center"/>
        <w:tblLook w:firstColumn="1" w:firstRow="1" w:lastColumn="0" w:lastRow="0" w:noHBand="0" w:noVBand="1" w:val="04A0"/>
      </w:tblPr>
      <w:tblGrid>
        <w:gridCol w:w="4997"/>
        <w:gridCol w:w="4997"/>
      </w:tblGrid>
      <w:tr>
        <w:tc>
          <w:tcPr>
            <w:tcW w:type="dxa" w:w="2448"/>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Dimension</w:t>
            </w:r>
          </w:p>
        </w:tc>
        <w:tc>
          <w:tcPr>
            <w:tcW w:type="dxa" w:w="7344"/>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Examples of planning questions</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Mobility and distance</w:t>
            </w:r>
          </w:p>
        </w:tc>
        <w:tc>
          <w:tcPr>
            <w:tcW w:type="dxa" w:w="7344"/>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Step-free route, walking distance, wheelchair or mobility aid, accessible parking, transfer assistance, rest points.</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Sensory access</w:t>
            </w:r>
          </w:p>
        </w:tc>
        <w:tc>
          <w:tcPr>
            <w:tcW w:type="dxa" w:w="7344"/>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Hearing support, sign language, captioning, visual description, lighting and noise sensitivity.</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Communication and cognition</w:t>
            </w:r>
          </w:p>
        </w:tc>
        <w:tc>
          <w:tcPr>
            <w:tcW w:type="dxa" w:w="7344"/>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Plain-language information, additional processing time, quiet explanation, supported decision-making.</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Companion and care</w:t>
            </w:r>
          </w:p>
        </w:tc>
        <w:tc>
          <w:tcPr>
            <w:tcW w:type="dxa" w:w="7344"/>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Carer or companion entitlement, seating adjacency, access rights, emergency contact boundaries.</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Environment</w:t>
            </w:r>
          </w:p>
        </w:tc>
        <w:tc>
          <w:tcPr>
            <w:tcW w:type="dxa" w:w="7344"/>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Accessible toilet, temperature, crowding, quiet room, evacuation route and waiting conditions.</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Transport and arrival</w:t>
            </w:r>
          </w:p>
        </w:tc>
        <w:tc>
          <w:tcPr>
            <w:tcW w:type="dxa" w:w="7344"/>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Vehicle access, drop-off dwell, mobility equipment, escort and collection plan.</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Food and medication support</w:t>
            </w:r>
          </w:p>
        </w:tc>
        <w:tc>
          <w:tcPr>
            <w:tcW w:type="dxa" w:w="7344"/>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Confirmed allergies or timing needs expressed as minimum necessary operational instructions.</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Dignity and privacy</w:t>
            </w:r>
          </w:p>
        </w:tc>
        <w:tc>
          <w:tcPr>
            <w:tcW w:type="dxa" w:w="7344"/>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Preferred assistance, consent, discreet handling, no diagnosis-led broadcast.</w:t>
            </w:r>
          </w:p>
        </w:tc>
      </w:tr>
    </w:tbl>
    <w:p/>
    <w:p>
      <w:pPr>
        <w:pStyle w:val="Heading1"/>
      </w:pPr>
      <w:r>
        <w:t>Individual VIP intelligence brief</w:t>
      </w:r>
    </w:p>
    <w:p>
      <w:pPr>
        <w:pStyle w:val="ListBullet"/>
      </w:pPr>
      <w:r>
        <w:rPr>
          <w:rFonts w:ascii="Arial" w:hAnsi="Arial"/>
          <w:b w:val="0"/>
          <w:color w:val="000000"/>
          <w:sz w:val="21"/>
        </w:rPr>
        <w:t>Identity and verified forms of address</w:t>
      </w:r>
    </w:p>
    <w:p>
      <w:pPr>
        <w:pStyle w:val="ListBullet"/>
      </w:pPr>
      <w:r>
        <w:rPr>
          <w:rFonts w:ascii="Arial" w:hAnsi="Arial"/>
          <w:b w:val="0"/>
          <w:color w:val="000000"/>
          <w:sz w:val="21"/>
        </w:rPr>
        <w:t>Event-specific significance categories and rationale</w:t>
      </w:r>
    </w:p>
    <w:p>
      <w:pPr>
        <w:pStyle w:val="ListBullet"/>
      </w:pPr>
      <w:r>
        <w:rPr>
          <w:rFonts w:ascii="Arial" w:hAnsi="Arial"/>
          <w:b w:val="0"/>
          <w:color w:val="000000"/>
          <w:sz w:val="21"/>
        </w:rPr>
        <w:t>Confirmed requirements, preferences and entitlements</w:t>
      </w:r>
    </w:p>
    <w:p>
      <w:pPr>
        <w:pStyle w:val="ListBullet"/>
      </w:pPr>
      <w:r>
        <w:rPr>
          <w:rFonts w:ascii="Arial" w:hAnsi="Arial"/>
          <w:b w:val="0"/>
          <w:color w:val="000000"/>
          <w:sz w:val="21"/>
        </w:rPr>
        <w:t>Unknowns, contradictions and confirmation questions</w:t>
      </w:r>
    </w:p>
    <w:p>
      <w:pPr>
        <w:pStyle w:val="ListBullet"/>
      </w:pPr>
      <w:r>
        <w:rPr>
          <w:rFonts w:ascii="Arial" w:hAnsi="Arial"/>
          <w:b w:val="0"/>
          <w:color w:val="000000"/>
          <w:sz w:val="21"/>
        </w:rPr>
        <w:t>Protocol, accessibility, cultural, religious, security, privacy, hospitality and entourage considerations</w:t>
      </w:r>
    </w:p>
    <w:p>
      <w:pPr>
        <w:pStyle w:val="ListBullet"/>
      </w:pPr>
      <w:r>
        <w:rPr>
          <w:rFonts w:ascii="Arial" w:hAnsi="Arial"/>
          <w:b w:val="0"/>
          <w:color w:val="000000"/>
          <w:sz w:val="21"/>
        </w:rPr>
        <w:t>Arrival, movement, seating, programme, recognition and departure dependencies</w:t>
      </w:r>
    </w:p>
    <w:p>
      <w:pPr>
        <w:pStyle w:val="ListBullet"/>
      </w:pPr>
      <w:r>
        <w:rPr>
          <w:rFonts w:ascii="Arial" w:hAnsi="Arial"/>
          <w:b w:val="0"/>
          <w:color w:val="000000"/>
          <w:sz w:val="21"/>
        </w:rPr>
        <w:t>Owners, deadlines, escalation status and evidence sources</w:t>
      </w:r>
    </w:p>
    <w:p>
      <w:pPr>
        <w:pStyle w:val="ListBullet"/>
      </w:pPr>
      <w:r>
        <w:rPr>
          <w:rFonts w:ascii="Arial" w:hAnsi="Arial"/>
          <w:b w:val="0"/>
          <w:color w:val="000000"/>
          <w:sz w:val="21"/>
        </w:rPr>
        <w:t>Minimum-necessary staff instructions</w:t>
      </w:r>
    </w:p>
    <w:p>
      <w:pPr>
        <w:pStyle w:val="ListBullet"/>
      </w:pPr>
      <w:r>
        <w:rPr>
          <w:rFonts w:ascii="Arial" w:hAnsi="Arial"/>
          <w:b w:val="0"/>
          <w:color w:val="000000"/>
          <w:sz w:val="21"/>
        </w:rPr>
        <w:t>Decisions, approvals, versions and change history</w:t>
      </w:r>
    </w:p>
    <w:p>
      <w:pPr>
        <w:pStyle w:val="Heading1"/>
      </w:pPr>
      <w:r>
        <w:t>Event-wide intelligence</w:t>
      </w:r>
    </w:p>
    <w:p>
      <w:pPr>
        <w:pStyle w:val="ListBullet"/>
      </w:pPr>
      <w:r>
        <w:rPr>
          <w:rFonts w:ascii="Arial" w:hAnsi="Arial"/>
          <w:b w:val="0"/>
          <w:color w:val="000000"/>
          <w:sz w:val="21"/>
        </w:rPr>
        <w:t>Counts by significance and operational group without social-worth scoring</w:t>
      </w:r>
    </w:p>
    <w:p>
      <w:pPr>
        <w:pStyle w:val="ListBullet"/>
      </w:pPr>
      <w:r>
        <w:rPr>
          <w:rFonts w:ascii="Arial" w:hAnsi="Arial"/>
          <w:b w:val="0"/>
          <w:color w:val="000000"/>
          <w:sz w:val="21"/>
        </w:rPr>
        <w:t>Precedence conflicts and recognition collisions</w:t>
      </w:r>
    </w:p>
    <w:p>
      <w:pPr>
        <w:pStyle w:val="ListBullet"/>
      </w:pPr>
      <w:r>
        <w:rPr>
          <w:rFonts w:ascii="Arial" w:hAnsi="Arial"/>
          <w:b w:val="0"/>
          <w:color w:val="000000"/>
          <w:sz w:val="21"/>
        </w:rPr>
        <w:t>Concurrent arrival and receiving-party pressure</w:t>
      </w:r>
    </w:p>
    <w:p>
      <w:pPr>
        <w:pStyle w:val="ListBullet"/>
      </w:pPr>
      <w:r>
        <w:rPr>
          <w:rFonts w:ascii="Arial" w:hAnsi="Arial"/>
          <w:b w:val="0"/>
          <w:color w:val="000000"/>
          <w:sz w:val="21"/>
        </w:rPr>
        <w:t>Entourage, security, transport, parking and holding-room demand</w:t>
      </w:r>
    </w:p>
    <w:p>
      <w:pPr>
        <w:pStyle w:val="ListBullet"/>
      </w:pPr>
      <w:r>
        <w:rPr>
          <w:rFonts w:ascii="Arial" w:hAnsi="Arial"/>
          <w:b w:val="0"/>
          <w:color w:val="000000"/>
          <w:sz w:val="21"/>
        </w:rPr>
        <w:t>Accessibility capacity, routes, equipment, companions and unresolved support</w:t>
      </w:r>
    </w:p>
    <w:p>
      <w:pPr>
        <w:pStyle w:val="ListBullet"/>
      </w:pPr>
      <w:r>
        <w:rPr>
          <w:rFonts w:ascii="Arial" w:hAnsi="Arial"/>
          <w:b w:val="0"/>
          <w:color w:val="000000"/>
          <w:sz w:val="21"/>
        </w:rPr>
        <w:t>Seating and table precedence pressure</w:t>
      </w:r>
    </w:p>
    <w:p>
      <w:pPr>
        <w:pStyle w:val="ListBullet"/>
      </w:pPr>
      <w:r>
        <w:rPr>
          <w:rFonts w:ascii="Arial" w:hAnsi="Arial"/>
          <w:b w:val="0"/>
          <w:color w:val="000000"/>
          <w:sz w:val="21"/>
        </w:rPr>
        <w:t>Stage, programme, speech, gift and announcement dependencies</w:t>
      </w:r>
    </w:p>
    <w:p>
      <w:pPr>
        <w:pStyle w:val="ListBullet"/>
      </w:pPr>
      <w:r>
        <w:rPr>
          <w:rFonts w:ascii="Arial" w:hAnsi="Arial"/>
          <w:b w:val="0"/>
          <w:color w:val="000000"/>
          <w:sz w:val="21"/>
        </w:rPr>
        <w:t>Cultural or religious conflicts and shared resource pressure</w:t>
      </w:r>
    </w:p>
    <w:p>
      <w:pPr>
        <w:pStyle w:val="ListBullet"/>
      </w:pPr>
      <w:r>
        <w:rPr>
          <w:rFonts w:ascii="Arial" w:hAnsi="Arial"/>
          <w:b w:val="0"/>
          <w:color w:val="000000"/>
          <w:sz w:val="21"/>
        </w:rPr>
        <w:t>Photography, media and privacy restrictions</w:t>
      </w:r>
    </w:p>
    <w:p>
      <w:pPr>
        <w:pStyle w:val="ListBullet"/>
      </w:pPr>
      <w:r>
        <w:rPr>
          <w:rFonts w:ascii="Arial" w:hAnsi="Arial"/>
          <w:b w:val="0"/>
          <w:color w:val="000000"/>
          <w:sz w:val="21"/>
        </w:rPr>
        <w:t>Unassigned tasks, overdue confirmations and owner overload</w:t>
      </w:r>
    </w:p>
    <w:p>
      <w:pPr>
        <w:pStyle w:val="ListBullet"/>
      </w:pPr>
      <w:r>
        <w:rPr>
          <w:rFonts w:ascii="Arial" w:hAnsi="Arial"/>
          <w:b w:val="0"/>
          <w:color w:val="000000"/>
          <w:sz w:val="21"/>
        </w:rPr>
        <w:t>Single points of failure and contingency readiness</w:t>
      </w:r>
    </w:p>
    <w:p>
      <w:pPr>
        <w:pStyle w:val="Heading1"/>
      </w:pPr>
      <w:r>
        <w:t>Lifecycle</w:t>
      </w:r>
    </w:p>
    <w:tbl>
      <w:tblPr>
        <w:tblStyle w:val="TableGrid"/>
        <w:tblW w:type="auto" w:w="0"/>
        <w:jc w:val="center"/>
        <w:tblLook w:firstColumn="1" w:firstRow="1" w:lastColumn="0" w:lastRow="0" w:noHBand="0" w:noVBand="1" w:val="04A0"/>
      </w:tblPr>
      <w:tblGrid>
        <w:gridCol w:w="4997"/>
        <w:gridCol w:w="4997"/>
      </w:tblGrid>
      <w:tr>
        <w:tc>
          <w:tcPr>
            <w:tcW w:type="dxa" w:w="2016"/>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State</w:t>
            </w:r>
          </w:p>
        </w:tc>
        <w:tc>
          <w:tcPr>
            <w:tcW w:type="dxa" w:w="7776"/>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Meaning</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FLAGGED</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VIP or accessibility significance has been indicated but not classified.</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DISCOVERY_REQUIRED</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Questions or source evidence are incomplete.</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CLASSIFIED</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One or more evidence-backed categories recorded.</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REVIEW_REQUIRED</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Material need, conflict or consequence requires human review.</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CONFIRMED</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Required facts and operational instructions confirmed.</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PLAN_READY</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Owners, tasks, dependencies and deadlines complete.</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APPROVED</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Consequential decisions approved under configured authority.</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ACTIVE</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Current event plan is operationally in force.</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STALE</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A dependency changed and affected intelligence requires review.</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CLOSED</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Event obligation completed with retained audit.</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DECLINED</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Guest or authorised representative declined to provide or receive optional support.</w:t>
            </w:r>
          </w:p>
        </w:tc>
      </w:tr>
    </w:tbl>
    <w:p/>
    <w:p>
      <w:pPr>
        <w:pStyle w:val="Heading1"/>
      </w:pPr>
      <w:r>
        <w:t>Blind spot controls</w:t>
      </w:r>
    </w:p>
    <w:p>
      <w:pPr>
        <w:pStyle w:val="ListBullet"/>
      </w:pPr>
      <w:r>
        <w:rPr>
          <w:rFonts w:ascii="Arial" w:hAnsi="Arial"/>
          <w:b w:val="0"/>
          <w:color w:val="000000"/>
          <w:sz w:val="21"/>
        </w:rPr>
        <w:t>Required-question coverage by applicable category</w:t>
      </w:r>
    </w:p>
    <w:p>
      <w:pPr>
        <w:pStyle w:val="ListBullet"/>
      </w:pPr>
      <w:r>
        <w:rPr>
          <w:rFonts w:ascii="Arial" w:hAnsi="Arial"/>
          <w:b w:val="0"/>
          <w:color w:val="000000"/>
          <w:sz w:val="21"/>
        </w:rPr>
        <w:t>Unknown and overdue confirmation register</w:t>
      </w:r>
    </w:p>
    <w:p>
      <w:pPr>
        <w:pStyle w:val="ListBullet"/>
      </w:pPr>
      <w:r>
        <w:rPr>
          <w:rFonts w:ascii="Arial" w:hAnsi="Arial"/>
          <w:b w:val="0"/>
          <w:color w:val="000000"/>
          <w:sz w:val="21"/>
        </w:rPr>
        <w:t>Contradiction detection across guest, entourage, event plan and external-domain facts</w:t>
      </w:r>
    </w:p>
    <w:p>
      <w:pPr>
        <w:pStyle w:val="ListBullet"/>
      </w:pPr>
      <w:r>
        <w:rPr>
          <w:rFonts w:ascii="Arial" w:hAnsi="Arial"/>
          <w:b w:val="0"/>
          <w:color w:val="000000"/>
          <w:sz w:val="21"/>
        </w:rPr>
        <w:t>Dependency staleness when guest, event, seating, venue, programme or authority changes</w:t>
      </w:r>
    </w:p>
    <w:p>
      <w:pPr>
        <w:pStyle w:val="ListBullet"/>
      </w:pPr>
      <w:r>
        <w:rPr>
          <w:rFonts w:ascii="Arial" w:hAnsi="Arial"/>
          <w:b w:val="0"/>
          <w:color w:val="000000"/>
          <w:sz w:val="21"/>
        </w:rPr>
        <w:t>Event-level collision and capacity analysis</w:t>
      </w:r>
    </w:p>
    <w:p>
      <w:pPr>
        <w:pStyle w:val="ListBullet"/>
      </w:pPr>
      <w:r>
        <w:rPr>
          <w:rFonts w:ascii="Arial" w:hAnsi="Arial"/>
          <w:b w:val="0"/>
          <w:color w:val="000000"/>
          <w:sz w:val="21"/>
        </w:rPr>
        <w:t>Ownerless task prohibition for material needs</w:t>
      </w:r>
    </w:p>
    <w:p>
      <w:pPr>
        <w:pStyle w:val="ListBullet"/>
      </w:pPr>
      <w:r>
        <w:rPr>
          <w:rFonts w:ascii="Arial" w:hAnsi="Arial"/>
          <w:b w:val="0"/>
          <w:color w:val="000000"/>
          <w:sz w:val="21"/>
        </w:rPr>
        <w:t>Escalation before irreversible deadlines</w:t>
      </w:r>
    </w:p>
    <w:p>
      <w:pPr>
        <w:pStyle w:val="ListBullet"/>
      </w:pPr>
      <w:r>
        <w:rPr>
          <w:rFonts w:ascii="Arial" w:hAnsi="Arial"/>
          <w:b w:val="0"/>
          <w:color w:val="000000"/>
          <w:sz w:val="21"/>
        </w:rPr>
        <w:t>Post-event closure and learning without repurposing sensitive data</w:t>
      </w:r>
    </w:p>
    <w:p>
      <w:pPr>
        <w:pStyle w:val="Heading1"/>
      </w:pPr>
      <w:r>
        <w:t>Success criteria</w:t>
      </w:r>
    </w:p>
    <w:p>
      <w:pPr>
        <w:pStyle w:val="ListBullet"/>
      </w:pPr>
      <w:r>
        <w:rPr>
          <w:rFonts w:ascii="Arial" w:hAnsi="Arial"/>
          <w:b w:val="0"/>
          <w:color w:val="000000"/>
          <w:sz w:val="21"/>
        </w:rPr>
        <w:t>A user can move from VIP flag to a complete individual brief without hidden spreadsheets</w:t>
      </w:r>
    </w:p>
    <w:p>
      <w:pPr>
        <w:pStyle w:val="ListBullet"/>
      </w:pPr>
      <w:r>
        <w:rPr>
          <w:rFonts w:ascii="Arial" w:hAnsi="Arial"/>
          <w:b w:val="0"/>
          <w:color w:val="000000"/>
          <w:sz w:val="21"/>
        </w:rPr>
        <w:t>Multiple categories coexist without overwriting one another</w:t>
      </w:r>
    </w:p>
    <w:p>
      <w:pPr>
        <w:pStyle w:val="ListBullet"/>
      </w:pPr>
      <w:r>
        <w:rPr>
          <w:rFonts w:ascii="Arial" w:hAnsi="Arial"/>
          <w:b w:val="0"/>
          <w:color w:val="000000"/>
          <w:sz w:val="21"/>
        </w:rPr>
        <w:t>Accessibility requirements are discoverable and actionable for VIP and non-VIP guests</w:t>
      </w:r>
    </w:p>
    <w:p>
      <w:pPr>
        <w:pStyle w:val="ListBullet"/>
      </w:pPr>
      <w:r>
        <w:rPr>
          <w:rFonts w:ascii="Arial" w:hAnsi="Arial"/>
          <w:b w:val="0"/>
          <w:color w:val="000000"/>
          <w:sz w:val="21"/>
        </w:rPr>
        <w:t>No sensitive characteristic is inferred</w:t>
      </w:r>
    </w:p>
    <w:p>
      <w:pPr>
        <w:pStyle w:val="ListBullet"/>
      </w:pPr>
      <w:r>
        <w:rPr>
          <w:rFonts w:ascii="Arial" w:hAnsi="Arial"/>
          <w:b w:val="0"/>
          <w:color w:val="000000"/>
          <w:sz w:val="21"/>
        </w:rPr>
        <w:t>Event-wide impacts are calculated from individual truth</w:t>
      </w:r>
    </w:p>
    <w:p>
      <w:pPr>
        <w:pStyle w:val="ListBullet"/>
      </w:pPr>
      <w:r>
        <w:rPr>
          <w:rFonts w:ascii="Arial" w:hAnsi="Arial"/>
          <w:b w:val="0"/>
          <w:color w:val="000000"/>
          <w:sz w:val="21"/>
        </w:rPr>
        <w:t>Every material recommendation points to evidence, owner and next action</w:t>
      </w:r>
    </w:p>
    <w:p>
      <w:pPr>
        <w:pStyle w:val="ListBullet"/>
      </w:pPr>
      <w:r>
        <w:rPr>
          <w:rFonts w:ascii="Arial" w:hAnsi="Arial"/>
          <w:b w:val="0"/>
          <w:color w:val="000000"/>
          <w:sz w:val="21"/>
        </w:rPr>
        <w:t>No intelligence output silently grants an entitlement or performs an external effect</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66666"/>
        <w:sz w:val="16"/>
      </w:rPr>
      <w:t>EOS-S06B-01  |  Maison Doclar  |  CEO Ratification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36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pPr>
      <w:spacing w:after="80" w:line="240"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