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color w:val="000000"/>
          <w:sz w:val="50"/>
        </w:rPr>
        <w:t>EOS S06B Experience and Operating Workflows</w:t>
      </w:r>
    </w:p>
    <w:p>
      <w:r>
        <w:rPr>
          <w:rFonts w:ascii="Arial" w:hAnsi="Arial"/>
          <w:b w:val="0"/>
          <w:color w:val="666666"/>
          <w:sz w:val="26"/>
        </w:rPr>
        <w:t>Canonical frontend journeys task orchestration and human operations</w:t>
      </w:r>
    </w:p>
    <w:p>
      <w:r>
        <w:rPr>
          <w:rFonts w:ascii="Arial" w:hAnsi="Arial"/>
          <w:b/>
          <w:color w:val="8B6E38"/>
          <w:sz w:val="20"/>
        </w:rPr>
        <w:t>Maison Doclar Event 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Control code</w:t>
            </w:r>
          </w:p>
        </w:tc>
        <w:tc>
          <w:tcPr>
            <w:tcW w:type="dxa" w:w="4997"/>
            <w:shd w:fill="F4F1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EOS-S06B-03</w:t>
            </w:r>
          </w:p>
        </w:tc>
      </w:tr>
      <w:tr>
        <w:tc>
          <w:tcPr>
            <w:tcW w:type="dxa" w:w="4997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997"/>
            <w:shd w:fill="F4F1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CEO RATIFICATION DRAFT</w:t>
            </w:r>
          </w:p>
        </w:tc>
      </w:tr>
      <w:tr>
        <w:tc>
          <w:tcPr>
            <w:tcW w:type="dxa" w:w="4997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Programme position</w:t>
            </w:r>
          </w:p>
        </w:tc>
        <w:tc>
          <w:tcPr>
            <w:tcW w:type="dxa" w:w="4997"/>
            <w:shd w:fill="F4F1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After EOS S06A and before EOS S07</w:t>
            </w:r>
          </w:p>
        </w:tc>
      </w:tr>
      <w:tr>
        <w:tc>
          <w:tcPr>
            <w:tcW w:type="dxa" w:w="4997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Production effect</w:t>
            </w:r>
          </w:p>
        </w:tc>
        <w:tc>
          <w:tcPr>
            <w:tcW w:type="dxa" w:w="4997"/>
            <w:shd w:fill="F4F1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None until separately authorised</w:t>
            </w:r>
          </w:p>
        </w:tc>
      </w:tr>
    </w:tbl>
    <w:p/>
    <w:p>
      <w:pPr>
        <w:pStyle w:val="Heading1"/>
      </w:pPr>
      <w:r>
        <w:t>Primary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Surface</w:t>
            </w:r>
          </w:p>
        </w:tc>
        <w:tc>
          <w:tcPr>
            <w:tcW w:type="dxa" w:w="6912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VIP Command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Event-wide status, conflicts, capacity, deadlines and readiness.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People requiring attention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VIP and accessibility work queue prioritised by consequence and deadline.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Guest intelligence brief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Individual categories, needs, unknowns, decisions, tasks and handoffs.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Accessibility Command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Standalone view for all guests with support needs and readiness.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Protocol and precedence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Titles, ordering, recognition, arrival and ceremonial dependencies.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Entourage and arrivals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Parties, vehicles, escorts, entrances, holding and departure.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Decisions and approvals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Maker-checker queue and durable result truth.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Tasks and handoffs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Owners, deadlines, dependencies, deep links and completion evidence.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Audit and changes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Actor, target, reason, before-after, result and staleness.</w:t>
            </w:r>
          </w:p>
        </w:tc>
      </w:tr>
    </w:tbl>
    <w:p/>
    <w:p>
      <w:pPr>
        <w:pStyle w:val="Heading1"/>
      </w:pPr>
      <w:r>
        <w:t>VIP flag to plan journey</w:t>
      </w:r>
    </w:p>
    <w:p>
      <w:pPr>
        <w:pStyle w:val="ListNumber"/>
      </w:pPr>
      <w:r>
        <w:rPr>
          <w:rFonts w:ascii="Arial" w:hAnsi="Arial"/>
          <w:b w:val="0"/>
          <w:color w:val="000000"/>
          <w:sz w:val="21"/>
        </w:rPr>
        <w:t>Flag the guest as requiring VIP review and record who requested it and why.</w:t>
      </w:r>
    </w:p>
    <w:p>
      <w:pPr>
        <w:pStyle w:val="ListNumber"/>
      </w:pPr>
      <w:r>
        <w:rPr>
          <w:rFonts w:ascii="Arial" w:hAnsi="Arial"/>
          <w:b w:val="0"/>
          <w:color w:val="000000"/>
          <w:sz w:val="21"/>
        </w:rPr>
        <w:t>Select one or more event-specific significance categories.</w:t>
      </w:r>
    </w:p>
    <w:p>
      <w:pPr>
        <w:pStyle w:val="ListNumber"/>
      </w:pPr>
      <w:r>
        <w:rPr>
          <w:rFonts w:ascii="Arial" w:hAnsi="Arial"/>
          <w:b w:val="0"/>
          <w:color w:val="000000"/>
          <w:sz w:val="21"/>
        </w:rPr>
        <w:t>Run applicable question sets; preserve unknown, declined and not-applicable answers.</w:t>
      </w:r>
    </w:p>
    <w:p>
      <w:pPr>
        <w:pStyle w:val="ListNumber"/>
      </w:pPr>
      <w:r>
        <w:rPr>
          <w:rFonts w:ascii="Arial" w:hAnsi="Arial"/>
          <w:b w:val="0"/>
          <w:color w:val="000000"/>
          <w:sz w:val="21"/>
        </w:rPr>
        <w:t>Create domain handoffs for Protocol, Accessibility, Culture, Religion, Security, Hospitality, Seating or Communications.</w:t>
      </w:r>
    </w:p>
    <w:p>
      <w:pPr>
        <w:pStyle w:val="ListNumber"/>
      </w:pPr>
      <w:r>
        <w:rPr>
          <w:rFonts w:ascii="Arial" w:hAnsi="Arial"/>
          <w:b w:val="0"/>
          <w:color w:val="000000"/>
          <w:sz w:val="21"/>
        </w:rPr>
        <w:t>Generate a grounded draft brief with sources and uncertainty.</w:t>
      </w:r>
    </w:p>
    <w:p>
      <w:pPr>
        <w:pStyle w:val="ListNumber"/>
      </w:pPr>
      <w:r>
        <w:rPr>
          <w:rFonts w:ascii="Arial" w:hAnsi="Arial"/>
          <w:b w:val="0"/>
          <w:color w:val="000000"/>
          <w:sz w:val="21"/>
        </w:rPr>
        <w:t>Review contradictions, dependencies, capacity effects and sensitive visibility.</w:t>
      </w:r>
    </w:p>
    <w:p>
      <w:pPr>
        <w:pStyle w:val="ListNumber"/>
      </w:pPr>
      <w:r>
        <w:rPr>
          <w:rFonts w:ascii="Arial" w:hAnsi="Arial"/>
          <w:b w:val="0"/>
          <w:color w:val="000000"/>
          <w:sz w:val="21"/>
        </w:rPr>
        <w:t>Assign tasks, owners and deadlines.</w:t>
      </w:r>
    </w:p>
    <w:p>
      <w:pPr>
        <w:pStyle w:val="ListNumber"/>
      </w:pPr>
      <w:r>
        <w:rPr>
          <w:rFonts w:ascii="Arial" w:hAnsi="Arial"/>
          <w:b w:val="0"/>
          <w:color w:val="000000"/>
          <w:sz w:val="21"/>
        </w:rPr>
        <w:t>Submit protected decisions for independent approval.</w:t>
      </w:r>
    </w:p>
    <w:p>
      <w:pPr>
        <w:pStyle w:val="ListNumber"/>
      </w:pPr>
      <w:r>
        <w:rPr>
          <w:rFonts w:ascii="Arial" w:hAnsi="Arial"/>
          <w:b w:val="0"/>
          <w:color w:val="000000"/>
          <w:sz w:val="21"/>
        </w:rPr>
        <w:t>Publish the current approved operational brief and event impact snapshot.</w:t>
      </w:r>
    </w:p>
    <w:p>
      <w:pPr>
        <w:pStyle w:val="ListNumber"/>
      </w:pPr>
      <w:r>
        <w:rPr>
          <w:rFonts w:ascii="Arial" w:hAnsi="Arial"/>
          <w:b w:val="0"/>
          <w:color w:val="000000"/>
          <w:sz w:val="21"/>
        </w:rPr>
        <w:t>Monitor changes and mark affected outputs stale.</w:t>
      </w:r>
    </w:p>
    <w:p>
      <w:pPr>
        <w:pStyle w:val="ListNumber"/>
      </w:pPr>
      <w:r>
        <w:rPr>
          <w:rFonts w:ascii="Arial" w:hAnsi="Arial"/>
          <w:b w:val="0"/>
          <w:color w:val="000000"/>
          <w:sz w:val="21"/>
        </w:rPr>
        <w:t>Close obligations after the event with audit and limited learning data.</w:t>
      </w:r>
    </w:p>
    <w:p>
      <w:pPr>
        <w:pStyle w:val="Heading1"/>
      </w:pPr>
      <w:r>
        <w:t>Accessibility journey</w:t>
      </w:r>
    </w:p>
    <w:p>
      <w:pPr>
        <w:pStyle w:val="ListNumber"/>
      </w:pPr>
      <w:r>
        <w:rPr>
          <w:rFonts w:ascii="Arial" w:hAnsi="Arial"/>
          <w:b w:val="0"/>
          <w:color w:val="000000"/>
          <w:sz w:val="21"/>
        </w:rPr>
        <w:t>Allow any guest—not only a VIP—to be referred or self-identify a support need.</w:t>
      </w:r>
    </w:p>
    <w:p>
      <w:pPr>
        <w:pStyle w:val="ListNumber"/>
      </w:pPr>
      <w:r>
        <w:rPr>
          <w:rFonts w:ascii="Arial" w:hAnsi="Arial"/>
          <w:b w:val="0"/>
          <w:color w:val="000000"/>
          <w:sz w:val="21"/>
        </w:rPr>
        <w:t>Ask functional, respectful questions and permit the guest to decline optional detail.</w:t>
      </w:r>
    </w:p>
    <w:p>
      <w:pPr>
        <w:pStyle w:val="ListNumber"/>
      </w:pPr>
      <w:r>
        <w:rPr>
          <w:rFonts w:ascii="Arial" w:hAnsi="Arial"/>
          <w:b w:val="0"/>
          <w:color w:val="000000"/>
          <w:sz w:val="21"/>
        </w:rPr>
        <w:t>Translate answers into minimum-necessary operational instructions.</w:t>
      </w:r>
    </w:p>
    <w:p>
      <w:pPr>
        <w:pStyle w:val="ListNumber"/>
      </w:pPr>
      <w:r>
        <w:rPr>
          <w:rFonts w:ascii="Arial" w:hAnsi="Arial"/>
          <w:b w:val="0"/>
          <w:color w:val="000000"/>
          <w:sz w:val="21"/>
        </w:rPr>
        <w:t>Confirm companion or carer relationships and entitlements separately.</w:t>
      </w:r>
    </w:p>
    <w:p>
      <w:pPr>
        <w:pStyle w:val="ListNumber"/>
      </w:pPr>
      <w:r>
        <w:rPr>
          <w:rFonts w:ascii="Arial" w:hAnsi="Arial"/>
          <w:b w:val="0"/>
          <w:color w:val="000000"/>
          <w:sz w:val="21"/>
        </w:rPr>
        <w:t>Check venue routes, seating, toilets, transport, waiting, evacuation and programme conditions.</w:t>
      </w:r>
    </w:p>
    <w:p>
      <w:pPr>
        <w:pStyle w:val="ListNumber"/>
      </w:pPr>
      <w:r>
        <w:rPr>
          <w:rFonts w:ascii="Arial" w:hAnsi="Arial"/>
          <w:b w:val="0"/>
          <w:color w:val="000000"/>
          <w:sz w:val="21"/>
        </w:rPr>
        <w:t>Assign an Accessibility Lead and accountable delivery owners.</w:t>
      </w:r>
    </w:p>
    <w:p>
      <w:pPr>
        <w:pStyle w:val="ListNumber"/>
      </w:pPr>
      <w:r>
        <w:rPr>
          <w:rFonts w:ascii="Arial" w:hAnsi="Arial"/>
          <w:b w:val="0"/>
          <w:color w:val="000000"/>
          <w:sz w:val="21"/>
        </w:rPr>
        <w:t>Surface unresolved needs and deadline risk in Accessibility Command and event-wide impact.</w:t>
      </w:r>
    </w:p>
    <w:p>
      <w:pPr>
        <w:pStyle w:val="ListNumber"/>
      </w:pPr>
      <w:r>
        <w:rPr>
          <w:rFonts w:ascii="Arial" w:hAnsi="Arial"/>
          <w:b w:val="0"/>
          <w:color w:val="000000"/>
          <w:sz w:val="21"/>
        </w:rPr>
        <w:t>Share only the instruction required by each team.</w:t>
      </w:r>
    </w:p>
    <w:p>
      <w:pPr>
        <w:pStyle w:val="ListNumber"/>
      </w:pPr>
      <w:r>
        <w:rPr>
          <w:rFonts w:ascii="Arial" w:hAnsi="Arial"/>
          <w:b w:val="0"/>
          <w:color w:val="000000"/>
          <w:sz w:val="21"/>
        </w:rPr>
        <w:t>Reconfirm after material venue, seating, timing or transport change.</w:t>
      </w:r>
    </w:p>
    <w:p>
      <w:pPr>
        <w:pStyle w:val="ListNumber"/>
      </w:pPr>
      <w:r>
        <w:rPr>
          <w:rFonts w:ascii="Arial" w:hAnsi="Arial"/>
          <w:b w:val="0"/>
          <w:color w:val="000000"/>
          <w:sz w:val="21"/>
        </w:rPr>
        <w:t>Record delivery, exceptions and post-event closure without broadcasting diagnosis.</w:t>
      </w:r>
    </w:p>
    <w:p>
      <w:pPr>
        <w:pStyle w:val="Heading1"/>
      </w:pPr>
      <w:r>
        <w:t>Category driven question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Question family</w:t>
            </w:r>
          </w:p>
        </w:tc>
        <w:tc>
          <w:tcPr>
            <w:tcW w:type="dxa" w:w="7848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Required coverage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Universal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Why is the guest significant for this event? Who confirmed it? What remains unknown? What decisions or deadlines depend on it?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Protocol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Correct title, precedence, greeting, announcement, receiving party, ceremony, stage, gifts and liaison?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Accessibility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Functional access, route, distance, seating, communication, companion, environment, transport, evacuation and preferred assistance?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Culture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Customary greeting, naming, dress, symbols, gender or family practice confirmed by the guest or authorised source?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Religion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Confirmed observance, food, prayer, timing, alcohol, photography, greeting or seating consideration?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Security privacy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Protection liaison, arrival privacy, photography, media, vehicle, holding and disclosure restrictions?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Hospitality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Travel, hotel, transport, refreshments, lounge, gifts, itinerary, departure and follow-up?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Entourage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Who accompanies the guest, in what role, with what access, seat, credential, transport and care dependency?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Programme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Speech, performance, honour, presentation, officiation, stage movement and timing?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Seating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Precedence, table companions, accessibility, security, line of sight, stage movement and separation constraints?</w:t>
            </w:r>
          </w:p>
        </w:tc>
      </w:tr>
    </w:tbl>
    <w:p/>
    <w:p>
      <w:pPr>
        <w:pStyle w:val="Heading1"/>
      </w:pPr>
      <w:r>
        <w:t>Event-level conflict patterns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Two guests expect precedence or the same ceremonial position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Several protected arrivals require the same entrance and receiving party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Entourage totals exceed seating, transport, credential or holding capacity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Accessibility routes or companion seating conflict with protocol placements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Religious or cultural timing conflicts with programme commitments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Photography or media restrictions conflict with public recognition plans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Security separation conflicts with family, stage or table requirements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A title, announcement or gift remains unapproved near production deadline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A changed venue, layout or programme makes an approved brief stale</w:t>
      </w:r>
    </w:p>
    <w:p>
      <w:pPr>
        <w:pStyle w:val="Heading1"/>
      </w:pPr>
      <w:r>
        <w:t>Required interface states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Loading and progressive disclosure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Empty with guided first action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Unknown and confirmation required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Declined and privacy-respecting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Contradicted with sources side by side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Blocked with owner and next step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Stale with changed dependency and affected outputs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Partial with completed and outstanding obligations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Denied without leaking restricted existence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Success with durable action result and correlation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Offline or connection loss without false success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Concurrent update and safe recovery</w:t>
      </w:r>
    </w:p>
    <w:p>
      <w:pPr>
        <w:pStyle w:val="Heading1"/>
      </w:pPr>
      <w:r>
        <w:t>Premium usability standards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Command Atelier visual language with calm hierarchy and restrained colour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Human labels before technical identifiers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Pointer cursor on clickable controls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No auditor-facing live mutation affordances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Consequential actions state effect, authority and reversibility before confirmation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Search and filter across name, category, readiness, owner, deadline and unresolved need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Mobile operational triage at 360px; tablet and desktop command views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Keyboard, screen-reader semantics, zoom, reflow and non-colour status cues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No dense dashboard that hides the individual human behind aggregate counts</w:t>
      </w:r>
    </w:p>
    <w:p>
      <w:pPr>
        <w:pStyle w:val="Heading1"/>
      </w:pPr>
      <w:r>
        <w:t>Operational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6912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content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Individual brief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Verified identity, categories, needs, unknowns, instructions, tasks, decisions and sources.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Event impact snapshot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Counts, conflicts, capacity, deadlines, owners and readiness.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Accessibility readiness register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Guest-safe instructions, route/service readiness, ownership and unresolved risks.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Protocol run sheet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Precedence, greetings, announcements, ceremonial actions and owners.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Arrival movement plan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Windows, entrances, vehicles, escorts, holding and departure.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Entourage register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Members or counts, roles, entitlements and dependencies.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Decision record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Maker, checker, authority, reason, evidence, effect and expiry.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Task bank work plan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Canonical task, owner, due date, dependencies, deep link and settlement.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66666"/>
        <w:sz w:val="16"/>
      </w:rPr>
      <w:t>EOS-S06B-03  |  Maison Doclar  |  CEO Ratification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36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pPr>
      <w:spacing w:after="80"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