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0"/>
        </w:rPr>
        <w:t>EOS S06B Cursor Execution Programme</w:t>
      </w:r>
    </w:p>
    <w:p>
      <w:r>
        <w:rPr>
          <w:rFonts w:ascii="Arial" w:hAnsi="Arial"/>
          <w:b w:val="0"/>
          <w:color w:val="666666"/>
          <w:sz w:val="26"/>
        </w:rPr>
        <w:t>Detailed prescribed prompts for full product implementation</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4997"/>
        <w:gridCol w:w="4997"/>
      </w:tblGrid>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Control code</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EOS-S06B-06</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Status</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CEO RATIFICATION DRAFT</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Programme position</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After EOS S06A and before EOS S07</w:t>
            </w:r>
          </w:p>
        </w:tc>
      </w:tr>
      <w:tr>
        <w:tc>
          <w:tcPr>
            <w:tcW w:type="dxa" w:w="4997"/>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Production effect</w:t>
            </w:r>
          </w:p>
        </w:tc>
        <w:tc>
          <w:tcPr>
            <w:tcW w:type="dxa" w:w="4997"/>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8"/>
              </w:rPr>
              <w:t>None until separately authorised</w:t>
            </w:r>
          </w:p>
        </w:tc>
      </w:tr>
    </w:tbl>
    <w:p/>
    <w:p>
      <w:pPr>
        <w:pStyle w:val="Heading1"/>
      </w:pPr>
      <w:r>
        <w:t>Execution control</w:t>
      </w:r>
    </w:p>
    <w:p>
      <w:r>
        <w:rPr>
          <w:rFonts w:ascii="Arial" w:hAnsi="Arial"/>
          <w:b w:val="0"/>
          <w:color w:val="000000"/>
          <w:sz w:val="21"/>
        </w:rPr>
        <w:t>This document is a ratification draft. None of its prompts may be executed until the CEO expressly authorises EOS-S06B implementation. Once authorised, Cursor may proceed continuously through routine prompts and stop only at the material gates defined below. Cursor cannot accept the slice or authorise production.</w:t>
      </w:r>
    </w:p>
    <w:p>
      <w:pPr>
        <w:pStyle w:val="Heading1"/>
      </w:pPr>
      <w:r>
        <w:t>Standing scope</w:t>
      </w:r>
    </w:p>
    <w:p>
      <w:pPr>
        <w:pStyle w:val="ListBullet"/>
      </w:pPr>
      <w:r>
        <w:rPr>
          <w:rFonts w:ascii="Arial" w:hAnsi="Arial"/>
          <w:b w:val="0"/>
          <w:color w:val="000000"/>
          <w:sz w:val="21"/>
        </w:rPr>
        <w:t>Repository strictly kglaw-Oluseyi/atelier-doclar main</w:t>
      </w:r>
    </w:p>
    <w:p>
      <w:pPr>
        <w:pStyle w:val="ListBullet"/>
      </w:pPr>
      <w:r>
        <w:rPr>
          <w:rFonts w:ascii="Arial" w:hAnsi="Arial"/>
          <w:b w:val="0"/>
          <w:color w:val="000000"/>
          <w:sz w:val="21"/>
        </w:rPr>
        <w:t>Railway strictly atelier-doclar production and Event OS service only</w:t>
      </w:r>
    </w:p>
    <w:p>
      <w:pPr>
        <w:pStyle w:val="ListBullet"/>
      </w:pPr>
      <w:r>
        <w:rPr>
          <w:rFonts w:ascii="Arial" w:hAnsi="Arial"/>
          <w:b w:val="0"/>
          <w:color w:val="000000"/>
          <w:sz w:val="21"/>
        </w:rPr>
        <w:t>Control Tower untouched unless separately authorised</w:t>
      </w:r>
    </w:p>
    <w:p>
      <w:pPr>
        <w:pStyle w:val="ListBullet"/>
      </w:pPr>
      <w:r>
        <w:rPr>
          <w:rFonts w:ascii="Arial" w:hAnsi="Arial"/>
          <w:b w:val="0"/>
          <w:color w:val="000000"/>
          <w:sz w:val="21"/>
        </w:rPr>
        <w:t>Synthetic data only; providers and communications inactive</w:t>
      </w:r>
    </w:p>
    <w:p>
      <w:pPr>
        <w:pStyle w:val="ListBullet"/>
      </w:pPr>
      <w:r>
        <w:rPr>
          <w:rFonts w:ascii="Arial" w:hAnsi="Arial"/>
          <w:b w:val="0"/>
          <w:color w:val="000000"/>
          <w:sz w:val="21"/>
        </w:rPr>
        <w:t>productionAuthorised remains false</w:t>
      </w:r>
    </w:p>
    <w:p>
      <w:pPr>
        <w:pStyle w:val="ListBullet"/>
      </w:pPr>
      <w:r>
        <w:rPr>
          <w:rFonts w:ascii="Arial" w:hAnsi="Arial"/>
          <w:b w:val="0"/>
          <w:color w:val="000000"/>
          <w:sz w:val="21"/>
        </w:rPr>
        <w:t>EOS-S07 not started</w:t>
      </w:r>
    </w:p>
    <w:p>
      <w:pPr>
        <w:pStyle w:val="ListBullet"/>
      </w:pPr>
      <w:r>
        <w:rPr>
          <w:rFonts w:ascii="Arial" w:hAnsi="Arial"/>
          <w:b w:val="0"/>
          <w:color w:val="000000"/>
          <w:sz w:val="21"/>
        </w:rPr>
        <w:t>Preserve protected untracked files and unrelated user changes</w:t>
      </w:r>
    </w:p>
    <w:p>
      <w:pPr>
        <w:pStyle w:val="ListBullet"/>
      </w:pPr>
      <w:r>
        <w:rPr>
          <w:rFonts w:ascii="Arial" w:hAnsi="Arial"/>
          <w:b w:val="0"/>
          <w:color w:val="000000"/>
          <w:sz w:val="21"/>
        </w:rPr>
        <w:t>Deploy Event OS only when executable application or migration changes require it</w:t>
      </w:r>
    </w:p>
    <w:p>
      <w:pPr>
        <w:pStyle w:val="ListBullet"/>
      </w:pPr>
      <w:r>
        <w:rPr>
          <w:rFonts w:ascii="Arial" w:hAnsi="Arial"/>
          <w:b w:val="0"/>
          <w:color w:val="000000"/>
          <w:sz w:val="21"/>
        </w:rPr>
        <w:t>Evidence before claims; application SHA, docs HEAD and deployment identity remain separate</w:t>
      </w:r>
    </w:p>
    <w:tbl>
      <w:tblPr>
        <w:tblStyle w:val="TableGrid"/>
        <w:tblW w:type="auto" w:w="0"/>
        <w:jc w:val="center"/>
        <w:tblLook w:firstColumn="1" w:firstRow="1" w:lastColumn="0" w:lastRow="0" w:noHBand="0" w:noVBand="1" w:val="04A0"/>
      </w:tblPr>
      <w:tblGrid>
        <w:gridCol w:w="3331"/>
        <w:gridCol w:w="3331"/>
        <w:gridCol w:w="3331"/>
      </w:tblGrid>
      <w:tr>
        <w:tc>
          <w:tcPr>
            <w:tcW w:type="dxa" w:w="79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Prompt</w:t>
            </w:r>
          </w:p>
        </w:tc>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Milestone</w:t>
            </w:r>
          </w:p>
        </w:tc>
        <w:tc>
          <w:tcPr>
            <w:tcW w:type="dxa" w:w="655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Purpose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P00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Authority and forensic preflight</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Inspect canonical documents, repository state, prior domain capabilities, roles, schemas, integrations and protected files. Produce an execution map, gap analysis, reuse plan, migration plan, test plan and stop conditions. No application mutation.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P01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Architecture and contracts</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Implement or record ADRs for bounded S06B aggregates, trusted context, domain ownership, event isolation, versioning, outbox events, staleness and task-bank integration. Scaffold typed contracts without fake success.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P02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Classification and discovery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Implement multi-select event-specific significance profiles, source/confidence/confirmation fields, category-driven questions, unknown/declined/disputed states and evidence lifecycle.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P03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Standalone Accessibility Intelligence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Implement Accessibility Command for VIP and non-VIP guests, functional support discovery, consent-aware source narrative, minimum-necessary operational instructions, companion/carer logic, readiness and staleness.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P04</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Individual VIP brief</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Implement grounded individual brief, contradictions, domain handoffs, owners, deadlines, decisions, dependencies, visibility and history.</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P05</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Event-wide impact and conflict intelligence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Implement event aggregation, precedence collisions, arrival/resource pressure, entourage totals, accessibility capacity, programme/seating/privacy conflicts and readiness.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P06</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Governed tasks decisions and Atelier Command</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Add canonical task-bank entries, deep links, multiple plans, claims, idempotency, maker-checker, terminal settlement, role boundaries and explicit cross-event refusal.</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P07</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Complete frontend experience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Build VIP Command, People Requiring Attention, Accessibility Command, brief, protocol, entourage, decisions, tasks and audit views in Command Atelier. Implement every named state and responsive/accessibility obligations.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P08</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Evaluation corpus and security privacy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Create immutable s06b-eval-v1 with 100+ cases; implement adversarial isolation, inference, prompt injection, role leakage, export, retention, concurrency and false-success tests.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P09</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Integrated journeys performance and recovery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Run full synthetic multi-role journeys, 2,000-guest/200-profile event impact qualification, interruption/retry/concurrency, PostgreSQL reload and rollback.</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P10</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Independent verification preparation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Freeze evidence, deploy accepted candidate if needed, run focused live gates and prepare a no-repository Claude prompt covering decision-sensitive journeys.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P11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Consolidated remediation and acceptance handoff</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7"/>
              </w:rPr>
              <w:t>Batch all verified blocker/high and economical related medium findings, rerun smallest sensitive gates, freeze final evidence and prepare AI CTO acceptance record without accepting.</w:t>
            </w:r>
          </w:p>
        </w:tc>
      </w:tr>
    </w:tbl>
    <w:p/>
    <w:p>
      <w:r>
        <w:br w:type="page"/>
      </w:r>
    </w:p>
    <w:p>
      <w:pPr>
        <w:pStyle w:val="Heading1"/>
      </w:pPr>
      <w:r>
        <w:t>P00 Authority and forensic preflight</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S06B-P00</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Inspect canonical documents, repository state, prior domain capabilities, roles, schemas, integrations and protected files. Produce an execution map, gap analysis, reuse plan, migration plan, test plan and stop conditions. No application mutation.</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Preflight report proves no shadow domain and identifies exact trusted integration contracts. STOP for AI CTO review only if a material conflict exists.</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P01 Architecture and contracts</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S06B-P01</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Implement or record ADRs for bounded S06B aggregates, trusted context, domain ownership, event isolation, versioning, outbox events, staleness and task-bank integration. Scaffold typed contracts without fake success.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Architecture tests and contract compilation pass; no duplicate Protocol, Accessibility, Seating, Communications or Credentials authority.</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P02 Classification and discovery</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S06B-P02</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Implement multi-select event-specific significance profiles, source/confidence/confirmation fields, category-driven questions, unknown/declined/disputed states and evidence lifecycle.</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Classification persistence, versioning, event isolation and sensitive-inference negative tests pass.</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P03 Standalone Accessibility Intelligence</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S06B-P03</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Implement Accessibility Command for VIP and non-VIP guests, functional support discovery, consent-aware source narrative, minimum-necessary operational instructions, companion/carer logic, readiness and staleness.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ACCS requirements and role-projection tests pass; no diagnosis exposure or VIP-only restriction.</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P04 Individual VIP brief</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S06B-P04</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Implement grounded individual brief, contradictions, domain handoffs, owners, deadlines, decisions, dependencies, visibility and history.</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Brief is complete, cited, explainable, versioned and truthful across empty/unknown/stale/blocked states.</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P05 Event-wide impact and conflict intelligence</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S06B-P05</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Implement event aggregation, precedence collisions, arrival/resource pressure, entourage totals, accessibility capacity, programme/seating/privacy conflicts and readiness.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Aggregates reconcile to individual truth and recompute on dependency change within performance target.</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P06 Governed tasks decisions and Atelier Command</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S06B-P06</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Add canonical task-bank entries, deep links, multiple plans, claims, idempotency, maker-checker, terminal settlement, role boundaries and explicit cross-event refusal.</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Execution creates no unsupported effect; audit and replay are durable; TDR-S06A-001 is corrected and regression-tested if included by explicit authority.</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P07 Complete frontend experience</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S06B-P07</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Build VIP Command, People Requiring Attention, Accessibility Command, brief, protocol, entourage, decisions, tasks and audit views in Command Atelier. Implement every named state and responsive/accessibility obligations.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Real browser journeys pass at 360/768/1280 with keyboard and axe; Auditor sees no misleading mutation UI.</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P08 Evaluation corpus and security privacy</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S06B-P08</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Create immutable s06b-eval-v1 with 100+ cases; implement adversarial isolation, inference, prompt injection, role leakage, export, retention, concurrency and false-success tests.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Zero-tolerance cases pass; corpus hash and live/persisted results are honest and fail closed when stale.</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P09 Integrated journeys performance and recovery</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S06B-P09</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Run full synthetic multi-role journeys, 2,000-guest/200-profile event impact qualification, interruption/retry/concurrency, PostgreSQL reload and rollback.</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Targets met without restart or memory exhaustion; product and harness failures classified honestly.</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P10 Independent verification preparation</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S06B-P10</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Freeze evidence, deploy accepted candidate if needed, run focused live gates and prepare a no-repository Claude prompt covering decision-sensitive journeys.</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READY FOR CLAUDE only when browser, identities, evidence hashes and synthetic fixture are accessible and complete.</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r>
        <w:br w:type="page"/>
      </w:r>
    </w:p>
    <w:p>
      <w:pPr>
        <w:pStyle w:val="Heading1"/>
      </w:pPr>
      <w:r>
        <w:t>P11 Consolidated remediation and acceptance handoff</w:t>
      </w:r>
    </w:p>
    <w:p>
      <w:r>
        <w:rPr>
          <w:rFonts w:ascii="Arial" w:hAnsi="Arial"/>
          <w:b w:val="0"/>
          <w:color w:val="000000"/>
          <w:sz w:val="21"/>
        </w:rPr>
        <w:t>Paste the following complete instruction into Cursor only when this prompt is authorised.</w:t>
      </w:r>
    </w:p>
    <w:p>
      <w:pPr>
        <w:pStyle w:val="Prompt"/>
      </w:pPr>
      <w:r>
        <w:rPr>
          <w:rFonts w:ascii="Consolas" w:hAnsi="Consolas"/>
          <w:b w:val="0"/>
          <w:color w:val="000000"/>
          <w:sz w:val="17"/>
        </w:rPr>
        <w:t>You are implementing Maison Doclar Event OS EOS-S06B VIP Intelligence and Protocol Command.</w:t>
      </w:r>
    </w:p>
    <w:p>
      <w:pPr>
        <w:pStyle w:val="Prompt"/>
      </w:pPr>
      <w:r>
        <w:rPr>
          <w:rFonts w:ascii="Consolas" w:hAnsi="Consolas"/>
          <w:b w:val="0"/>
          <w:color w:val="000000"/>
          <w:sz w:val="17"/>
        </w:rPr>
        <w:t>PROMPT ID: S06B-P11</w:t>
      </w:r>
    </w:p>
    <w:p>
      <w:pPr>
        <w:pStyle w:val="Prompt"/>
      </w:pPr>
      <w:r>
        <w:rPr>
          <w:rFonts w:ascii="Consolas" w:hAnsi="Consolas"/>
          <w:b w:val="0"/>
          <w:color w:val="000000"/>
          <w:sz w:val="17"/>
        </w:rPr>
        <w:t>AUTHORISED BASELINE: &lt;insert full authorised origin/main SHA&gt;</w:t>
      </w:r>
    </w:p>
    <w:p>
      <w:pPr>
        <w:pStyle w:val="Prompt"/>
      </w:pPr>
      <w:r>
        <w:rPr>
          <w:rFonts w:ascii="Consolas" w:hAnsi="Consolas"/>
          <w:b w:val="0"/>
          <w:color w:val="000000"/>
          <w:sz w:val="17"/>
        </w:rPr>
        <w:t>ACCEPTED APPLICATION SHA: &lt;insert current accepted Event OS application SHA&gt;</w:t>
      </w:r>
    </w:p>
    <w:p>
      <w:pPr>
        <w:pStyle w:val="Prompt"/>
      </w:pPr>
      <w:r>
        <w:rPr>
          <w:rFonts w:ascii="Consolas" w:hAnsi="Consolas"/>
          <w:b w:val="0"/>
          <w:color w:val="000000"/>
          <w:sz w:val="17"/>
        </w:rPr>
        <w:t>Repository scope is strictly kglaw-Oluseyi/atelier-doclar on main. Railway scope is strictly project atelier-doclar, environment production, service event-os. Do not inspect or touch other repositories, projects, environments, services, deployments, variables, domains or databases.</w:t>
      </w:r>
    </w:p>
    <w:p>
      <w:pPr>
        <w:pStyle w:val="Prompt"/>
      </w:pPr>
      <w:r>
        <w:rPr>
          <w:rFonts w:ascii="Consolas" w:hAnsi="Consolas"/>
          <w:b w:val="0"/>
          <w:color w:val="000000"/>
          <w:sz w:val="17"/>
        </w:rPr>
        <w:t>Before mutation read documents EOS-S06B-00 through EOS-S06B-06, CURRENT_STATE, PROGRAMME_ROADMAP, authority and compatibility registers, cumulative debt register, evidence index, repository AGENTS/Cursor rules, relevant accepted domain authorities and the preceding prompt report. Reconcile authority; stop on conflict.</w:t>
      </w:r>
    </w:p>
    <w:p>
      <w:pPr>
        <w:pStyle w:val="Prompt"/>
      </w:pPr>
      <w:r>
        <w:rPr>
          <w:rFonts w:ascii="Consolas" w:hAnsi="Consolas"/>
          <w:b w:val="0"/>
          <w:color w:val="000000"/>
          <w:sz w:val="17"/>
        </w:rPr>
        <w:t>OBJECTIVE: Batch all verified blocker/high and economical related medium findings, rerun smallest sensitive gates, freeze final evidence and prepare AI CTO acceptance record without accepting.</w:t>
      </w:r>
    </w:p>
    <w:p>
      <w:pPr>
        <w:pStyle w:val="Prompt"/>
      </w:pPr>
      <w:r>
        <w:rPr>
          <w:rFonts w:ascii="Consolas" w:hAnsi="Consolas"/>
          <w:b w:val="0"/>
          <w:color w:val="000000"/>
          <w:sz w:val="17"/>
        </w:rPr>
        <w:t>MANDATORY LAWS: Multi dimensional significance: A guest may hold multiple significance categories. No single tier may erase the operational meaning of another category.; Event scoped truth: VIP status, category, entitlement and required care are event-specific and derived from trusted Organisation Client Event context.; No sensitive inference: Religion, disability, medical condition, ethnicity, political belief, security risk, wealth or personal relationship must not be inferred from name, title, appearance, nationality or public reputation.; Evidence and confirmation: Every material classification or need records source, confirmer, date, confidence, applicability, review owner and status.; Intelligence is not authority: A flag creates questions and review obligations. It does not automatically grant access, seating, credentials, entourage, security clearance or exemption.; Human consequential decisions: Humans approve precedence, entitlements, security posture, protected seating, public recognition, credentialing and sensitive disclosures.; Minimum necessary visibility: Sensitive facts and narratives are separated from operational instructions; each role sees only what it needs to act.; Truthful unknowns: Unknown, unconfirmed, declined and not applicable remain distinct. The system never turns missing information into a confident answer.; Cross intelligence orchestration: Protocol, Culture, Religion, Accessibility, Risk, Seating, Communications, Credentials and Atelier Command remain authoritative for their domains; S06B coordinates rather than duplicates them.; Audit and reversibility: Material changes are reasoned, audited, versioned, maker-checker where required, concurrency-safe and recoverable.</w:t>
      </w:r>
    </w:p>
    <w:p>
      <w:pPr>
        <w:pStyle w:val="Prompt"/>
      </w:pPr>
      <w:r>
        <w:rPr>
          <w:rFonts w:ascii="Consolas" w:hAnsi="Consolas"/>
          <w:b w:val="0"/>
          <w:color w:val="000000"/>
          <w:sz w:val="17"/>
        </w:rPr>
        <w:t>ACCESSIBILITY: Treat Accessibility Intelligence as a standalone special group applicable to every guest. Build functional-needs discovery, consent-aware private source handling, minimum-necessary operational instructions, companion/carer entitlements, venue/transport/seating/programme/evacuation readiness, event aggregation, staleness and role-safe views. Never reduce it to a VIP category or infer disability.</w:t>
      </w:r>
    </w:p>
    <w:p>
      <w:pPr>
        <w:pStyle w:val="Prompt"/>
      </w:pPr>
      <w:r>
        <w:rPr>
          <w:rFonts w:ascii="Consolas" w:hAnsi="Consolas"/>
          <w:b w:val="0"/>
          <w:color w:val="000000"/>
          <w:sz w:val="17"/>
        </w:rPr>
        <w:t>FRONTEND AND BACKEND: They are one deliverable. Implement loading, empty, unknown, declined, disputed, stale, blocked, denied, partial, conflict, retry and success states. Use Command Atelier, human labels, pointer cursors, clear consequences, durable result truth, responsive layouts and accessible semantics.</w:t>
      </w:r>
    </w:p>
    <w:p>
      <w:pPr>
        <w:pStyle w:val="Prompt"/>
      </w:pPr>
      <w:r>
        <w:rPr>
          <w:rFonts w:ascii="Consolas" w:hAnsi="Consolas"/>
          <w:b w:val="0"/>
          <w:color w:val="000000"/>
          <w:sz w:val="17"/>
        </w:rPr>
        <w:t>SECURITY AND PRIVACY: Derive Organisation Client Event scope from trusted server context at every UI, action, service and repository boundary. Default deny. No sensitive data in URLs, logs, analytics, traces, exports, fixtures or error messages. Synthetic data only.</w:t>
      </w:r>
    </w:p>
    <w:p>
      <w:pPr>
        <w:pStyle w:val="Prompt"/>
      </w:pPr>
      <w:r>
        <w:rPr>
          <w:rFonts w:ascii="Consolas" w:hAnsi="Consolas"/>
          <w:b w:val="0"/>
          <w:color w:val="000000"/>
          <w:sz w:val="17"/>
        </w:rPr>
        <w:t>AI BOUNDARY: AI may ask, summarise, detect gaps/conflicts and propose tasks using cited trusted context. It may not infer sensitive traits, grant entitlements, approve precedence/security/seating/access, contact providers or claim external effects.</w:t>
      </w:r>
    </w:p>
    <w:p>
      <w:pPr>
        <w:pStyle w:val="Prompt"/>
      </w:pPr>
      <w:r>
        <w:rPr>
          <w:rFonts w:ascii="Consolas" w:hAnsi="Consolas"/>
          <w:b w:val="0"/>
          <w:color w:val="000000"/>
          <w:sz w:val="17"/>
        </w:rPr>
        <w:t>EXCLUSIONS: No EOS-S07 credentials/QR, FaceGate, admission, attendance, real communications, provider activation, production authorisation, Control Tower deployment, unrelated refactor or weakening of prior controls.</w:t>
      </w:r>
    </w:p>
    <w:p>
      <w:pPr>
        <w:pStyle w:val="Prompt"/>
      </w:pPr>
      <w:r>
        <w:rPr>
          <w:rFonts w:ascii="Consolas" w:hAnsi="Consolas"/>
          <w:b w:val="0"/>
          <w:color w:val="000000"/>
          <w:sz w:val="17"/>
        </w:rPr>
        <w:t>IMPLEMENTATION: Inspect and reuse existing canonical domains. Do not build shadow guest, protocol, accessibility, seating, communications, risk or task systems. Use additive migrations, concurrency-safe transactions, idempotency, outbox events, explicit versioning and rollback.</w:t>
      </w:r>
    </w:p>
    <w:p>
      <w:pPr>
        <w:pStyle w:val="Prompt"/>
      </w:pPr>
      <w:r>
        <w:rPr>
          <w:rFonts w:ascii="Consolas" w:hAnsi="Consolas"/>
          <w:b w:val="0"/>
          <w:color w:val="000000"/>
          <w:sz w:val="17"/>
        </w:rPr>
        <w:t>VERIFICATION: Run format/lint/typecheck, focused unit/integration/evaluation tests, PostgreSQL persistence and affected browser journeys. Record exact commands, exit codes, counts, first-run failures and dispositions. Do not repeatedly run historical monoliths. Scan changed code, fixtures, logs, URLs, snapshots and evidence for secrets, real PII and prohibited sensitive leakage.</w:t>
      </w:r>
    </w:p>
    <w:p>
      <w:pPr>
        <w:pStyle w:val="Prompt"/>
      </w:pPr>
      <w:r>
        <w:rPr>
          <w:rFonts w:ascii="Consolas" w:hAnsi="Consolas"/>
          <w:b w:val="0"/>
          <w:color w:val="000000"/>
          <w:sz w:val="17"/>
        </w:rPr>
        <w:t>EVIDENCE: Update implementation/build ledger, current state without premature acceptance, traceability, evidence index, ADRs, schema/API/event/permissions/UI/security/accessibility documentation and a durable manifest. Keep application SHA, docs HEAD and Railway deployment identity separate.</w:t>
      </w:r>
    </w:p>
    <w:p>
      <w:pPr>
        <w:pStyle w:val="Prompt"/>
      </w:pPr>
      <w:r>
        <w:rPr>
          <w:rFonts w:ascii="Consolas" w:hAnsi="Consolas"/>
          <w:b w:val="0"/>
          <w:color w:val="000000"/>
          <w:sz w:val="17"/>
        </w:rPr>
        <w:t>DEPLOYMENT: Deploy Event OS only if executable application/shared runtime/migration changes require it and only after focused gates pass. Keep productionAuthorised false and providers inactive. Control documentation-only pushes with the Event OS watch-pattern guard and report configuration rebuilds honestly.</w:t>
      </w:r>
    </w:p>
    <w:p>
      <w:pPr>
        <w:pStyle w:val="Prompt"/>
      </w:pPr>
      <w:r>
        <w:rPr>
          <w:rFonts w:ascii="Consolas" w:hAnsi="Consolas"/>
          <w:b w:val="0"/>
          <w:color w:val="000000"/>
          <w:sz w:val="17"/>
        </w:rPr>
        <w:t>STOP CONDITIONS: Stop on missing authority/baseline, overlapping user changes, protected-file risk, ambiguous consequential decision, cross-event leak, sensitive inference, missing production-like persistence, unreproducible evidence, failed mandatory gate, required provider/real-data use or architectural expansion outside this prompt.</w:t>
      </w:r>
    </w:p>
    <w:p>
      <w:pPr>
        <w:pStyle w:val="Prompt"/>
      </w:pPr>
      <w:r>
        <w:rPr>
          <w:rFonts w:ascii="Consolas" w:hAnsi="Consolas"/>
          <w:b w:val="0"/>
          <w:color w:val="000000"/>
          <w:sz w:val="17"/>
        </w:rPr>
        <w:t>ACCEPTANCE GATE FOR THIS PROMPT: No blocker/high defect, no hidden deferral, technical debt explicit, exact final application SHA and rollback point recorded. EOS-S07 remains held.</w:t>
      </w:r>
    </w:p>
    <w:p>
      <w:pPr>
        <w:pStyle w:val="Prompt"/>
      </w:pPr>
      <w:r>
        <w:rPr>
          <w:rFonts w:ascii="Consolas" w:hAnsi="Consolas"/>
          <w:b w:val="0"/>
          <w:color w:val="000000"/>
          <w:sz w:val="17"/>
        </w:rPr>
        <w:t>HANDOFF: Report starting/ending SHA, changed files, migrations/contracts, security/privacy/accessibility impact, exact test/browser evidence, deployment truth, rollback, limitations and ITEMS BROUGHT FORWARD with owner/reason/impact/target prompt. Create one focused commit only when gates pass. Do not start the next prompt unless continuous execution has been expressly authorised and no material stop condition exists.</w:t>
      </w:r>
    </w:p>
    <w:p>
      <w:pPr>
        <w:pStyle w:val="Prompt"/>
      </w:pPr>
      <w:r>
        <w:rPr>
          <w:rFonts w:ascii="Consolas" w:hAnsi="Consolas"/>
          <w:b w:val="0"/>
          <w:color w:val="000000"/>
          <w:sz w:val="17"/>
        </w:rPr>
        <w:t>End exactly: This report is a claim awaiting independent verification.</w:t>
      </w:r>
    </w:p>
    <w:p>
      <w:pPr>
        <w:pStyle w:val="Heading1"/>
      </w:pPr>
      <w:r>
        <w:t>Independent Claude prompt requirements</w:t>
      </w:r>
    </w:p>
    <w:p>
      <w:pPr>
        <w:pStyle w:val="ListBullet"/>
      </w:pPr>
      <w:r>
        <w:rPr>
          <w:rFonts w:ascii="Arial" w:hAnsi="Arial"/>
          <w:b w:val="0"/>
          <w:color w:val="000000"/>
          <w:sz w:val="21"/>
        </w:rPr>
        <w:t>Use an accessible synthetic fixture on the reviewed candidate</w:t>
      </w:r>
    </w:p>
    <w:p>
      <w:pPr>
        <w:pStyle w:val="ListBullet"/>
      </w:pPr>
      <w:r>
        <w:rPr>
          <w:rFonts w:ascii="Arial" w:hAnsi="Arial"/>
          <w:b w:val="0"/>
          <w:color w:val="000000"/>
          <w:sz w:val="21"/>
        </w:rPr>
        <w:t>No repository access, remediation or credentials in chat</w:t>
      </w:r>
    </w:p>
    <w:p>
      <w:pPr>
        <w:pStyle w:val="ListBullet"/>
      </w:pPr>
      <w:r>
        <w:rPr>
          <w:rFonts w:ascii="Arial" w:hAnsi="Arial"/>
          <w:b w:val="0"/>
          <w:color w:val="000000"/>
          <w:sz w:val="21"/>
        </w:rPr>
        <w:t>Verify multi-category VIP, non-VIP accessibility, event impact, precedence/resource conflict, staleness, roles, isolation, responsive accessibility and premium UX</w:t>
      </w:r>
    </w:p>
    <w:p>
      <w:pPr>
        <w:pStyle w:val="ListBullet"/>
      </w:pPr>
      <w:r>
        <w:rPr>
          <w:rFonts w:ascii="Arial" w:hAnsi="Arial"/>
          <w:b w:val="0"/>
          <w:color w:val="000000"/>
          <w:sz w:val="21"/>
        </w:rPr>
        <w:t>Return findings by severity and domain; consolidate technical-debt candidates</w:t>
      </w:r>
    </w:p>
    <w:p>
      <w:pPr>
        <w:pStyle w:val="ListBullet"/>
      </w:pPr>
      <w:r>
        <w:rPr>
          <w:rFonts w:ascii="Arial" w:hAnsi="Arial"/>
          <w:b w:val="0"/>
          <w:color w:val="000000"/>
          <w:sz w:val="21"/>
        </w:rPr>
        <w:t>End with final acceptance reserved to ChatGPT AI CTO</w:t>
      </w:r>
    </w:p>
    <w:p>
      <w:pPr>
        <w:pStyle w:val="Heading1"/>
      </w:pPr>
      <w:r>
        <w:t>Final programme boundary</w:t>
      </w:r>
    </w:p>
    <w:p>
      <w:r>
        <w:rPr>
          <w:rFonts w:ascii="Arial" w:hAnsi="Arial"/>
          <w:b w:val="0"/>
          <w:color w:val="000000"/>
          <w:sz w:val="21"/>
        </w:rPr>
        <w:t>Acceptance of EOS-S06B does not itself authorise EOS-S07, providers, real data or production. The CEO must explicitly authorise progression after blocker/high defects and agreed pre-S07 technical debt are closed or formally controlled.</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EOS-S06B-06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6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