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EOS S06C High Volume Guest List Intake</w:t>
      </w:r>
    </w:p>
    <w:p>
      <w:r>
        <w:rPr>
          <w:rFonts w:ascii="Arial" w:hAnsi="Arial"/>
          <w:b w:val="0"/>
          <w:color w:val="666666"/>
          <w:sz w:val="25"/>
        </w:rPr>
        <w:t>Ratification and programme authority</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5026"/>
        <w:gridCol w:w="5026"/>
      </w:tblGrid>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Control code</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EOS-S06C-00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Status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CEO RATIFICATION DRAFT</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programme position</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 after EOS-S06B and before EOS-S07</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Repository basis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main at 0a0be803f123e8326fb893db1e3562c724b70dd0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Production effect</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None until separately authorised</w:t>
            </w:r>
          </w:p>
        </w:tc>
      </w:tr>
    </w:tbl>
    <w:p/>
    <w:p>
      <w:pPr>
        <w:pStyle w:val="Heading1"/>
      </w:pPr>
      <w:r>
        <w:t>Decision requested</w:t>
      </w:r>
    </w:p>
    <w:p>
      <w:r>
        <w:rPr>
          <w:rFonts w:ascii="Arial" w:hAnsi="Arial"/>
          <w:b w:val="0"/>
          <w:color w:val="000000"/>
          <w:sz w:val="20"/>
        </w:rPr>
        <w:t>The CEO is asked to ratify EOS-S06C as a non-catalogue additive Event OS command. It converts the accepted EOS-S02 guest intake foundation into a production-grade, high-volume intake system. Ratification approves the specification and execution programme. It does not start implementation until the CEO separately authorises the Cursor programme.</w:t>
      </w:r>
    </w:p>
    <w:p>
      <w:pPr>
        <w:pStyle w:val="Heading1"/>
      </w:pPr>
      <w:r>
        <w:t>Reason for the insert</w:t>
      </w:r>
    </w:p>
    <w:p>
      <w:r>
        <w:rPr>
          <w:rFonts w:ascii="Arial" w:hAnsi="Arial"/>
          <w:b w:val="0"/>
          <w:color w:val="000000"/>
          <w:sz w:val="20"/>
        </w:rPr>
        <w:t>The CAP1000 exercise showed that seating can solve 1,000 synthetic guests in seconds while sequential intake through a remote tunnel can take more than an hour. Maison Doclar must measure the complete workflow from guest list receipt to a governed, usable directory. The intake path must therefore become a first-class product capability rather than a qualification script.</w:t>
      </w:r>
    </w:p>
    <w:p>
      <w:pPr>
        <w:pStyle w:val="Heading1"/>
      </w:pPr>
      <w:r>
        <w:t>Programme decision</w:t>
      </w:r>
    </w:p>
    <w:tbl>
      <w:tblPr>
        <w:tblStyle w:val="TableGrid"/>
        <w:tblW w:type="auto" w:w="0"/>
        <w:jc w:val="center"/>
        <w:tblLook w:firstColumn="1" w:firstRow="1" w:lastColumn="0" w:lastRow="0" w:noHBand="0" w:noVBand="1" w:val="04A0"/>
      </w:tblPr>
      <w:tblGrid>
        <w:gridCol w:w="5026"/>
        <w:gridCol w:w="5026"/>
      </w:tblGrid>
      <w:t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Decision</w:t>
            </w:r>
          </w:p>
        </w:tc>
        <w:tc>
          <w:tcPr>
            <w:tcW w:type="dxa" w:w="69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Proposed value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Programme identifier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EOS-S06C</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Title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High Volume Guest List Intake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Position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After EOS-S06B and before EOS-S07</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Canonical predecessor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Accepted EOS-S02 guest intake under MD-PR-S009</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Primary experience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 Intake Command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Initial qualification scale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1,000 guests with a forward qualification at 2,000</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Input formats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CSV and XLSX</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Authority posture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Ratification does not grant implementation authority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Production posture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productionAuthorised remains false; synthetic data only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Provider posture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 provider activation or communication</w:t>
            </w:r>
          </w:p>
        </w:tc>
      </w:tr>
    </w:tbl>
    <w:p/>
    <w:p>
      <w:pPr>
        <w:pStyle w:val="Heading1"/>
      </w:pPr>
      <w:r>
        <w:t>Scope</w:t>
      </w:r>
    </w:p>
    <w:p>
      <w:pPr>
        <w:pStyle w:val="ListBullet"/>
      </w:pPr>
      <w:r>
        <w:rPr>
          <w:rFonts w:ascii="Arial" w:hAnsi="Arial"/>
          <w:b w:val="0"/>
          <w:color w:val="000000"/>
          <w:sz w:val="20"/>
        </w:rPr>
        <w:t>File upload and immutable source evidence</w:t>
      </w:r>
    </w:p>
    <w:p>
      <w:pPr>
        <w:pStyle w:val="ListBullet"/>
      </w:pPr>
      <w:r>
        <w:rPr>
          <w:rFonts w:ascii="Arial" w:hAnsi="Arial"/>
          <w:b w:val="0"/>
          <w:color w:val="000000"/>
          <w:sz w:val="20"/>
        </w:rPr>
        <w:t>Column mapping and reusable mapping editions</w:t>
      </w:r>
    </w:p>
    <w:p>
      <w:pPr>
        <w:pStyle w:val="ListBullet"/>
      </w:pPr>
      <w:r>
        <w:rPr>
          <w:rFonts w:ascii="Arial" w:hAnsi="Arial"/>
          <w:b w:val="0"/>
          <w:color w:val="000000"/>
          <w:sz w:val="20"/>
        </w:rPr>
        <w:t>Server-side parse, normalisation, validation and duplicate analysis</w:t>
      </w:r>
    </w:p>
    <w:p>
      <w:pPr>
        <w:pStyle w:val="ListBullet"/>
      </w:pPr>
      <w:r>
        <w:rPr>
          <w:rFonts w:ascii="Arial" w:hAnsi="Arial"/>
          <w:b w:val="0"/>
          <w:color w:val="000000"/>
          <w:sz w:val="20"/>
        </w:rPr>
        <w:t>Staging, review, maker-checker approval and atomic promotion</w:t>
      </w:r>
    </w:p>
    <w:p>
      <w:pPr>
        <w:pStyle w:val="ListBullet"/>
      </w:pPr>
      <w:r>
        <w:rPr>
          <w:rFonts w:ascii="Arial" w:hAnsi="Arial"/>
          <w:b w:val="0"/>
          <w:color w:val="000000"/>
          <w:sz w:val="20"/>
        </w:rPr>
        <w:t>Checkpointed jobs with pause, retry, cancellation and recovery</w:t>
      </w:r>
    </w:p>
    <w:p>
      <w:pPr>
        <w:pStyle w:val="ListBullet"/>
      </w:pPr>
      <w:r>
        <w:rPr>
          <w:rFonts w:ascii="Arial" w:hAnsi="Arial"/>
          <w:b w:val="0"/>
          <w:color w:val="000000"/>
          <w:sz w:val="20"/>
        </w:rPr>
        <w:t>Row-level issues and downloadable correction file</w:t>
      </w:r>
    </w:p>
    <w:p>
      <w:pPr>
        <w:pStyle w:val="ListBullet"/>
      </w:pPr>
      <w:r>
        <w:rPr>
          <w:rFonts w:ascii="Arial" w:hAnsi="Arial"/>
          <w:b w:val="0"/>
          <w:color w:val="000000"/>
          <w:sz w:val="20"/>
        </w:rPr>
        <w:t>Import, update and unchanged decisions with explicit conflict handling</w:t>
      </w:r>
    </w:p>
    <w:p>
      <w:pPr>
        <w:pStyle w:val="ListBullet"/>
      </w:pPr>
      <w:r>
        <w:rPr>
          <w:rFonts w:ascii="Arial" w:hAnsi="Arial"/>
          <w:b w:val="0"/>
          <w:color w:val="000000"/>
          <w:sz w:val="20"/>
        </w:rPr>
        <w:t>Relationships, household and addressing handoffs without shadow models</w:t>
      </w:r>
    </w:p>
    <w:p>
      <w:pPr>
        <w:pStyle w:val="ListBullet"/>
      </w:pPr>
      <w:r>
        <w:rPr>
          <w:rFonts w:ascii="Arial" w:hAnsi="Arial"/>
          <w:b w:val="0"/>
          <w:color w:val="000000"/>
          <w:sz w:val="20"/>
        </w:rPr>
        <w:t>Progress, timing, throughput and operational observability</w:t>
      </w:r>
    </w:p>
    <w:p>
      <w:pPr>
        <w:pStyle w:val="ListBullet"/>
      </w:pPr>
      <w:r>
        <w:rPr>
          <w:rFonts w:ascii="Arial" w:hAnsi="Arial"/>
          <w:b w:val="0"/>
          <w:color w:val="000000"/>
          <w:sz w:val="20"/>
        </w:rPr>
        <w:t>Role-safe audit, retention, erasure and minimum-necessary views</w:t>
      </w:r>
    </w:p>
    <w:p>
      <w:pPr>
        <w:pStyle w:val="ListBullet"/>
      </w:pPr>
      <w:r>
        <w:rPr>
          <w:rFonts w:ascii="Arial" w:hAnsi="Arial"/>
          <w:b w:val="0"/>
          <w:color w:val="000000"/>
          <w:sz w:val="20"/>
        </w:rPr>
        <w:t>CAP1000 installation through the product intake engine</w:t>
      </w:r>
    </w:p>
    <w:p>
      <w:pPr>
        <w:pStyle w:val="ListBullet"/>
      </w:pPr>
      <w:r>
        <w:rPr>
          <w:rFonts w:ascii="Arial" w:hAnsi="Arial"/>
          <w:b w:val="0"/>
          <w:color w:val="000000"/>
          <w:sz w:val="20"/>
        </w:rPr>
        <w:t>Independent browser verification and performance qualification</w:t>
      </w:r>
    </w:p>
    <w:p>
      <w:pPr>
        <w:pStyle w:val="Heading1"/>
      </w:pPr>
      <w:r>
        <w:t>Exclusions</w:t>
      </w:r>
    </w:p>
    <w:p>
      <w:pPr>
        <w:pStyle w:val="ListBullet"/>
      </w:pPr>
      <w:r>
        <w:rPr>
          <w:rFonts w:ascii="Arial" w:hAnsi="Arial"/>
          <w:b w:val="0"/>
          <w:color w:val="000000"/>
          <w:sz w:val="20"/>
        </w:rPr>
        <w:t>No replacement guest directory</w:t>
      </w:r>
    </w:p>
    <w:p>
      <w:pPr>
        <w:pStyle w:val="ListBullet"/>
      </w:pPr>
      <w:r>
        <w:rPr>
          <w:rFonts w:ascii="Arial" w:hAnsi="Arial"/>
          <w:b w:val="0"/>
          <w:color w:val="000000"/>
          <w:sz w:val="20"/>
        </w:rPr>
        <w:t>No automatic person merge or silent duplicate resolution</w:t>
      </w:r>
    </w:p>
    <w:p>
      <w:pPr>
        <w:pStyle w:val="ListBullet"/>
      </w:pPr>
      <w:r>
        <w:rPr>
          <w:rFonts w:ascii="Arial" w:hAnsi="Arial"/>
          <w:b w:val="0"/>
          <w:color w:val="000000"/>
          <w:sz w:val="20"/>
        </w:rPr>
        <w:t>No overwrite of verified fields without governed review</w:t>
      </w:r>
    </w:p>
    <w:p>
      <w:pPr>
        <w:pStyle w:val="ListBullet"/>
      </w:pPr>
      <w:r>
        <w:rPr>
          <w:rFonts w:ascii="Arial" w:hAnsi="Arial"/>
          <w:b w:val="0"/>
          <w:color w:val="000000"/>
          <w:sz w:val="20"/>
        </w:rPr>
        <w:t>No inference of titles, religion, disability, nationality or other sensitive traits</w:t>
      </w:r>
    </w:p>
    <w:p>
      <w:pPr>
        <w:pStyle w:val="ListBullet"/>
      </w:pPr>
      <w:r>
        <w:rPr>
          <w:rFonts w:ascii="Arial" w:hAnsi="Arial"/>
          <w:b w:val="0"/>
          <w:color w:val="000000"/>
          <w:sz w:val="20"/>
        </w:rPr>
        <w:t>No RSVP, seating, entitlement, credential or communication decision from import alone</w:t>
      </w:r>
    </w:p>
    <w:p>
      <w:pPr>
        <w:pStyle w:val="ListBullet"/>
      </w:pPr>
      <w:r>
        <w:rPr>
          <w:rFonts w:ascii="Arial" w:hAnsi="Arial"/>
          <w:b w:val="0"/>
          <w:color w:val="000000"/>
          <w:sz w:val="20"/>
        </w:rPr>
        <w:t>No direct tunnel loader as an accepted operational path</w:t>
      </w:r>
    </w:p>
    <w:p>
      <w:pPr>
        <w:pStyle w:val="ListBullet"/>
      </w:pPr>
      <w:r>
        <w:rPr>
          <w:rFonts w:ascii="Arial" w:hAnsi="Arial"/>
          <w:b w:val="0"/>
          <w:color w:val="000000"/>
          <w:sz w:val="20"/>
        </w:rPr>
        <w:t>No real guest data, provider activation, Control Tower change or production authorisation</w:t>
      </w:r>
    </w:p>
    <w:p>
      <w:pPr>
        <w:pStyle w:val="ListBullet"/>
      </w:pPr>
      <w:r>
        <w:rPr>
          <w:rFonts w:ascii="Arial" w:hAnsi="Arial"/>
          <w:b w:val="0"/>
          <w:color w:val="000000"/>
          <w:sz w:val="20"/>
        </w:rPr>
        <w:t>No EOS-S07 work</w:t>
      </w:r>
    </w:p>
    <w:p>
      <w:pPr>
        <w:pStyle w:val="Heading1"/>
      </w:pPr>
      <w:r>
        <w:t>Authority</w:t>
      </w:r>
    </w:p>
    <w:p>
      <w:r>
        <w:rPr>
          <w:rFonts w:ascii="Arial" w:hAnsi="Arial"/>
          <w:b w:val="0"/>
          <w:color w:val="000000"/>
          <w:sz w:val="20"/>
        </w:rPr>
        <w:t>Documents 00 through 06 form the proposed canonical corpus. Document 01 controls compatibility. Document 02 controls product behaviour. Document 03 controls data, security and operating workflow. Document 04 controls assurance. Document 05 controls execution. Document 06 controls independent verification. Later accepted repository authority prevails where a conflict is discovered.</w:t>
      </w:r>
    </w:p>
    <w:p>
      <w:pPr>
        <w:pStyle w:val="Heading1"/>
      </w:pPr>
      <w:r>
        <w:t>Ratification record</w:t>
      </w:r>
    </w:p>
    <w:tbl>
      <w:tblPr>
        <w:tblStyle w:val="TableGrid"/>
        <w:tblW w:type="auto" w:w="0"/>
        <w:jc w:val="center"/>
        <w:tblLook w:firstColumn="1" w:firstRow="1" w:lastColumn="0" w:lastRow="0" w:noHBand="0" w:noVBand="1" w:val="04A0"/>
      </w:tblPr>
      <w:tblGrid>
        <w:gridCol w:w="5026"/>
        <w:gridCol w:w="5026"/>
      </w:tblGrid>
      <w:t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Field</w:t>
            </w:r>
          </w:p>
        </w:tc>
        <w:tc>
          <w:tcPr>
            <w:tcW w:type="dxa" w:w="69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CEO entry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Decision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RATIFY / RETURN FOR REVISION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Implementation authority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NOT GRANTED unless expressly stated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Conditions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Date and confirmation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r>
          </w:p>
        </w:tc>
      </w:tr>
    </w:tbl>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EOS-S06C-00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