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8"/>
        </w:rPr>
        <w:t>EOS S06C Current Intake Compatibility</w:t>
      </w:r>
    </w:p>
    <w:p>
      <w:r>
        <w:rPr>
          <w:rFonts w:ascii="Arial" w:hAnsi="Arial"/>
          <w:b w:val="0"/>
          <w:color w:val="666666"/>
          <w:sz w:val="25"/>
        </w:rPr>
        <w:t>Repository study and non conflict architecture</w:t>
      </w:r>
    </w:p>
    <w:p>
      <w:r>
        <w:rPr>
          <w:rFonts w:ascii="Arial" w:hAnsi="Arial"/>
          <w:b/>
          <w:color w:val="8B6E38"/>
          <w:sz w:val="20"/>
        </w:rPr>
        <w:t>Maison Doclar Event 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code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EOS-S06C-01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CEO RATIFICATION DRAFT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Proposed programme position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EOS-S06C after EOS-S06B and before EOS-S07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Repository basis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main at 0a0be803f123e8326fb893db1e3562c724b70dd0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Production effect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None until separately authorised</w:t>
            </w:r>
          </w:p>
        </w:tc>
      </w:tr>
    </w:tbl>
    <w:p/>
    <w:p>
      <w:pPr>
        <w:pStyle w:val="Heading1"/>
      </w:pPr>
      <w:r>
        <w:t>Finding</w:t>
      </w:r>
    </w:p>
    <w:p>
      <w:r>
        <w:rPr>
          <w:rFonts w:ascii="Arial" w:hAnsi="Arial"/>
          <w:b w:val="0"/>
          <w:color w:val="000000"/>
          <w:sz w:val="20"/>
        </w:rPr>
        <w:t>The repository already contains an accepted guest intake domain. EOS-S06C must extend it. The existing system is correct for small synchronous imports but is unsuitable for high-volume operational use because parsing, duplicate analysis, guest creation, row persistence and audit settlement occur within one synchronous snapshot mutation.</w:t>
      </w:r>
    </w:p>
    <w:p>
      <w:pPr>
        <w:pStyle w:val="Heading1"/>
      </w:pPr>
      <w:r>
        <w:t>Repository evidence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201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Current component</w:t>
            </w:r>
          </w:p>
        </w:tc>
        <w:tc>
          <w:tcPr>
            <w:tcW w:type="dxa" w:w="374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Observed contract</w:t>
            </w:r>
          </w:p>
        </w:tc>
        <w:tc>
          <w:tcPr>
            <w:tcW w:type="dxa" w:w="432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EOS-S06C treatment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OperationalGuest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Event-scoped record with qualified fields, provenance, lifecycle and identity resolution.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Retain as the only operational guest authority.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GuestIntakeBatch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Filename, mapping version, status and row/promoted/invalid counts.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Evolve additively with job, approval and reconciliation fields.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GuestIntakeRow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Raw values, issues, state and promotedGuestId.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Retain lineage; add normalised candidate and decision projections.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parseCanonicalCsv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Nine fixed columns and simple in-process parsing.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Retain v1 compatibility; add streaming CSV and XLSX adapters.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importGuests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One synchronous `mutate` parses and promotes all rows.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Supersede execution with staged job commands; keep a bounded compatibility wrapper.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GuestImportForm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User pastes CSV text into a textarea.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Replace with accessible upload, mapping, review and progress workflow.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Duplicate candidates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Exact/fuzzy candidates are raised without automatic merge.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Preserve human decision; precompute candidates in staging.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Permissions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`guest.intake.create` and existing event scope.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Reuse and split preview, approve, promote, cancel and export permissions where required.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Qualified unknowns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NOT_SUPPLIED, MISSING, UNVERIFIED and related states remain distinct.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Preserve exactly; never convert blank cells into confirmed facts.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Addressing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Structured EOS-S04A addressing is separate from basic guest fields.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Map explicitly through its accepted service and review rules.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RSVP and seating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Downstream domains consume canonical guest and RSVP truth.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Emit change/staleness events; do not write downstream decisions.</w:t>
            </w:r>
          </w:p>
        </w:tc>
      </w:tr>
    </w:tbl>
    <w:p/>
    <w:p>
      <w:pPr>
        <w:pStyle w:val="Heading1"/>
      </w:pPr>
      <w:r>
        <w:t>Historical Slice 2 reconciliation</w:t>
      </w:r>
    </w:p>
    <w:p>
      <w:r>
        <w:rPr>
          <w:rFonts w:ascii="Arial" w:hAnsi="Arial"/>
          <w:b w:val="0"/>
          <w:color w:val="000000"/>
          <w:sz w:val="20"/>
        </w:rPr>
        <w:t>The repository prompt register contains unexecuted S2-04 through S2-13 concepts for intake contracts, policy, files, quarantine, CSV, XLSX, durable jobs, mappings and normalisation. EOS-S06C adopts their relevant intent under current accepted architecture. Those historical prompts must not be executed independently after ratification. The EOS-S06C compatibility register must mark them incorporated, superseded or still excluded.</w:t>
      </w:r>
    </w:p>
    <w:p>
      <w:pPr>
        <w:pStyle w:val="Heading1"/>
      </w:pPr>
      <w:r>
        <w:t>Preserved invariants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OperationalGuest remains the sole guest record used by RSVP, Communications, Seating and Event Day projections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GuestReference remains distinct from OperationalGuest and no import creates a Person automatically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Duplicate candidates never merge guests automatically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Event, client and organisation scope is enforced at upload, job, row, approval and promotion boundaries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Verified fields require explicit conflict decisions and cannot be silently replaced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Addressing, parties, relationships, companion entitlements and responsible-adult links use their accepted services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Import provenance records actor, source, mapping edition, file hash, correlation and reason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Invalid rows remain unpromoted and available for correction evidence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Idempotency and optimistic concurrency remain required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Auditor and restricted roles cannot mutate</w:t>
      </w:r>
    </w:p>
    <w:p>
      <w:pPr>
        <w:pStyle w:val="Heading1"/>
      </w:pPr>
      <w:r>
        <w:t>Compatibility changes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216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Additive change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Batch lifecycle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UPLOADED, PARSING, MAPPING_REQUIRED, VALIDATING, NEEDS_REVIEW, READY_FOR_APPROVAL, APPROVED, PROMOTING, COMPLETED, COMPLETED_WITH_EXCEPTIONS, FAILED, PAUSED, CANCELLED, SUPERSEDED.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Row lifecycle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RAW, PARSED, INVALID, WARNING, DUPLICATE_REVIEW, CONFLICT_REVIEW, READY, PROMOTED, UPDATED, UNCHANGED, SKIPPED, FAILED.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Persistence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Normalized job, source file, mapping, row candidate, issue, decision, checkpoint and receipt repositories.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Execution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Server-side asynchronous job near Postgres; bounded transactions and checkpoint recovery.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Promotion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Atomic visibility boundary by approved edition; no partial list represented as complete.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Read model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Progress, totals, issue groups, timings and downstream impact.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Events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Versioned intake events that invalidate affected downstream projections without changing their authority.</w:t>
            </w:r>
          </w:p>
        </w:tc>
      </w:tr>
    </w:tbl>
    <w:p/>
    <w:p>
      <w:pPr>
        <w:pStyle w:val="Heading1"/>
      </w:pPr>
      <w:r>
        <w:t>Prohibited alternatives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A second guest table presented as authoritative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Direct database COPY into OperationalGuest without domain validation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Calling `intakeGuest` 1,000 times over a remote tunnel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One transaction holding the whole file and all downstream work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Unbounded Promise concurrency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A successful batch status before reconciliation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Deleting source evidence to hide failed rows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Treating CAP1000 as a special hard-coded route</w:t>
      </w:r>
    </w:p>
    <w:p>
      <w:pPr>
        <w:pStyle w:val="Heading1"/>
      </w:pPr>
      <w:r>
        <w:t>Compatibility acceptance</w:t>
      </w:r>
    </w:p>
    <w:p>
      <w:r>
        <w:rPr>
          <w:rFonts w:ascii="Arial" w:hAnsi="Arial"/>
          <w:b w:val="0"/>
          <w:color w:val="000000"/>
          <w:sz w:val="20"/>
        </w:rPr>
        <w:t>EOS-S06C is compatible only when existing manual intake and canonical CSV behaviour remain readable, accepted downstream domains receive the same OperationalGuest contract, and new high-volume paths add no competing source of truth.</w:t>
      </w:r>
    </w:p>
    <w:sectPr w:rsidR="00FC693F" w:rsidRPr="0006063C" w:rsidSect="00034616">
      <w:footerReference w:type="default" r:id="rId9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EOS-S06C-01  |  Maison Doclar  |  CEO Ratification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