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EOS S06C Data Security and Operating Workflow</w:t>
      </w:r>
    </w:p>
    <w:p>
      <w:r>
        <w:rPr>
          <w:rFonts w:ascii="Arial" w:hAnsi="Arial"/>
          <w:b w:val="0"/>
          <w:color w:val="666666"/>
          <w:sz w:val="25"/>
        </w:rPr>
        <w:t>Canonical job model permissions privacy and recovery</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5026"/>
        <w:gridCol w:w="5026"/>
      </w:tblGrid>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Control code</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EOS-S06C-03</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Status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CEO RATIFICATION DRAFT</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Proposed programme position</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 after EOS-S06B and before EOS-S07</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Repository basis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main at 0a0be803f123e8326fb893db1e3562c724b70dd0</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Production effect</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None until separately authorised</w:t>
            </w:r>
          </w:p>
        </w:tc>
      </w:tr>
    </w:tbl>
    <w:p/>
    <w:p>
      <w:pPr>
        <w:pStyle w:val="Heading1"/>
      </w:pPr>
      <w:r>
        <w:t>Domain records</w:t>
      </w:r>
    </w:p>
    <w:tbl>
      <w:tblPr>
        <w:tblStyle w:val="TableGrid"/>
        <w:tblW w:type="auto" w:w="0"/>
        <w:jc w:val="center"/>
        <w:tblLook w:firstColumn="1" w:firstRow="1" w:lastColumn="0" w:lastRow="0" w:noHBand="0" w:noVBand="1" w:val="04A0"/>
      </w:tblPr>
      <w:tblGrid>
        <w:gridCol w:w="5026"/>
        <w:gridCol w:w="5026"/>
      </w:tblGrid>
      <w:tr>
        <w:tc>
          <w:tcPr>
            <w:tcW w:type="dxa" w:w="237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Record</w:t>
            </w:r>
          </w:p>
        </w:tc>
        <w:tc>
          <w:tcPr>
            <w:tcW w:type="dxa" w:w="7704"/>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Purpose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GuestIntakeSource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Immutable file identity, hash, type, size, storage reference, scanner result and retention.</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GuestIntakeJob</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Event-scoped process identity, current state, progress, checkpoint and failure class.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GuestMappingEdition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Versioned source-to-canonical mapping and normalisation policy.</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GuestIntakeCandidate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Normalised proposed row separate from OperationalGuest.</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GuestIntakeIssue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Field or row issue with severity, rule, evidence and resolution state.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GuestMatchCandidate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Possible existing guest or person match; no automatic merge.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GuestFieldConflict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Existing and proposed value references, quality states and required authority.</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GuestIntakeDecision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Human row or field decision with maker-checker evidence.</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GuestPromotionChunk</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Bounded atomic unit, sequence, state, counts and checkpoint.</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GuestIntakeReceipt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Final reconciled totals, hashes, timings and downstream impacts.</w:t>
            </w:r>
          </w:p>
        </w:tc>
      </w:tr>
      <w:tr>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GuestIntakeEvent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Outbox event for downstream invalidation and read-model refresh.</w:t>
            </w:r>
          </w:p>
        </w:tc>
      </w:tr>
    </w:tbl>
    <w:p/>
    <w:p>
      <w:pPr>
        <w:pStyle w:val="Heading1"/>
      </w:pPr>
      <w:r>
        <w:t>Data ownership</w:t>
      </w:r>
    </w:p>
    <w:p>
      <w:r>
        <w:rPr>
          <w:rFonts w:ascii="Arial" w:hAnsi="Arial"/>
          <w:b w:val="0"/>
          <w:color w:val="000000"/>
          <w:sz w:val="20"/>
        </w:rPr>
        <w:t>Staging candidates are proposals. OperationalGuest remains authoritative only after approved promotion. GuestIntakeRow lineage remains durable. Addressing, party, relationship, companion and responsible-adult mutations call their accepted domain services or produce review tasks; import code does not reproduce their rules.</w:t>
      </w:r>
    </w:p>
    <w:p>
      <w:pPr>
        <w:pStyle w:val="Heading1"/>
      </w:pPr>
      <w:r>
        <w:t>Permissions</w:t>
      </w:r>
    </w:p>
    <w:tbl>
      <w:tblPr>
        <w:tblStyle w:val="TableGrid"/>
        <w:tblW w:type="auto" w:w="0"/>
        <w:jc w:val="center"/>
        <w:tblLook w:firstColumn="1" w:firstRow="1" w:lastColumn="0" w:lastRow="0" w:noHBand="0" w:noVBand="1" w:val="04A0"/>
      </w:tblPr>
      <w:tblGrid>
        <w:gridCol w:w="5026"/>
        <w:gridCol w:w="5026"/>
      </w:tblGrid>
      <w:tr>
        <w:tc>
          <w:tcPr>
            <w:tcW w:type="dxa" w:w="345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Capability</w:t>
            </w:r>
          </w:p>
        </w:tc>
        <w:tc>
          <w:tcPr>
            <w:tcW w:type="dxa" w:w="6624"/>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Minimum authority</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Upload and validate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Event-scoped guest intake creator</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Create mapping</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Authorised intake operator</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Resolve ordinary row issue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Authorised intake operator</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Resolve duplicate or verified-field conflict</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Designated reviewer with the existing domain permission</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Submit edition</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Maker</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Approve promotion</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Different authorised checker</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Promote or resume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Server job acting on the recorded approval</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Pause or cancel</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Event Director or configured intake controller</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View sensitive source values</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Minimum-necessary authorised role</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Export correction file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Explicit export permission with audit</w:t>
            </w:r>
          </w:p>
        </w:tc>
      </w:tr>
      <w:tr>
        <w:tc>
          <w:tcPr>
            <w:tcW w:type="dxa" w:w="345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Audit</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Read-Only Auditor sees evidence but cannot mutate</w:t>
            </w:r>
          </w:p>
        </w:tc>
      </w:tr>
    </w:tbl>
    <w:p/>
    <w:p>
      <w:pPr>
        <w:pStyle w:val="Heading1"/>
      </w:pPr>
      <w:r>
        <w:t>Privacy rules</w:t>
      </w:r>
    </w:p>
    <w:p>
      <w:pPr>
        <w:pStyle w:val="ListBullet"/>
      </w:pPr>
      <w:r>
        <w:rPr>
          <w:rFonts w:ascii="Arial" w:hAnsi="Arial"/>
          <w:b w:val="0"/>
          <w:color w:val="000000"/>
          <w:sz w:val="20"/>
        </w:rPr>
        <w:t>Encrypt source objects and database transport using existing platform controls</w:t>
      </w:r>
    </w:p>
    <w:p>
      <w:pPr>
        <w:pStyle w:val="ListBullet"/>
      </w:pPr>
      <w:r>
        <w:rPr>
          <w:rFonts w:ascii="Arial" w:hAnsi="Arial"/>
          <w:b w:val="0"/>
          <w:color w:val="000000"/>
          <w:sz w:val="20"/>
        </w:rPr>
        <w:t>Exclude raw file content and sensitive values from logs, traces, URLs, analytics and error messages</w:t>
      </w:r>
    </w:p>
    <w:p>
      <w:pPr>
        <w:pStyle w:val="ListBullet"/>
      </w:pPr>
      <w:r>
        <w:rPr>
          <w:rFonts w:ascii="Arial" w:hAnsi="Arial"/>
          <w:b w:val="0"/>
          <w:color w:val="000000"/>
          <w:sz w:val="20"/>
        </w:rPr>
        <w:t>Store file hash and safe metadata in audit rather than file content</w:t>
      </w:r>
    </w:p>
    <w:p>
      <w:pPr>
        <w:pStyle w:val="ListBullet"/>
      </w:pPr>
      <w:r>
        <w:rPr>
          <w:rFonts w:ascii="Arial" w:hAnsi="Arial"/>
          <w:b w:val="0"/>
          <w:color w:val="000000"/>
          <w:sz w:val="20"/>
        </w:rPr>
        <w:t>Separate sensitive source narrative from operational instructions</w:t>
      </w:r>
    </w:p>
    <w:p>
      <w:pPr>
        <w:pStyle w:val="ListBullet"/>
      </w:pPr>
      <w:r>
        <w:rPr>
          <w:rFonts w:ascii="Arial" w:hAnsi="Arial"/>
          <w:b w:val="0"/>
          <w:color w:val="000000"/>
          <w:sz w:val="20"/>
        </w:rPr>
        <w:t>Retain source and staging data only for the governed period and legal purpose</w:t>
      </w:r>
    </w:p>
    <w:p>
      <w:pPr>
        <w:pStyle w:val="ListBullet"/>
      </w:pPr>
      <w:r>
        <w:rPr>
          <w:rFonts w:ascii="Arial" w:hAnsi="Arial"/>
          <w:b w:val="0"/>
          <w:color w:val="000000"/>
          <w:sz w:val="20"/>
        </w:rPr>
        <w:t>Support event-scoped access revocation and approved erasure without damaging audit integrity</w:t>
      </w:r>
    </w:p>
    <w:p>
      <w:pPr>
        <w:pStyle w:val="ListBullet"/>
      </w:pPr>
      <w:r>
        <w:rPr>
          <w:rFonts w:ascii="Arial" w:hAnsi="Arial"/>
          <w:b w:val="0"/>
          <w:color w:val="000000"/>
          <w:sz w:val="20"/>
        </w:rPr>
        <w:t>Prevent spreadsheet formula injection in previews and exports</w:t>
      </w:r>
    </w:p>
    <w:p>
      <w:pPr>
        <w:pStyle w:val="ListBullet"/>
      </w:pPr>
      <w:r>
        <w:rPr>
          <w:rFonts w:ascii="Arial" w:hAnsi="Arial"/>
          <w:b w:val="0"/>
          <w:color w:val="000000"/>
          <w:sz w:val="20"/>
        </w:rPr>
        <w:t>Use synthetic reserved domains and phone ranges in all fixtures</w:t>
      </w:r>
    </w:p>
    <w:p>
      <w:pPr>
        <w:pStyle w:val="ListBullet"/>
      </w:pPr>
      <w:r>
        <w:rPr>
          <w:rFonts w:ascii="Arial" w:hAnsi="Arial"/>
          <w:b w:val="0"/>
          <w:color w:val="000000"/>
          <w:sz w:val="20"/>
        </w:rPr>
        <w:t>Never send a communication or activate a provider during intake</w:t>
      </w:r>
    </w:p>
    <w:p>
      <w:pPr>
        <w:pStyle w:val="Heading1"/>
      </w:pPr>
      <w:r>
        <w:t>Job execution model</w:t>
      </w:r>
    </w:p>
    <w:p>
      <w:pPr>
        <w:pStyle w:val="ListNumber"/>
      </w:pPr>
      <w:r>
        <w:rPr>
          <w:rFonts w:ascii="Arial" w:hAnsi="Arial"/>
          <w:b w:val="0"/>
          <w:color w:val="000000"/>
          <w:sz w:val="20"/>
        </w:rPr>
        <w:t>Web request records the upload and queues the job.</w:t>
      </w:r>
    </w:p>
    <w:p>
      <w:pPr>
        <w:pStyle w:val="ListNumber"/>
      </w:pPr>
      <w:r>
        <w:rPr>
          <w:rFonts w:ascii="Arial" w:hAnsi="Arial"/>
          <w:b w:val="0"/>
          <w:color w:val="000000"/>
          <w:sz w:val="20"/>
        </w:rPr>
        <w:t>A server-side worker claims the job with a renewable lease.</w:t>
      </w:r>
    </w:p>
    <w:p>
      <w:pPr>
        <w:pStyle w:val="ListNumber"/>
      </w:pPr>
      <w:r>
        <w:rPr>
          <w:rFonts w:ascii="Arial" w:hAnsi="Arial"/>
          <w:b w:val="0"/>
          <w:color w:val="000000"/>
          <w:sz w:val="20"/>
        </w:rPr>
        <w:t>Each stage reads from normalized repositories rather than loading the complete platform snapshot.</w:t>
      </w:r>
    </w:p>
    <w:p>
      <w:pPr>
        <w:pStyle w:val="ListNumber"/>
      </w:pPr>
      <w:r>
        <w:rPr>
          <w:rFonts w:ascii="Arial" w:hAnsi="Arial"/>
          <w:b w:val="0"/>
          <w:color w:val="000000"/>
          <w:sz w:val="20"/>
        </w:rPr>
        <w:t>Parsing streams records into staging.</w:t>
      </w:r>
    </w:p>
    <w:p>
      <w:pPr>
        <w:pStyle w:val="ListNumber"/>
      </w:pPr>
      <w:r>
        <w:rPr>
          <w:rFonts w:ascii="Arial" w:hAnsi="Arial"/>
          <w:b w:val="0"/>
          <w:color w:val="000000"/>
          <w:sz w:val="20"/>
        </w:rPr>
        <w:t>Validation works in bounded pages and writes issues in bulk.</w:t>
      </w:r>
    </w:p>
    <w:p>
      <w:pPr>
        <w:pStyle w:val="ListNumber"/>
      </w:pPr>
      <w:r>
        <w:rPr>
          <w:rFonts w:ascii="Arial" w:hAnsi="Arial"/>
          <w:b w:val="0"/>
          <w:color w:val="000000"/>
          <w:sz w:val="20"/>
        </w:rPr>
        <w:t>Promotion uses bounded chunks, typically 250 to 500 rows, based on measured transaction size.</w:t>
      </w:r>
    </w:p>
    <w:p>
      <w:pPr>
        <w:pStyle w:val="ListNumber"/>
      </w:pPr>
      <w:r>
        <w:rPr>
          <w:rFonts w:ascii="Arial" w:hAnsi="Arial"/>
          <w:b w:val="0"/>
          <w:color w:val="000000"/>
          <w:sz w:val="20"/>
        </w:rPr>
        <w:t>Every chunk checks event scope, edition hash, approval and checkpoint before mutation.</w:t>
      </w:r>
    </w:p>
    <w:p>
      <w:pPr>
        <w:pStyle w:val="ListNumber"/>
      </w:pPr>
      <w:r>
        <w:rPr>
          <w:rFonts w:ascii="Arial" w:hAnsi="Arial"/>
          <w:b w:val="0"/>
          <w:color w:val="000000"/>
          <w:sz w:val="20"/>
        </w:rPr>
        <w:t>An outbox records downstream changes inside the same transaction.</w:t>
      </w:r>
    </w:p>
    <w:p>
      <w:pPr>
        <w:pStyle w:val="ListNumber"/>
      </w:pPr>
      <w:r>
        <w:rPr>
          <w:rFonts w:ascii="Arial" w:hAnsi="Arial"/>
          <w:b w:val="0"/>
          <w:color w:val="000000"/>
          <w:sz w:val="20"/>
        </w:rPr>
        <w:t>A reconciler compares intended and settled effects before completion.</w:t>
      </w:r>
    </w:p>
    <w:p>
      <w:pPr>
        <w:pStyle w:val="ListNumber"/>
      </w:pPr>
      <w:r>
        <w:rPr>
          <w:rFonts w:ascii="Arial" w:hAnsi="Arial"/>
          <w:b w:val="0"/>
          <w:color w:val="000000"/>
          <w:sz w:val="20"/>
        </w:rPr>
        <w:t>A crashed worker resumes from the durable checkpoint without duplicating effects.</w:t>
      </w:r>
    </w:p>
    <w:p>
      <w:pPr>
        <w:pStyle w:val="Heading1"/>
      </w:pPr>
      <w:r>
        <w:t>Atomic visibility</w:t>
      </w:r>
    </w:p>
    <w:p>
      <w:r>
        <w:rPr>
          <w:rFonts w:ascii="Arial" w:hAnsi="Arial"/>
          <w:b w:val="0"/>
          <w:color w:val="000000"/>
          <w:sz w:val="20"/>
        </w:rPr>
        <w:t>The directory may show promoted guests as they settle only when the product clearly labels the intake as in progress and downstream consumers treat the edition as incomplete. The preferred design publishes the approved edition as current after reconciliation. The architecture decision must choose and test one rule; it must never present a partial import as a completed guest list.</w:t>
      </w:r>
    </w:p>
    <w:p>
      <w:pPr>
        <w:pStyle w:val="Heading1"/>
      </w:pPr>
      <w:r>
        <w:t>Failure and recovery</w:t>
      </w:r>
    </w:p>
    <w:tbl>
      <w:tblPr>
        <w:tblStyle w:val="TableGrid"/>
        <w:tblW w:type="auto" w:w="0"/>
        <w:jc w:val="center"/>
        <w:tblLook w:firstColumn="1" w:firstRow="1" w:lastColumn="0" w:lastRow="0" w:noHBand="0" w:noVBand="1" w:val="04A0"/>
      </w:tblPr>
      <w:tblGrid>
        <w:gridCol w:w="5026"/>
        <w:gridCol w:w="5026"/>
      </w:tblGrid>
      <w:tr>
        <w:tc>
          <w:tcPr>
            <w:tcW w:type="dxa" w:w="259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Failure</w:t>
            </w:r>
          </w:p>
        </w:tc>
        <w:tc>
          <w:tcPr>
            <w:tcW w:type="dxa" w:w="748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Required behaviour</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Malformed file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Reject or quarantine before promotion; explain the structural issue.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Worker crash</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Lease expires and a new worker resumes from the checkpoint.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Database timeout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Retry bounded transient failures; preserve idempotency.</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Mapping changed</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Create a new edition and invalidate prior validation.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Guest changed during review</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Raise a conflict and require revalidation; no last-write-wins.</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Approval expired or changed</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Stop promotion before the next chunk.</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Cancellation</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Stop at a safe boundary and issue a truthful cancellation receipt.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Partial chunk failure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Roll back that chunk; do not advance the checkpoint.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Downstream event failure</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Use durable outbox retry; do not undo valid guest truth.</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Reconciliation mismatch</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Mark failed and block completion until corrected.</w:t>
            </w:r>
          </w:p>
        </w:tc>
      </w:tr>
    </w:tbl>
    <w:p/>
    <w:p>
      <w:pPr>
        <w:pStyle w:val="Heading1"/>
      </w:pPr>
      <w:r>
        <w:t>CAP1000 recovery</w:t>
      </w:r>
    </w:p>
    <w:p>
      <w:r>
        <w:rPr>
          <w:rFonts w:ascii="Arial" w:hAnsi="Arial"/>
          <w:b w:val="0"/>
          <w:color w:val="000000"/>
          <w:sz w:val="20"/>
        </w:rPr>
        <w:t>The incomplete synthetic CAP1000 event must not be continued through the sequential tunnel loader. Under separate execution authority, Cursor must identify the exact synthetic event, prove its provenance, and choose a recoverable cleanup or supersession method. The completed CAP1000 fixture must then be loaded through EOS-S06C and carry a receipt proving 1,000 guests, 110 tables and the approved synthetic corpus identity.</w:t>
      </w:r>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EOS-S06C-03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