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EOS S06C Assurance and Acceptance</w:t>
      </w:r>
    </w:p>
    <w:p>
      <w:r>
        <w:rPr>
          <w:rFonts w:ascii="Arial" w:hAnsi="Arial"/>
          <w:b w:val="0"/>
          <w:color w:val="666666"/>
          <w:sz w:val="25"/>
        </w:rPr>
        <w:t>Evidence performance and independent verification</w:t>
      </w:r>
    </w:p>
    <w:p>
      <w:r>
        <w:rPr>
          <w:rFonts w:ascii="Arial" w:hAnsi="Arial"/>
          <w:b/>
          <w:color w:val="8B6E38"/>
          <w:sz w:val="20"/>
        </w:rPr>
        <w:t>Maison Doclar Event OS</w:t>
      </w:r>
    </w:p>
    <w:tbl>
      <w:tblPr>
        <w:tblW w:type="auto" w:w="0"/>
        <w:jc w:val="left"/>
        <w:tblLook w:firstColumn="1" w:firstRow="1" w:lastColumn="0" w:lastRow="0" w:noHBand="0" w:noVBand="1" w:val="04A0"/>
      </w:tblPr>
      <w:tblGrid>
        <w:gridCol w:w="5026"/>
        <w:gridCol w:w="5026"/>
      </w:tblGrid>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Control code</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EOS-S06C-04</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Status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CEO RATIFICATION DRAFT</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Proposed programme position</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EOS-S06C after EOS-S06B and before EOS-S07</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Repository basis</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main at 0a0be803f123e8326fb893db1e3562c724b70dd0</w:t>
            </w:r>
          </w:p>
        </w:tc>
      </w:tr>
      <w:tr>
        <w:tc>
          <w:tcPr>
            <w:tcW w:type="dxa" w:w="5026"/>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7"/>
              </w:rPr>
              <w:t>Production effect</w:t>
            </w:r>
          </w:p>
        </w:tc>
        <w:tc>
          <w:tcPr>
            <w:tcW w:type="dxa" w:w="5026"/>
            <w:shd w:fill="F4F1EA"/>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7"/>
              </w:rPr>
              <w:t>None until separately authorised</w:t>
            </w:r>
          </w:p>
        </w:tc>
      </w:tr>
    </w:tbl>
    <w:p/>
    <w:p>
      <w:pPr>
        <w:pStyle w:val="Heading1"/>
      </w:pPr>
      <w:r>
        <w:t>Acceptance principle</w:t>
      </w:r>
    </w:p>
    <w:p>
      <w:r>
        <w:rPr>
          <w:rFonts w:ascii="Arial" w:hAnsi="Arial"/>
          <w:b w:val="0"/>
          <w:color w:val="000000"/>
          <w:sz w:val="20"/>
        </w:rPr>
        <w:t>Acceptance covers the complete workflow from file receipt to a reconciled guest directory. Parser speed or seating solve time alone cannot satisfy the gate.</w:t>
      </w:r>
    </w:p>
    <w:p>
      <w:pPr>
        <w:pStyle w:val="Heading1"/>
      </w:pPr>
      <w:r>
        <w:t>Required gates</w:t>
      </w:r>
    </w:p>
    <w:tbl>
      <w:tblPr>
        <w:tblStyle w:val="TableGrid"/>
        <w:tblW w:type="auto" w:w="0"/>
        <w:jc w:val="center"/>
        <w:tblLook w:firstColumn="1" w:firstRow="1" w:lastColumn="0" w:lastRow="0" w:noHBand="0" w:noVBand="1" w:val="04A0"/>
      </w:tblPr>
      <w:tblGrid>
        <w:gridCol w:w="5026"/>
        <w:gridCol w:w="5026"/>
      </w:tblGrid>
      <w:tr>
        <w:tc>
          <w:tcPr>
            <w:tcW w:type="dxa" w:w="1512"/>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Gate</w:t>
            </w:r>
          </w:p>
        </w:tc>
        <w:tc>
          <w:tcPr>
            <w:tcW w:type="dxa" w:w="8568"/>
            <w:shd w:fill="262626"/>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color w:val="FFFFFF"/>
                <w:sz w:val="16"/>
              </w:rPr>
              <w:t>Evidence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A01 Existing contract preservation</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EOS-S02 manual intake, CSV v1, qualified fields and directory regression.</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A02 CSV correctness</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Quoted fields, Unicode, blank values, unknown columns, malformed rows and large files.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A03 XLSX correctness</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Sheet selection, formulas treated as values, macros rejected and external links ignored.</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A04 Mapping governance</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Versioning, preview, change invalidation, templates and event isolation.</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A05 Staging separation</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No OperationalGuest mutation before approved promotion.</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A06 Duplicate safety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Candidates raised; no automatic merge; keep-separate and link decisions durable.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A07 Verified-field safety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No silent overwrite; maker-checker and pending verification state.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A08 Relationship compatibility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Household, addressing, party, companion and child controls remain authoritative.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A09 Idempotency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Upload, job, row, chunk, promotion and replay cause no duplicate effects.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A10 Recovery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Crash, timeout, lease expiry, pause, resume, cancel and retry.</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A11 Reconciliation</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All counts, hashes, audit entries and outbox events balance.</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A12 Role enforcement</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Maker-checker, Auditor denial, direct-route denial and event isolation.</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A13 Privacy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No secrets, real PII, formula injection or raw sensitive logging.</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A14 Accessibility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Keyboard, focus, labels, progress announcements, virtualised table alternative and viewports.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A15 Performance 1000</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Complete workflow meets the 1,000-row targets.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A16 Performance 2000</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Forward-scale qualification meets the 2,000-row target.</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A17 Concurrency</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Two event imports remain isolated with bounded database load.</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A18 Downstream truth</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RSVP, seating and communications consume only canonical promoted truth.</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A19 CAP1000 proof</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tcPr>
          <w:p>
            <w:r>
              <w:rPr>
                <w:rFonts w:ascii="Arial" w:hAnsi="Arial"/>
                <w:b w:val="0"/>
                <w:color w:val="000000"/>
                <w:sz w:val="16"/>
              </w:rPr>
              <w:t>Product engine installs and reconciles the exact synthetic CAP1000 corpus.</w:t>
            </w:r>
          </w:p>
        </w:tc>
      </w:tr>
      <w:tr>
        <w:tc>
          <w:tcPr>
            <w:tcW w:type="dxa" w:w="1512"/>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A20 Independent verification</w:t>
            </w:r>
          </w:p>
        </w:tc>
        <w:tc>
          <w:tcPr>
            <w:tcW w:type="dxa" w:w="8568"/>
            <w:tcBorders>
              <w:top w:val="single" w:sz="4" w:color="D9D9D9"/>
              <w:left w:val="single" w:sz="4" w:color="D9D9D9"/>
              <w:bottom w:val="single" w:sz="4" w:color="D9D9D9"/>
              <w:right w:val="single" w:sz="4" w:color="D9D9D9"/>
              <w:insideH w:val="single" w:sz="4" w:color="D9D9D9"/>
              <w:insideV w:val="single" w:sz="4" w:color="D9D9D9"/>
            </w:tcBorders>
            <w:vAlign w:val="center"/>
            <w:shd w:fill="FAFAFA"/>
          </w:tcPr>
          <w:p>
            <w:r>
              <w:rPr>
                <w:rFonts w:ascii="Arial" w:hAnsi="Arial"/>
                <w:b w:val="0"/>
                <w:color w:val="000000"/>
                <w:sz w:val="16"/>
              </w:rPr>
              <w:t>Claude completes prescribed browser journeys with accessible fixtures.</w:t>
            </w:r>
          </w:p>
        </w:tc>
      </w:tr>
    </w:tbl>
    <w:p/>
    <w:p>
      <w:pPr>
        <w:pStyle w:val="Heading1"/>
      </w:pPr>
      <w:r>
        <w:t>Qualification corpus</w:t>
      </w:r>
    </w:p>
    <w:p>
      <w:pPr>
        <w:pStyle w:val="ListBullet"/>
      </w:pPr>
      <w:r>
        <w:rPr>
          <w:rFonts w:ascii="Arial" w:hAnsi="Arial"/>
          <w:b w:val="0"/>
          <w:color w:val="000000"/>
          <w:sz w:val="20"/>
        </w:rPr>
        <w:t>Clean 1,000-row CSV</w:t>
      </w:r>
    </w:p>
    <w:p>
      <w:pPr>
        <w:pStyle w:val="ListBullet"/>
      </w:pPr>
      <w:r>
        <w:rPr>
          <w:rFonts w:ascii="Arial" w:hAnsi="Arial"/>
          <w:b w:val="0"/>
          <w:color w:val="000000"/>
          <w:sz w:val="20"/>
        </w:rPr>
        <w:t>Clean 1,000-row XLSX</w:t>
      </w:r>
    </w:p>
    <w:p>
      <w:pPr>
        <w:pStyle w:val="ListBullet"/>
      </w:pPr>
      <w:r>
        <w:rPr>
          <w:rFonts w:ascii="Arial" w:hAnsi="Arial"/>
          <w:b w:val="0"/>
          <w:color w:val="000000"/>
          <w:sz w:val="20"/>
        </w:rPr>
        <w:t>Mixed 1,000-row file with warnings, invalid rows, duplicates and verified-field conflicts</w:t>
      </w:r>
    </w:p>
    <w:p>
      <w:pPr>
        <w:pStyle w:val="ListBullet"/>
      </w:pPr>
      <w:r>
        <w:rPr>
          <w:rFonts w:ascii="Arial" w:hAnsi="Arial"/>
          <w:b w:val="0"/>
          <w:color w:val="000000"/>
          <w:sz w:val="20"/>
        </w:rPr>
        <w:t>2,000-row forward-scale file</w:t>
      </w:r>
    </w:p>
    <w:p>
      <w:pPr>
        <w:pStyle w:val="ListBullet"/>
      </w:pPr>
      <w:r>
        <w:rPr>
          <w:rFonts w:ascii="Arial" w:hAnsi="Arial"/>
          <w:b w:val="0"/>
          <w:color w:val="000000"/>
          <w:sz w:val="20"/>
        </w:rPr>
        <w:t>Unicode names and diacritics</w:t>
      </w:r>
    </w:p>
    <w:p>
      <w:pPr>
        <w:pStyle w:val="ListBullet"/>
      </w:pPr>
      <w:r>
        <w:rPr>
          <w:rFonts w:ascii="Arial" w:hAnsi="Arial"/>
          <w:b w:val="0"/>
          <w:color w:val="000000"/>
          <w:sz w:val="20"/>
        </w:rPr>
        <w:t>Households, optional contact data and explicit accessibility requirements</w:t>
      </w:r>
    </w:p>
    <w:p>
      <w:pPr>
        <w:pStyle w:val="ListBullet"/>
      </w:pPr>
      <w:r>
        <w:rPr>
          <w:rFonts w:ascii="Arial" w:hAnsi="Arial"/>
          <w:b w:val="0"/>
          <w:color w:val="000000"/>
          <w:sz w:val="20"/>
        </w:rPr>
        <w:t>Deliberately malicious formula cells and oversized values</w:t>
      </w:r>
    </w:p>
    <w:p>
      <w:pPr>
        <w:pStyle w:val="ListBullet"/>
      </w:pPr>
      <w:r>
        <w:rPr>
          <w:rFonts w:ascii="Arial" w:hAnsi="Arial"/>
          <w:b w:val="0"/>
          <w:color w:val="000000"/>
          <w:sz w:val="20"/>
        </w:rPr>
        <w:t>Cross-event identifiers and duplicate idempotency keys</w:t>
      </w:r>
    </w:p>
    <w:p>
      <w:pPr>
        <w:pStyle w:val="ListBullet"/>
      </w:pPr>
      <w:r>
        <w:rPr>
          <w:rFonts w:ascii="Arial" w:hAnsi="Arial"/>
          <w:b w:val="0"/>
          <w:color w:val="000000"/>
          <w:sz w:val="20"/>
        </w:rPr>
        <w:t>Interrupted promotion and stale approval</w:t>
      </w:r>
    </w:p>
    <w:p>
      <w:pPr>
        <w:pStyle w:val="ListBullet"/>
      </w:pPr>
      <w:r>
        <w:rPr>
          <w:rFonts w:ascii="Arial" w:hAnsi="Arial"/>
          <w:b w:val="0"/>
          <w:color w:val="000000"/>
          <w:sz w:val="20"/>
        </w:rPr>
        <w:t>Two concurrent imports for separate events</w:t>
      </w:r>
    </w:p>
    <w:p>
      <w:pPr>
        <w:pStyle w:val="Heading1"/>
      </w:pPr>
      <w:r>
        <w:t>Measured timings</w:t>
      </w:r>
    </w:p>
    <w:p>
      <w:pPr>
        <w:pStyle w:val="ListBullet"/>
      </w:pPr>
      <w:r>
        <w:rPr>
          <w:rFonts w:ascii="Arial" w:hAnsi="Arial"/>
          <w:b w:val="0"/>
          <w:color w:val="000000"/>
          <w:sz w:val="20"/>
        </w:rPr>
        <w:t>Upload acknowledgement</w:t>
      </w:r>
    </w:p>
    <w:p>
      <w:pPr>
        <w:pStyle w:val="ListBullet"/>
      </w:pPr>
      <w:r>
        <w:rPr>
          <w:rFonts w:ascii="Arial" w:hAnsi="Arial"/>
          <w:b w:val="0"/>
          <w:color w:val="000000"/>
          <w:sz w:val="20"/>
        </w:rPr>
        <w:t>Source persistence and scan</w:t>
      </w:r>
    </w:p>
    <w:p>
      <w:pPr>
        <w:pStyle w:val="ListBullet"/>
      </w:pPr>
      <w:r>
        <w:rPr>
          <w:rFonts w:ascii="Arial" w:hAnsi="Arial"/>
          <w:b w:val="0"/>
          <w:color w:val="000000"/>
          <w:sz w:val="20"/>
        </w:rPr>
        <w:t>Parse duration and rows per second</w:t>
      </w:r>
    </w:p>
    <w:p>
      <w:pPr>
        <w:pStyle w:val="ListBullet"/>
      </w:pPr>
      <w:r>
        <w:rPr>
          <w:rFonts w:ascii="Arial" w:hAnsi="Arial"/>
          <w:b w:val="0"/>
          <w:color w:val="000000"/>
          <w:sz w:val="20"/>
        </w:rPr>
        <w:t>Normalisation and validation duration</w:t>
      </w:r>
    </w:p>
    <w:p>
      <w:pPr>
        <w:pStyle w:val="ListBullet"/>
      </w:pPr>
      <w:r>
        <w:rPr>
          <w:rFonts w:ascii="Arial" w:hAnsi="Arial"/>
          <w:b w:val="0"/>
          <w:color w:val="000000"/>
          <w:sz w:val="20"/>
        </w:rPr>
        <w:t>Duplicate candidate analysis</w:t>
      </w:r>
    </w:p>
    <w:p>
      <w:pPr>
        <w:pStyle w:val="ListBullet"/>
      </w:pPr>
      <w:r>
        <w:rPr>
          <w:rFonts w:ascii="Arial" w:hAnsi="Arial"/>
          <w:b w:val="0"/>
          <w:color w:val="000000"/>
          <w:sz w:val="20"/>
        </w:rPr>
        <w:t>Human-review wait reported separately</w:t>
      </w:r>
    </w:p>
    <w:p>
      <w:pPr>
        <w:pStyle w:val="ListBullet"/>
      </w:pPr>
      <w:r>
        <w:rPr>
          <w:rFonts w:ascii="Arial" w:hAnsi="Arial"/>
          <w:b w:val="0"/>
          <w:color w:val="000000"/>
          <w:sz w:val="20"/>
        </w:rPr>
        <w:t>Approval acknowledgement</w:t>
      </w:r>
    </w:p>
    <w:p>
      <w:pPr>
        <w:pStyle w:val="ListBullet"/>
      </w:pPr>
      <w:r>
        <w:rPr>
          <w:rFonts w:ascii="Arial" w:hAnsi="Arial"/>
          <w:b w:val="0"/>
          <w:color w:val="000000"/>
          <w:sz w:val="20"/>
        </w:rPr>
        <w:t>Promotion duration and rows per second</w:t>
      </w:r>
    </w:p>
    <w:p>
      <w:pPr>
        <w:pStyle w:val="ListBullet"/>
      </w:pPr>
      <w:r>
        <w:rPr>
          <w:rFonts w:ascii="Arial" w:hAnsi="Arial"/>
          <w:b w:val="0"/>
          <w:color w:val="000000"/>
          <w:sz w:val="20"/>
        </w:rPr>
        <w:t>Reconciliation and downstream event duration</w:t>
      </w:r>
    </w:p>
    <w:p>
      <w:pPr>
        <w:pStyle w:val="ListBullet"/>
      </w:pPr>
      <w:r>
        <w:rPr>
          <w:rFonts w:ascii="Arial" w:hAnsi="Arial"/>
          <w:b w:val="0"/>
          <w:color w:val="000000"/>
          <w:sz w:val="20"/>
        </w:rPr>
        <w:t>End-to-end machine time excluding human review</w:t>
      </w:r>
    </w:p>
    <w:p>
      <w:pPr>
        <w:pStyle w:val="ListBullet"/>
      </w:pPr>
      <w:r>
        <w:rPr>
          <w:rFonts w:ascii="Arial" w:hAnsi="Arial"/>
          <w:b w:val="0"/>
          <w:color w:val="000000"/>
          <w:sz w:val="20"/>
        </w:rPr>
        <w:t>Peak heap, process memory and database load</w:t>
      </w:r>
    </w:p>
    <w:p>
      <w:pPr>
        <w:pStyle w:val="ListBullet"/>
      </w:pPr>
      <w:r>
        <w:rPr>
          <w:rFonts w:ascii="Arial" w:hAnsi="Arial"/>
          <w:b w:val="0"/>
          <w:color w:val="000000"/>
          <w:sz w:val="20"/>
        </w:rPr>
        <w:t>Cold, warm, p50, p95, p99 and maximum where sample size supports them</w:t>
      </w:r>
    </w:p>
    <w:p>
      <w:pPr>
        <w:pStyle w:val="Heading1"/>
      </w:pPr>
      <w:r>
        <w:t>Zero tolerance failures</w:t>
      </w:r>
    </w:p>
    <w:p>
      <w:pPr>
        <w:pStyle w:val="ListBullet"/>
      </w:pPr>
      <w:r>
        <w:rPr>
          <w:rFonts w:ascii="Arial" w:hAnsi="Arial"/>
          <w:b w:val="0"/>
          <w:color w:val="000000"/>
          <w:sz w:val="20"/>
        </w:rPr>
        <w:t>Cross-event disclosure or mutation</w:t>
      </w:r>
    </w:p>
    <w:p>
      <w:pPr>
        <w:pStyle w:val="ListBullet"/>
      </w:pPr>
      <w:r>
        <w:rPr>
          <w:rFonts w:ascii="Arial" w:hAnsi="Arial"/>
          <w:b w:val="0"/>
          <w:color w:val="000000"/>
          <w:sz w:val="20"/>
        </w:rPr>
        <w:t>Real guest data in tests</w:t>
      </w:r>
    </w:p>
    <w:p>
      <w:pPr>
        <w:pStyle w:val="ListBullet"/>
      </w:pPr>
      <w:r>
        <w:rPr>
          <w:rFonts w:ascii="Arial" w:hAnsi="Arial"/>
          <w:b w:val="0"/>
          <w:color w:val="000000"/>
          <w:sz w:val="20"/>
        </w:rPr>
        <w:t>Automatic duplicate merge</w:t>
      </w:r>
    </w:p>
    <w:p>
      <w:pPr>
        <w:pStyle w:val="ListBullet"/>
      </w:pPr>
      <w:r>
        <w:rPr>
          <w:rFonts w:ascii="Arial" w:hAnsi="Arial"/>
          <w:b w:val="0"/>
          <w:color w:val="000000"/>
          <w:sz w:val="20"/>
        </w:rPr>
        <w:t>Silent overwrite of verified truth</w:t>
      </w:r>
    </w:p>
    <w:p>
      <w:pPr>
        <w:pStyle w:val="ListBullet"/>
      </w:pPr>
      <w:r>
        <w:rPr>
          <w:rFonts w:ascii="Arial" w:hAnsi="Arial"/>
          <w:b w:val="0"/>
          <w:color w:val="000000"/>
          <w:sz w:val="20"/>
        </w:rPr>
        <w:t>Partial job represented as complete</w:t>
      </w:r>
    </w:p>
    <w:p>
      <w:pPr>
        <w:pStyle w:val="ListBullet"/>
      </w:pPr>
      <w:r>
        <w:rPr>
          <w:rFonts w:ascii="Arial" w:hAnsi="Arial"/>
          <w:b w:val="0"/>
          <w:color w:val="000000"/>
          <w:sz w:val="20"/>
        </w:rPr>
        <w:t>Guest, row or audit duplication on replay</w:t>
      </w:r>
    </w:p>
    <w:p>
      <w:pPr>
        <w:pStyle w:val="ListBullet"/>
      </w:pPr>
      <w:r>
        <w:rPr>
          <w:rFonts w:ascii="Arial" w:hAnsi="Arial"/>
          <w:b w:val="0"/>
          <w:color w:val="000000"/>
          <w:sz w:val="20"/>
        </w:rPr>
        <w:t>Loss of invalid or skipped row evidence</w:t>
      </w:r>
    </w:p>
    <w:p>
      <w:pPr>
        <w:pStyle w:val="ListBullet"/>
      </w:pPr>
      <w:r>
        <w:rPr>
          <w:rFonts w:ascii="Arial" w:hAnsi="Arial"/>
          <w:b w:val="0"/>
          <w:color w:val="000000"/>
          <w:sz w:val="20"/>
        </w:rPr>
        <w:t>External communication or provider effect</w:t>
      </w:r>
    </w:p>
    <w:p>
      <w:pPr>
        <w:pStyle w:val="ListBullet"/>
      </w:pPr>
      <w:r>
        <w:rPr>
          <w:rFonts w:ascii="Arial" w:hAnsi="Arial"/>
          <w:b w:val="0"/>
          <w:color w:val="000000"/>
          <w:sz w:val="20"/>
        </w:rPr>
        <w:t>Auditor mutation</w:t>
      </w:r>
    </w:p>
    <w:p>
      <w:pPr>
        <w:pStyle w:val="ListBullet"/>
      </w:pPr>
      <w:r>
        <w:rPr>
          <w:rFonts w:ascii="Arial" w:hAnsi="Arial"/>
          <w:b w:val="0"/>
          <w:color w:val="000000"/>
          <w:sz w:val="20"/>
        </w:rPr>
        <w:t>Unrecoverable worker crash</w:t>
      </w:r>
    </w:p>
    <w:p>
      <w:pPr>
        <w:pStyle w:val="ListBullet"/>
      </w:pPr>
      <w:r>
        <w:rPr>
          <w:rFonts w:ascii="Arial" w:hAnsi="Arial"/>
          <w:b w:val="0"/>
          <w:color w:val="000000"/>
          <w:sz w:val="20"/>
        </w:rPr>
        <w:t>Unbounded memory or database pressure</w:t>
      </w:r>
    </w:p>
    <w:p>
      <w:pPr>
        <w:pStyle w:val="ListBullet"/>
      </w:pPr>
      <w:r>
        <w:rPr>
          <w:rFonts w:ascii="Arial" w:hAnsi="Arial"/>
          <w:b w:val="0"/>
          <w:color w:val="000000"/>
          <w:sz w:val="20"/>
        </w:rPr>
        <w:t>Acceptance claim without accessible browser evidence</w:t>
      </w:r>
    </w:p>
    <w:p>
      <w:pPr>
        <w:pStyle w:val="Heading1"/>
      </w:pPr>
      <w:r>
        <w:t>Focused assurance</w:t>
      </w:r>
    </w:p>
    <w:p>
      <w:r>
        <w:rPr>
          <w:rFonts w:ascii="Arial" w:hAnsi="Arial"/>
          <w:b w:val="0"/>
          <w:color w:val="000000"/>
          <w:sz w:val="20"/>
        </w:rPr>
        <w:t>Cursor must use focused unit, repository, PostgreSQL, job recovery, permission and browser suites. It must not rerun unrelated historical monoliths. Expensive scale runs should be executed once per materially changed engine, with smaller boundary tests after documentation or presentation-only changes.</w:t>
      </w:r>
    </w:p>
    <w:p>
      <w:pPr>
        <w:pStyle w:val="Heading1"/>
      </w:pPr>
      <w:r>
        <w:t>Independent Claude scope</w:t>
      </w:r>
    </w:p>
    <w:p>
      <w:pPr>
        <w:pStyle w:val="ListBullet"/>
      </w:pPr>
      <w:r>
        <w:rPr>
          <w:rFonts w:ascii="Arial" w:hAnsi="Arial"/>
          <w:b w:val="0"/>
          <w:color w:val="000000"/>
          <w:sz w:val="20"/>
        </w:rPr>
        <w:t>Upload and map a synthetic file</w:t>
      </w:r>
    </w:p>
    <w:p>
      <w:pPr>
        <w:pStyle w:val="ListBullet"/>
      </w:pPr>
      <w:r>
        <w:rPr>
          <w:rFonts w:ascii="Arial" w:hAnsi="Arial"/>
          <w:b w:val="0"/>
          <w:color w:val="000000"/>
          <w:sz w:val="20"/>
        </w:rPr>
        <w:t>Review issue totals and row evidence</w:t>
      </w:r>
    </w:p>
    <w:p>
      <w:pPr>
        <w:pStyle w:val="ListBullet"/>
      </w:pPr>
      <w:r>
        <w:rPr>
          <w:rFonts w:ascii="Arial" w:hAnsi="Arial"/>
          <w:b w:val="0"/>
          <w:color w:val="000000"/>
          <w:sz w:val="20"/>
        </w:rPr>
        <w:t>Resolve a safe ordinary issue and observe a protected conflict</w:t>
      </w:r>
    </w:p>
    <w:p>
      <w:pPr>
        <w:pStyle w:val="ListBullet"/>
      </w:pPr>
      <w:r>
        <w:rPr>
          <w:rFonts w:ascii="Arial" w:hAnsi="Arial"/>
          <w:b w:val="0"/>
          <w:color w:val="000000"/>
          <w:sz w:val="20"/>
        </w:rPr>
        <w:t>Submit and approve with separate roles</w:t>
      </w:r>
    </w:p>
    <w:p>
      <w:pPr>
        <w:pStyle w:val="ListBullet"/>
      </w:pPr>
      <w:r>
        <w:rPr>
          <w:rFonts w:ascii="Arial" w:hAnsi="Arial"/>
          <w:b w:val="0"/>
          <w:color w:val="000000"/>
          <w:sz w:val="20"/>
        </w:rPr>
        <w:t>Observe progress, pause or recovery where safely prepared</w:t>
      </w:r>
    </w:p>
    <w:p>
      <w:pPr>
        <w:pStyle w:val="ListBullet"/>
      </w:pPr>
      <w:r>
        <w:rPr>
          <w:rFonts w:ascii="Arial" w:hAnsi="Arial"/>
          <w:b w:val="0"/>
          <w:color w:val="000000"/>
          <w:sz w:val="20"/>
        </w:rPr>
        <w:t>Confirm final counts and receipt</w:t>
      </w:r>
    </w:p>
    <w:p>
      <w:pPr>
        <w:pStyle w:val="ListBullet"/>
      </w:pPr>
      <w:r>
        <w:rPr>
          <w:rFonts w:ascii="Arial" w:hAnsi="Arial"/>
          <w:b w:val="0"/>
          <w:color w:val="000000"/>
          <w:sz w:val="20"/>
        </w:rPr>
        <w:t>Search imported guests and inspect qualified unknown states</w:t>
      </w:r>
    </w:p>
    <w:p>
      <w:pPr>
        <w:pStyle w:val="ListBullet"/>
      </w:pPr>
      <w:r>
        <w:rPr>
          <w:rFonts w:ascii="Arial" w:hAnsi="Arial"/>
          <w:b w:val="0"/>
          <w:color w:val="000000"/>
          <w:sz w:val="20"/>
        </w:rPr>
        <w:t>Verify Auditor denial and event isolation</w:t>
      </w:r>
    </w:p>
    <w:p>
      <w:pPr>
        <w:pStyle w:val="ListBullet"/>
      </w:pPr>
      <w:r>
        <w:rPr>
          <w:rFonts w:ascii="Arial" w:hAnsi="Arial"/>
          <w:b w:val="0"/>
          <w:color w:val="000000"/>
          <w:sz w:val="20"/>
        </w:rPr>
        <w:t>Check 360, 768 and 1280 pixel layouts, keyboard and status announcements</w:t>
      </w:r>
    </w:p>
    <w:p>
      <w:pPr>
        <w:pStyle w:val="ListBullet"/>
      </w:pPr>
      <w:r>
        <w:rPr>
          <w:rFonts w:ascii="Arial" w:hAnsi="Arial"/>
          <w:b w:val="0"/>
          <w:color w:val="000000"/>
          <w:sz w:val="20"/>
        </w:rPr>
        <w:t>Assess whether a competent operator can understand what changed and what did not</w:t>
      </w:r>
    </w:p>
    <w:p>
      <w:pPr>
        <w:pStyle w:val="Heading1"/>
      </w:pPr>
      <w:r>
        <w:t>Acceptance authority</w:t>
      </w:r>
    </w:p>
    <w:p>
      <w:r>
        <w:rPr>
          <w:rFonts w:ascii="Arial" w:hAnsi="Arial"/>
          <w:b w:val="0"/>
          <w:color w:val="000000"/>
          <w:sz w:val="20"/>
        </w:rPr>
        <w:t>Cursor may report READY FOR CLAUDE. Claude may return PASS, PASS WITH CONTROLLED OBSERVATIONS, FAIL or BLOCKED. ChatGPT as AI CTO decides acceptance. The CEO controls programme progression and production authority.</w:t>
      </w:r>
    </w:p>
    <w:sectPr w:rsidR="00FC693F" w:rsidRPr="0006063C" w:rsidSect="00034616">
      <w:footerReference w:type="default" r:id="rId9"/>
      <w:pgSz w:w="12240" w:h="15840"/>
      <w:pgMar w:top="979" w:right="1094" w:bottom="979"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EOS-S06C-04  |  Maison Doclar  |  CEO Ratification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