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00000"/>
          <w:sz w:val="48"/>
        </w:rPr>
        <w:t>EOS S06C Traceability and Independent Verification</w:t>
      </w:r>
    </w:p>
    <w:p>
      <w:r>
        <w:rPr>
          <w:rFonts w:ascii="Arial" w:hAnsi="Arial"/>
          <w:b w:val="0"/>
          <w:color w:val="666666"/>
          <w:sz w:val="25"/>
        </w:rPr>
        <w:t>Requirement map terminology and browser verification</w:t>
      </w:r>
    </w:p>
    <w:p>
      <w:r>
        <w:rPr>
          <w:rFonts w:ascii="Arial" w:hAnsi="Arial"/>
          <w:b/>
          <w:color w:val="8B6E38"/>
          <w:sz w:val="20"/>
        </w:rPr>
        <w:t>Maison Doclar Event 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Control code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EOS-S06C-06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CEO RATIFICATION DRAFT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Proposed programme position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EOS-S06C after EOS-S06B and before EOS-S07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Repository basis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main at 0a0be803f123e8326fb893db1e3562c724b70dd0</w:t>
            </w:r>
          </w:p>
        </w:tc>
      </w:tr>
      <w:tr>
        <w:tc>
          <w:tcPr>
            <w:tcW w:type="dxa" w:w="502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Production effect</w:t>
            </w:r>
          </w:p>
        </w:tc>
        <w:tc>
          <w:tcPr>
            <w:tcW w:type="dxa" w:w="5026"/>
            <w:shd w:fill="F4F1E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7"/>
              </w:rPr>
              <w:t>None until separately authorised</w:t>
            </w:r>
          </w:p>
        </w:tc>
      </w:tr>
    </w:tbl>
    <w:p/>
    <w:p>
      <w:pPr>
        <w:pStyle w:val="Heading1"/>
      </w:pPr>
      <w:r>
        <w:t>Requirement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144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8640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SRC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Upload, hashing, storage, quarantine and active-content safety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MAP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Mapping, normalisation and edition governance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VAL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Validation, issues, duplicates and field conflicts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APR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Maker-checker approval and frozen proposed effects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JOB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Leases, chunks, checkpoints, replay, pause and recovery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REC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Reconciliation, receipts, audit and downstream events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COMP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EOS-S02, S04A, RSVP, Communications and Seating compatibility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SEC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Scope, roles, privacy, retention and adversarial files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UX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Upload, review, progress, correction and receipt experience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PERF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1,000 and 2,000 row performance and resource limits</w:t>
            </w:r>
          </w:p>
        </w:tc>
      </w:tr>
      <w:t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CAP</w:t>
            </w:r>
          </w:p>
        </w:tc>
        <w:tc>
          <w:tcPr>
            <w:tcW w:type="dxa" w:w="86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CAP1000 recovery and product-engine installation</w:t>
            </w:r>
          </w:p>
        </w:tc>
      </w:tr>
    </w:tbl>
    <w:p/>
    <w:p>
      <w:pPr>
        <w:pStyle w:val="Heading1"/>
      </w:pPr>
      <w:r>
        <w:t>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2304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776"/>
            <w:shd w:fill="2626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Source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Immutable uploaded file and safe metadata.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Job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Durable server-side processing lifecycle.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Mapping edition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Frozen version of source-column destinations and normalisation rules.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Candidate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Staged proposed guest data with no authority over the directory.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Issue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Validation or governance condition requiring information or a decision.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Promotion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Approved conversion of candidates into canonical domain mutations.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Chunk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Bounded atomic promotion unit with a durable checkpoint.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Receipt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Reconciled terminal evidence of intended and settled effects.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Machine time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Processing duration excluding human review.</w:t>
            </w:r>
          </w:p>
        </w:tc>
      </w:tr>
      <w:t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Complete</w:t>
            </w:r>
          </w:p>
        </w:tc>
        <w:tc>
          <w:tcPr>
            <w:tcW w:type="dxa" w:w="77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AFAFA"/>
          </w:tcPr>
          <w:p>
            <w:r>
              <w:rPr>
                <w:rFonts w:ascii="Arial" w:hAnsi="Arial"/>
                <w:b w:val="0"/>
                <w:color w:val="000000"/>
                <w:sz w:val="16"/>
              </w:rPr>
              <w:t>Terminal receipt exists and all counts reconcile.</w:t>
            </w:r>
          </w:p>
        </w:tc>
      </w:tr>
    </w:tbl>
    <w:p/>
    <w:p>
      <w:pPr>
        <w:pStyle w:val="Heading1"/>
      </w:pPr>
      <w:r>
        <w:t>Claude verification journeys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Confirm the exact application, event and synthetic fixture identities.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Upload a prepared 1,000-row synthetic CSV and confirm immediate acknowledgement.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Map columns and inspect source, normalised and destination previews.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Review warnings, invalid rows, duplicates and verified-field conflicts.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Confirm no guest appears in the directory before approved promotion.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Submit as maker and approve as a different authorised checker.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Observe progress, counts, checkpoint truth and estimated remaining time.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Confirm completion receipt and reconcile created, updated, unchanged, skipped and rejected totals.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Search representative imported guests and inspect qualified unknown states.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Verify replay does not duplicate guests or audit records.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Verify Planner or restricted-role boundaries and Read-Only Auditor denial.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Verify another event cannot see the job, rows or guests.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Inspect cancellation or recovery using a prepared safe fixture.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Verify downstream seating sees canonical promoted guests only.</w:t>
      </w:r>
    </w:p>
    <w:p>
      <w:pPr>
        <w:pStyle w:val="ListNumber"/>
      </w:pPr>
      <w:r>
        <w:rPr>
          <w:rFonts w:ascii="Arial" w:hAnsi="Arial"/>
          <w:b w:val="0"/>
          <w:color w:val="000000"/>
          <w:sz w:val="20"/>
        </w:rPr>
        <w:t>Assess 360, 768 and 1280 pixel layouts, keyboard, focus, status announcements and premium usability.</w:t>
      </w:r>
    </w:p>
    <w:p>
      <w:pPr>
        <w:pStyle w:val="Heading1"/>
      </w:pPr>
      <w:r>
        <w:t>Claude reporting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No repository access and no remediation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No credentials in chat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Record route, role, expected result, observed result, evidence and classification for every journey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Distinguish product, fixture, authority, evidence and environment failures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Return PASS, PASS WITH CONTROLLED OBSERVATIONS, FAIL or BLOCKED</w:t>
      </w:r>
    </w:p>
    <w:p>
      <w:pPr>
        <w:pStyle w:val="ListBullet"/>
      </w:pPr>
      <w:r>
        <w:rPr>
          <w:rFonts w:ascii="Arial" w:hAnsi="Arial"/>
          <w:b w:val="0"/>
          <w:color w:val="000000"/>
          <w:sz w:val="20"/>
        </w:rPr>
        <w:t>Do not formally accept EOS-S06C</w:t>
      </w:r>
    </w:p>
    <w:p>
      <w:pPr>
        <w:pStyle w:val="Heading1"/>
      </w:pPr>
      <w:r>
        <w:t>Traceability rule</w:t>
      </w:r>
    </w:p>
    <w:p>
      <w:r>
        <w:rPr>
          <w:rFonts w:ascii="Arial" w:hAnsi="Arial"/>
          <w:b w:val="0"/>
          <w:color w:val="000000"/>
          <w:sz w:val="20"/>
        </w:rPr>
        <w:t>Every implemented requirement maps to a controlling section, code, focused automated evidence and browser evidence. Every performance claim identifies the corpus hash, environment, sample count, machine time and human-review exclusion. Orphan claims block acceptance.</w:t>
      </w:r>
    </w:p>
    <w:p>
      <w:pPr>
        <w:pStyle w:val="Heading1"/>
      </w:pPr>
      <w:r>
        <w:t>Programme boundary</w:t>
      </w:r>
    </w:p>
    <w:p>
      <w:r>
        <w:rPr>
          <w:rFonts w:ascii="Arial" w:hAnsi="Arial"/>
          <w:b w:val="0"/>
          <w:color w:val="000000"/>
          <w:sz w:val="20"/>
        </w:rPr>
        <w:t>EOS-S06C acceptance does not authorise real guest data, providers, communications, production operations or EOS-S07. EOS-S06B retains its separate authority and acceptance path.</w:t>
      </w:r>
    </w:p>
    <w:sectPr w:rsidR="00FC693F" w:rsidRPr="0006063C" w:rsidSect="00034616">
      <w:footerReference w:type="default" r:id="rId9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66666"/>
        <w:sz w:val="16"/>
      </w:rPr>
      <w:t>EOS-S06C-06  |  Maison Doclar  |  CEO Ratification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8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