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EOS S06 CP SAT Production Seating Authority</w:t>
      </w:r>
    </w:p>
    <w:p>
      <w:pPr>
        <w:jc w:val="left"/>
      </w:pPr>
      <w:r>
        <w:rPr>
          <w:b/>
          <w:color w:val="282624"/>
          <w:sz w:val="22"/>
        </w:rPr>
        <w:t>Canonical ratification decision and programme control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Controlling decision</w:t>
      </w:r>
    </w:p>
    <w:p>
      <w:pPr>
        <w:keepLines/>
      </w:pPr>
      <w:r>
        <w:rPr>
          <w:b/>
        </w:rPr>
        <w:t xml:space="preserve">Decision. </w:t>
      </w:r>
      <w:r>
        <w:t>The CEO ratifies the complete replacement of the heuristic seating engine with a production CP SAT architecture. The replacement includes a dedicated Railway worker service in project atelier-doclar, production, with no ingress. The engine must be qualified at 2,000 synthetic guests before it can become authoritative.</w:t>
      </w:r>
    </w:p>
    <w:p>
      <w:pPr>
        <w:keepLines/>
      </w:pPr>
      <w:r>
        <w:rPr>
          <w:b/>
        </w:rPr>
        <w:t xml:space="preserve">Retirement. </w:t>
      </w:r>
      <w:r>
        <w:t>The heuristic engine is not an emergency fallback. It may operate only as a time-boxed migration comparator and, if benchmarks prove value, as a temporary hint source. It must be retired from runtime authority and removed before final acceptance.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76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Canonical value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Decision date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16 September 2026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Repository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kglaw-Oluseyi/atelier-doclar · main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Railway project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atelier-doclar · production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Existing service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event-os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Authorised new service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event-os-solver-worker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Worker ingress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Synthetic only until separate production authority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Production authorised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Providers and communications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INACTIVE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Control Tower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Untouched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EOS-S07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NOT_STARTED / NOT_AUTHORISED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Authority granted</w:t>
      </w:r>
    </w:p>
    <w:p>
      <w:pPr>
        <w:pStyle w:val="ListBullet"/>
        <w:keepLines/>
      </w:pPr>
      <w:r>
        <w:t>Create the solver-worker service inside the existing Railway project and production environment.</w:t>
      </w:r>
    </w:p>
    <w:p>
      <w:pPr>
        <w:pStyle w:val="ListBullet"/>
        <w:keepLines/>
      </w:pPr>
      <w:r>
        <w:t>Implement the durable PostgreSQL queue, TypeScript supervisor and isolated Python OR-Tools child.</w:t>
      </w:r>
    </w:p>
    <w:p>
      <w:pPr>
        <w:pStyle w:val="ListBullet"/>
        <w:keepLines/>
      </w:pPr>
      <w:r>
        <w:t>Implement CP-SAT table and seat assignment, independent verification, explanations, diagnostics, UI and evidence.</w:t>
      </w:r>
    </w:p>
    <w:p>
      <w:pPr>
        <w:pStyle w:val="ListBullet"/>
        <w:keepLines/>
      </w:pPr>
      <w:r>
        <w:t>Run synthetic shadow, qualification, chaos and 2,000-guest stress programmes.</w:t>
      </w:r>
    </w:p>
    <w:p>
      <w:pPr>
        <w:pStyle w:val="ListBullet"/>
        <w:keepLines/>
      </w:pPr>
      <w:r>
        <w:t>Deploy only through explicit execution checkpoints in the detailed programme.</w:t>
      </w:r>
    </w:p>
    <w:p>
      <w:pPr>
        <w:pStyle w:val="Heading1"/>
        <w:keepNext/>
      </w:pPr>
      <w:r>
        <w:t>Authority not granted</w:t>
      </w:r>
    </w:p>
    <w:p>
      <w:pPr>
        <w:pStyle w:val="ListBullet"/>
        <w:keepLines/>
      </w:pPr>
      <w:r>
        <w:t>No real guest or client data.</w:t>
      </w:r>
    </w:p>
    <w:p>
      <w:pPr>
        <w:pStyle w:val="ListBullet"/>
        <w:keepLines/>
      </w:pPr>
      <w:r>
        <w:t>No external communications or provider activation.</w:t>
      </w:r>
    </w:p>
    <w:p>
      <w:pPr>
        <w:pStyle w:val="ListBullet"/>
        <w:keepLines/>
      </w:pPr>
      <w:r>
        <w:t>No change to productionAuthorised:false.</w:t>
      </w:r>
    </w:p>
    <w:p>
      <w:pPr>
        <w:pStyle w:val="ListBullet"/>
        <w:keepLines/>
      </w:pPr>
      <w:r>
        <w:t>No EOS-S06B, EOS-S06D or EOS-S07 implementation.</w:t>
      </w:r>
    </w:p>
    <w:p>
      <w:pPr>
        <w:pStyle w:val="ListBullet"/>
        <w:keepLines/>
      </w:pPr>
      <w:r>
        <w:t>No Control Tower deployment or mutation.</w:t>
      </w:r>
    </w:p>
    <w:p>
      <w:pPr>
        <w:pStyle w:val="ListBullet"/>
        <w:keepLines/>
      </w:pPr>
      <w:r>
        <w:t>No claim of production authority or acceptance before the Definition of Done.</w:t>
      </w:r>
    </w:p>
    <w:p>
      <w:pPr>
        <w:pStyle w:val="Heading1"/>
        <w:keepNext/>
      </w:pPr>
      <w:r>
        <w:t>Programme effect</w:t>
      </w:r>
    </w:p>
    <w:p>
      <w:pPr>
        <w:keepLines/>
      </w:pPr>
      <w:r>
        <w:t>This decision creates an EOS-S06 production seating correction programme. It does not reopen accepted historical work; it replaces the defective solver implementation prospectively while preserving all failure evidence and prior accepted records. The 1,000-guest B_TYPICAL corpus remains immutable regression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