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Acceptance Assurance and Independent Verification</w:t>
      </w:r>
    </w:p>
    <w:p>
      <w:pPr>
        <w:jc w:val="left"/>
      </w:pPr>
      <w:r>
        <w:rPr>
          <w:b/>
          <w:color w:val="282624"/>
          <w:sz w:val="22"/>
        </w:rPr>
        <w:t>Evidence requirements risks and Claude scope</w:t>
      </w:r>
    </w:p>
    <w:p>
      <w:r>
        <w:rPr>
          <w:b/>
          <w:color w:val="B79F85"/>
          <w:sz w:val="18"/>
        </w:rPr>
        <w:t>CEO RATIFIED 16 SEPTEMBER 2026</w:t>
      </w:r>
    </w:p>
    <w:p>
      <w:r>
        <w:t>Maison Doclar Event OS · Version 1.0 · 16 September 2026</w:t>
      </w:r>
    </w:p>
    <w:p>
      <w:pPr>
        <w:pStyle w:val="Heading1"/>
        <w:keepNext/>
      </w:pPr>
      <w:r>
        <w:t>Acceptance evidence</w:t>
      </w:r>
    </w:p>
    <w:tbl>
      <w:tblPr>
        <w:tblW w:type="auto" w:w="0"/>
        <w:tblLayout w:type="fixed"/>
        <w:tblLook w:firstColumn="1" w:firstRow="1" w:lastColumn="0" w:lastRow="0" w:noHBand="0" w:noVBand="1" w:val="04A0"/>
      </w:tblPr>
      <w:tblGrid>
        <w:gridCol w:w="4997"/>
        <w:gridCol w:w="4997"/>
      </w:tblGrid>
      <w:tr>
        <w:trPr>
          <w:tblHeader w:val="true"/>
        </w:trPr>
        <w:tc>
          <w:tcPr>
            <w:tcW w:type="dxa" w:w="2232"/>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Evidence family</w:t>
            </w:r>
          </w:p>
        </w:tc>
        <w:tc>
          <w:tcPr>
            <w:tcW w:type="dxa" w:w="7560"/>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Required artefacts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Architecture</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ADR, topology, service configuration, dependency and licence record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Correctness</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Golden semantics, oracle and differential results, planted corpora</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Verifier</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Mutation report, injected violations, incident handling</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Performance</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Phase timings, model size, CPU, memory and concurrency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Reliability</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Chaos, restart, cancellation, fencing and duplicate settlement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Explainability</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Completeness, predicates, redaction and discretion-mode scans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Determinism</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Replay, permutation, central-edge and engine-version report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Migration</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Shadow comparison, authority switch, rollback and heuristic removal</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Operations</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Dashboards, alerts, runbooks and handover drill</w:t>
            </w:r>
          </w:p>
        </w:tc>
      </w:tr>
    </w:tbl>
    <w:p>
      <w:pPr>
        <w:spacing w:after="20"/>
      </w:pPr>
    </w:p>
    <w:p>
      <w:pPr>
        <w:pStyle w:val="Heading1"/>
        <w:keepNext/>
      </w:pPr>
      <w:r>
        <w:t>Independent Claude verification</w:t>
      </w:r>
    </w:p>
    <w:p>
      <w:pPr>
        <w:keepLines/>
      </w:pPr>
      <w:r>
        <w:t>Claude verifies the deployed product through the browser and receives no repository access or remediation authority. Automated solver matrices are not reproduced. Claude confirms identity, product wording, job lifecycle, result truth, explanations, roles, cancellation, reload, adoption boundaries, responsive behaviour and accessibility.</w:t>
      </w:r>
    </w:p>
    <w:p>
      <w:pPr>
        <w:pStyle w:val="ListBullet"/>
        <w:keepLines/>
      </w:pPr>
      <w:r>
        <w:t>Exact synthetic event, run, engine and model identities supplied.</w:t>
      </w:r>
    </w:p>
    <w:p>
      <w:pPr>
        <w:pStyle w:val="ListBullet"/>
        <w:keepLines/>
      </w:pPr>
      <w:r>
        <w:t>Verify at least one 500/600 run and the exact 1,000 and 2,000 qualification runs.</w:t>
      </w:r>
    </w:p>
    <w:p>
      <w:pPr>
        <w:pStyle w:val="ListBullet"/>
        <w:keepLines/>
      </w:pPr>
      <w:r>
        <w:t>Confirm every inspected guest has a short reason and sensitive details are redacted.</w:t>
      </w:r>
    </w:p>
    <w:p>
      <w:pPr>
        <w:pStyle w:val="ListBullet"/>
        <w:keepLines/>
      </w:pPr>
      <w:r>
        <w:t>Confirm FEASIBLE, OPTIMAL, INFEASIBLE, SEARCH_INCOMPLETE, TIMED_OUT and fault wording using prepared fixtures.</w:t>
      </w:r>
    </w:p>
    <w:p>
      <w:pPr>
        <w:pStyle w:val="ListBullet"/>
        <w:keepLines/>
      </w:pPr>
      <w:r>
        <w:t>Confirm maker-checker and auditor restrictions.</w:t>
      </w:r>
    </w:p>
    <w:p>
      <w:pPr>
        <w:pStyle w:val="ListBullet"/>
        <w:keepLines/>
      </w:pPr>
      <w:r>
        <w:t>Confirm no heuristic engine is offered after retirement.</w:t>
      </w:r>
    </w:p>
    <w:p>
      <w:pPr>
        <w:pStyle w:val="ListBullet"/>
        <w:keepLines/>
      </w:pPr>
      <w:r>
        <w:t>Confirm worker service has no user-facing endpoint and web remains responsive during solve.</w:t>
      </w:r>
    </w:p>
    <w:p>
      <w:pPr>
        <w:pStyle w:val="ListBullet"/>
        <w:keepLines/>
      </w:pPr>
      <w:r>
        <w:t>Check 360, 768 and 1280 pixels, keyboard, focus and automated accessibility.</w:t>
      </w:r>
    </w:p>
    <w:p>
      <w:pPr>
        <w:pStyle w:val="Heading1"/>
        <w:keepNext/>
      </w:pPr>
      <w:r>
        <w:t>Principal risks</w:t>
      </w:r>
    </w:p>
    <w:tbl>
      <w:tblPr>
        <w:tblW w:type="auto" w:w="0"/>
        <w:tblLayout w:type="fixed"/>
        <w:tblLook w:firstColumn="1" w:firstRow="1" w:lastColumn="0" w:lastRow="0" w:noHBand="0" w:noVBand="1" w:val="04A0"/>
      </w:tblPr>
      <w:tblGrid>
        <w:gridCol w:w="4997"/>
        <w:gridCol w:w="4997"/>
      </w:tblGrid>
      <w:tr>
        <w:trPr>
          <w:tblHeader w:val="true"/>
        </w:trPr>
        <w:tc>
          <w:tcPr>
            <w:tcW w:type="dxa" w:w="3384"/>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Risk</w:t>
            </w:r>
          </w:p>
        </w:tc>
        <w:tc>
          <w:tcPr>
            <w:tcW w:type="dxa" w:w="6408"/>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Required mitigation</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Heavy 2,000 Replay too slow</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Benchmark deterministic interleaving; separate verified feasibility from optimality proof</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Seat rules invalidate decomposition</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Integrated model version trigger; decomposition gap is a fault</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Solver regression</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Pinned engine, full qualification and shadow upgrade</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Incorrect infeasibility</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Certificates, confirmation solve and evidence grades</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Shared semantic bug</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Primitive verification, separate code ownership, oracle and mutation tests</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Explanation overclaim</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Predicate reasons and explanation verifier</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Sensitive inference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Role redaction, discretion mode and leak scanning</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Railway restart or resource pressure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Leases, fencing, child isolation and admission control</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Edge divergence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Same digest, architecture and pre-flight hash equivalence</w:t>
            </w:r>
          </w:p>
        </w:tc>
      </w:tr>
    </w:tbl>
    <w:p>
      <w:pPr>
        <w:spacing w:after="20"/>
      </w:pPr>
    </w:p>
    <w:p>
      <w:pPr>
        <w:pStyle w:val="Heading1"/>
        <w:keepNext/>
      </w:pPr>
      <w:r>
        <w:t>Acceptance authority</w:t>
      </w:r>
    </w:p>
    <w:p>
      <w:pPr>
        <w:keepLines/>
      </w:pPr>
      <w:r>
        <w:t>Passing automated and independent verification makes the programme eligible for AI CTO acceptance. It does not activate real data, providers or productionAuthorised. Those remain separate governance decisions.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Maison Doclar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B79F85"/>
        <w:sz w:val="16"/>
      </w:rPr>
      <w:t>MAISON DOCLAR   EVENT OS   CP SAT SEATING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