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Maison Doclar EOS S06D Dining Service Command</w:t>
      </w:r>
    </w:p>
    <w:p>
      <w:pPr>
        <w:pStyle w:val="Subtitle"/>
      </w:pPr>
      <w:r>
        <w:t>Ratification and authority</w:t>
      </w:r>
    </w:p>
    <w:p>
      <w:r>
        <w:rPr>
          <w:b/>
          <w:color w:val="8C6623"/>
        </w:rPr>
        <w:t>CEO RATIFICATION DRAFT — IMPLEMENTATION NOT AUTHORISED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2304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200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Document version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1.0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Pack date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16 September 2026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Authority state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Draft for CEO ratification only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Implementation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Not authorised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Production posture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productionAuthorised:false; providers and communications inactive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Data boundary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Synthetic data only</w:t>
            </w:r>
          </w:p>
        </w:tc>
      </w:tr>
    </w:tbl>
    <w:p/>
    <w:p>
      <w:pPr>
        <w:pStyle w:val="Heading1"/>
      </w:pPr>
      <w:r>
        <w:t>Purpose and decision</w:t>
      </w:r>
    </w:p>
    <w:p>
      <w:r>
        <w:t>This document asks the CEO to ratify the complete-product definition of EOS-S06D Dining Service Command. Ratification approves the product boundary and future execution planning; it does not authorise implementation, deployment, vendor onboarding, provider activation, use of real guest data, or production operation.</w:t>
      </w:r>
    </w:p>
    <w:p>
      <w:pPr>
        <w:pStyle w:val="Heading1"/>
      </w:pPr>
      <w:r>
        <w:t>Canonical proposition</w:t>
      </w:r>
    </w:p>
    <w:p>
      <w:r>
        <w:t>Dining Service Command is Maison Doclar’s vendor-neutral orchestration layer for premium multi-caterer service. A guest experiences one coherent Maison Doclar service even where several independent caterers prepare different items. Maison Doclar coordinates orders, timing, hand-offs, delivery, exceptions and clearing without becoming the food producer or displacing vendor kitchen teams.</w:t>
      </w:r>
    </w:p>
    <w:p>
      <w:pPr>
        <w:pStyle w:val="Heading1"/>
      </w:pPr>
      <w:r>
        <w:t>Non-negotiable product outcome</w:t>
      </w:r>
    </w:p>
    <w:p>
      <w:pPr>
        <w:pStyle w:val="ListBullet"/>
      </w:pPr>
      <w:r>
        <w:t>One complete guest interaction may create work for several caterers without exposing vendor fragmentation to the guest.</w:t>
      </w:r>
    </w:p>
    <w:p>
      <w:pPr>
        <w:pStyle w:val="ListBullet"/>
      </w:pPr>
      <w:r>
        <w:t>Frontline simplicity is an acceptance criterion: each role receives one task-focused interface, one queue and no more than four ordinary actions.</w:t>
      </w:r>
    </w:p>
    <w:p>
      <w:pPr>
        <w:pStyle w:val="ListBullet"/>
      </w:pPr>
      <w:r>
        <w:t>Dining truth is event-scoped and reconciles with current guest, check-in, seating, accessibility, dietary, protocol and programme authority without creating shadow records.</w:t>
      </w:r>
    </w:p>
    <w:p>
      <w:pPr>
        <w:pStyle w:val="ListBullet"/>
      </w:pPr>
      <w:r>
        <w:t>The system remains operable during internet loss and degraded local connectivity, with controlled paper continuity and recovery reconciliation.</w:t>
      </w:r>
    </w:p>
    <w:p>
      <w:pPr>
        <w:pStyle w:val="ListBullet"/>
      </w:pPr>
      <w:r>
        <w:t>All safety claims remain bounded. Routing an allergy note never constitutes a guarantee that a vendor can safely prepare an item.</w:t>
      </w:r>
    </w:p>
    <w:p>
      <w:pPr>
        <w:pStyle w:val="Heading1"/>
      </w:pPr>
      <w:r>
        <w:t>Programme relationship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1872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632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Disposition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EOS-S06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Accepted seating authority remains controlling.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EOS-S06A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Accepted Atelier Command remains controlling; open debt is not silently closed.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EOS-S06B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VIP and Protocol Intelligence is a future dependency/consumer; no implementation is inferred.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EOS-S06C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High-volume intake supplies governed guest authority; no implementation is inferred.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EOS-S06D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This pack defines Dining Service Command as a proposed complete-product milestone.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EOS-S07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Remains not started and not authorised. S06D does not grant S07 authority.</w:t>
            </w:r>
          </w:p>
        </w:tc>
      </w:tr>
    </w:tbl>
    <w:p/>
    <w:p>
      <w:pPr>
        <w:pStyle w:val="Heading1"/>
      </w:pPr>
      <w:r>
        <w:t>Authority boundaries</w:t>
      </w:r>
    </w:p>
    <w:p>
      <w:pPr>
        <w:pStyle w:val="ListBullet"/>
      </w:pPr>
      <w:r>
        <w:t>CEO ratification of this pack is required before an execution milestone may be proposed.</w:t>
      </w:r>
    </w:p>
    <w:p>
      <w:pPr>
        <w:pStyle w:val="ListBullet"/>
      </w:pPr>
      <w:r>
        <w:t>A later, explicit CEO authorisation must identify exact starting HEAD, application identity, scope, evidence and deployment boundary.</w:t>
      </w:r>
    </w:p>
    <w:p>
      <w:pPr>
        <w:pStyle w:val="ListBullet"/>
      </w:pPr>
      <w:r>
        <w:t>No vendor receives access merely because it is listed in an event catalogue. Vendor organisation, named staff, device and station grants must be approved and time-bounded.</w:t>
      </w:r>
    </w:p>
    <w:p>
      <w:pPr>
        <w:pStyle w:val="ListBullet"/>
      </w:pPr>
      <w:r>
        <w:t>No permanent identity provider, payment provider, messaging provider or real-event communication is activated by this pack.</w:t>
      </w:r>
    </w:p>
    <w:p>
      <w:pPr>
        <w:pStyle w:val="ListBullet"/>
      </w:pPr>
      <w:r>
        <w:t>Control Tower remains untouched. Railway and GitHub operations are outside this document-authoring act.</w:t>
      </w:r>
    </w:p>
    <w:p>
      <w:pPr>
        <w:pStyle w:val="Heading1"/>
      </w:pPr>
      <w:r>
        <w:t>Entry criteria for later implementation</w:t>
      </w:r>
    </w:p>
    <w:p>
      <w:pPr>
        <w:pStyle w:val="ListNumber"/>
      </w:pPr>
      <w:r>
        <w:t>Canonical roadmap and authority registers identify EOS-S06D and its dependencies without contradictions.</w:t>
      </w:r>
    </w:p>
    <w:p>
      <w:pPr>
        <w:pStyle w:val="ListNumber"/>
      </w:pPr>
      <w:r>
        <w:t>Current guest, check-in, seating, programme, accessibility, dietary, protocol and event-day interfaces are inspected read-only and compatibility is documented.</w:t>
      </w:r>
    </w:p>
    <w:p>
      <w:pPr>
        <w:pStyle w:val="ListNumber"/>
      </w:pPr>
      <w:r>
        <w:t>EOS-S06C sequencing is decided so Dining Service Command does not build a second intake path.</w:t>
      </w:r>
    </w:p>
    <w:p>
      <w:pPr>
        <w:pStyle w:val="ListNumber"/>
      </w:pPr>
      <w:r>
        <w:t>Threat model, food-safety boundary and vendor data-isolation model are approved.</w:t>
      </w:r>
    </w:p>
    <w:p>
      <w:pPr>
        <w:pStyle w:val="ListNumber"/>
      </w:pPr>
      <w:r>
        <w:t>Synthetic event corpus represents at least 1,000 guests, multiple caterers, multiple menus, table movement, late arrivals, seconds, shortages, remakes, allergy escalation and offline recovery.</w:t>
      </w:r>
    </w:p>
    <w:p>
      <w:pPr>
        <w:pStyle w:val="ListNumber"/>
      </w:pPr>
      <w:r>
        <w:t>Evidence requirements are fixed before implementation.</w:t>
      </w:r>
    </w:p>
    <w:p>
      <w:pPr>
        <w:pStyle w:val="Heading1"/>
      </w:pPr>
      <w:r>
        <w:t>CEO decision requested</w:t>
      </w:r>
    </w:p>
    <w:p>
      <w:r>
        <w:t>Ratify, revise or reject the EOS-S06D product definition. A RATIFY decision permits controlled planning and preparation of a bounded implementation authority proposal only. It does not start implementation.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