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Maison Doclar EOS S06D Dining Service Command</w:t>
      </w:r>
    </w:p>
    <w:p>
      <w:pPr>
        <w:pStyle w:val="Subtitle"/>
      </w:pPr>
      <w:r>
        <w:t>Canonical product specification</w:t>
      </w:r>
    </w:p>
    <w:p>
      <w:r>
        <w:rPr>
          <w:b/>
          <w:color w:val="8C6623"/>
        </w:rPr>
        <w:t>CEO RATIFICATION DRAFT — IMPLEMENTATION NOT AUTHORISED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30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Document version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1.0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Pack date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16 September 2026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Authority 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Draft for CEO ratification only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Implementation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Not authorised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 posture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productionAuthorised:false; providers and communications inactive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Data boundary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Synthetic data only</w:t>
            </w:r>
          </w:p>
        </w:tc>
      </w:tr>
    </w:tbl>
    <w:p/>
    <w:p>
      <w:pPr>
        <w:pStyle w:val="Heading1"/>
      </w:pPr>
      <w:r>
        <w:t>Purpose and decision</w:t>
      </w:r>
    </w:p>
    <w:p>
      <w:r>
        <w:t>This document defines the complete functional scope, including table context, flexible guest identification, repeated ordering, vendor routing, coordinated fulfilment and shared clearing.</w:t>
      </w:r>
    </w:p>
    <w:p>
      <w:pPr>
        <w:pStyle w:val="Heading1"/>
      </w:pPr>
      <w:r>
        <w:t>Table and guest context</w:t>
      </w:r>
    </w:p>
    <w:p>
      <w:r>
        <w:t>Selecting a table must show a reconciled service roster derived from current seating and check-in authority. Each person is labelled as expected, checked in, reported present, served, moved or uncertain. The roster is operational context, not proof of physical presence. Staff must be able to serve a person who is not on the roster without corrupting the canonical Guest Directory.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02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Entry type</w:t>
            </w:r>
          </w:p>
        </w:tc>
        <w:tc>
          <w:tcPr>
            <w:tcW w:type="dxa" w:w="662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Required behaviour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Known seated guest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Select from current table roster; preserve guest ID and seating authority version.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Checked-in guest at another table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Search and select; warn about seating mismatch; do not move seating automatically.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Known guest without current seat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Search and select; record service location independently.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Named walk-in or plus-one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Free-enter display name; create dining-only subject linked to intake review, not canonical guest silently.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Name declined or unknown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Use temporary label such as Guest at T12 Seat 4; allow later reconciliation.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Table-level shared order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Record table scope and optional estimated covers; do not fabricate individual consumption.</w:t>
            </w:r>
          </w:p>
        </w:tc>
      </w:tr>
    </w:tbl>
    <w:p/>
    <w:p>
      <w:pPr>
        <w:pStyle w:val="Heading1"/>
      </w:pPr>
      <w:r>
        <w:t>Orders are additive and versioned</w:t>
      </w:r>
    </w:p>
    <w:p>
      <w:pPr>
        <w:pStyle w:val="ListBullet"/>
      </w:pPr>
      <w:r>
        <w:t>A guest, seat or table may have any number of orders during the event.</w:t>
      </w:r>
    </w:p>
    <w:p>
      <w:pPr>
        <w:pStyle w:val="ListBullet"/>
      </w:pPr>
      <w:r>
        <w:t>A late arrival follows the same capture, routing, preparation, release and delivery process.</w:t>
      </w:r>
    </w:p>
    <w:p>
      <w:pPr>
        <w:pStyle w:val="ListBullet"/>
      </w:pPr>
      <w:r>
        <w:t>Seconds, additional courses, drinks, replacements and remakes create new linked order episodes; they never overwrite the original order.</w:t>
      </w:r>
    </w:p>
    <w:p>
      <w:pPr>
        <w:pStyle w:val="ListBullet"/>
      </w:pPr>
      <w:r>
        <w:t>Every amendment records who changed what, why, at what lifecycle state and whether vendor re-acknowledgment is required.</w:t>
      </w:r>
    </w:p>
    <w:p>
      <w:pPr>
        <w:pStyle w:val="ListBullet"/>
      </w:pPr>
      <w:r>
        <w:t>Submitted work cannot be silently deleted. Cancellation and voiding are explicit, permissioned states.</w:t>
      </w:r>
    </w:p>
    <w:p>
      <w:pPr>
        <w:pStyle w:val="ListBullet"/>
      </w:pPr>
      <w:r>
        <w:t>The interface shows what has already been ordered, delivered, declined, cancelled or unresolved to reduce accidental duplication.</w:t>
      </w:r>
    </w:p>
    <w:p>
      <w:pPr>
        <w:pStyle w:val="Heading1"/>
      </w:pPr>
      <w:r>
        <w:t>Order capture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194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770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Canonical content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Identity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Event, table, zone, service location, subject type, guest/temporary subject, seat if known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Selection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Menu, item, quantity, course, portion, modifiers and permitted substitutions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Requirements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Allergy classification, intolerance, dietary, religious, cultural, accessibility and assistance notes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Timing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Order episode, requested course/wave, expedite reason and promised expectation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Instructions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Guest wording, operational note, vendor-visible note and restricted note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Control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Source device, staff actor, idempotency key, offline sequence, timestamps and authority versions</w:t>
            </w:r>
          </w:p>
        </w:tc>
      </w:tr>
    </w:tbl>
    <w:p/>
    <w:p>
      <w:pPr>
        <w:pStyle w:val="Heading1"/>
      </w:pPr>
      <w:r>
        <w:t>Menus and vendor routing</w:t>
      </w:r>
    </w:p>
    <w:p>
      <w:pPr>
        <w:pStyle w:val="ListBullet"/>
      </w:pPr>
      <w:r>
        <w:t>An event may contain several active menus, vendors, preparation stations, service periods and zones.</w:t>
      </w:r>
    </w:p>
    <w:p>
      <w:pPr>
        <w:pStyle w:val="ListBullet"/>
      </w:pPr>
      <w:r>
        <w:t>Each orderable item has exactly one active fulfilment route at the moment of submission, with controlled fallback/substitution routes where approved.</w:t>
      </w:r>
    </w:p>
    <w:p>
      <w:pPr>
        <w:pStyle w:val="ListBullet"/>
      </w:pPr>
      <w:r>
        <w:t>The guest-facing menu may combine vendors; vendor identity is hidden unless the event policy requires disclosure.</w:t>
      </w:r>
    </w:p>
    <w:p>
      <w:pPr>
        <w:pStyle w:val="ListBullet"/>
      </w:pPr>
      <w:r>
        <w:t>A submitted order is split into immutable vendor/station fulfilment tasks linked to one parent order.</w:t>
      </w:r>
    </w:p>
    <w:p>
      <w:pPr>
        <w:pStyle w:val="ListBullet"/>
      </w:pPr>
      <w:r>
        <w:t>A vendor sees only its assigned items and the minimum guest/table information needed for safe fulfilment.</w:t>
      </w:r>
    </w:p>
    <w:p>
      <w:pPr>
        <w:pStyle w:val="ListBullet"/>
      </w:pPr>
      <w:r>
        <w:t>Catalogue changes are versioned. Existing orders retain the menu and routing version under which they were submitted.</w:t>
      </w:r>
    </w:p>
    <w:p>
      <w:pPr>
        <w:pStyle w:val="Heading1"/>
      </w:pPr>
      <w:r>
        <w:t>Course and bundle coordination</w:t>
      </w:r>
    </w:p>
    <w:p>
      <w:pPr>
        <w:pStyle w:val="ListBullet"/>
      </w:pPr>
      <w:r>
        <w:t>Items carry preparation estimate, maximum hold, serve-hot/cold/immediate instruction, course and dependency metadata.</w:t>
      </w:r>
    </w:p>
    <w:p>
      <w:pPr>
        <w:pStyle w:val="ListBullet"/>
      </w:pPr>
      <w:r>
        <w:t>The system computes a readiness window and warns when waiting for one item risks damaging others.</w:t>
      </w:r>
    </w:p>
    <w:p>
      <w:pPr>
        <w:pStyle w:val="ListBullet"/>
      </w:pPr>
      <w:r>
        <w:t>The expeditor may release together, split release, hold, substitute under authority, or issue a guest-facing delay exception.</w:t>
      </w:r>
    </w:p>
    <w:p>
      <w:pPr>
        <w:pStyle w:val="ListBullet"/>
      </w:pPr>
      <w:r>
        <w:t>A bundle may represent one guest, several seats, a table course or a controlled partial release.</w:t>
      </w:r>
    </w:p>
    <w:p>
      <w:pPr>
        <w:pStyle w:val="ListBullet"/>
      </w:pPr>
      <w:r>
        <w:t>No ready item is represented as delivered until runner custody and delivery are confirmed.</w:t>
      </w:r>
    </w:p>
    <w:p>
      <w:pPr>
        <w:pStyle w:val="Heading1"/>
      </w:pPr>
      <w:r>
        <w:t>Lifecycle</w:t>
      </w:r>
    </w:p>
    <w:p>
      <w:r>
        <w:t>Order: DRAFT → CONFIRMED → SUBMITTED → ROUTED → ACKNOWLEDGED → PREPARING → READY/PARTIAL → STAGED → RELEASED → COLLECTED → DELIVERED → SETTLED → CLOSED. Exception branches include DECLINED, UNAVAILABLE, SUBSTITUTE_REVIEW, DELAYED, WRONG_ITEM, SPILLED, REJECTED, REMAKE and CANCELLED. Each transition has an authorised actor, precondition, timestamp, correlation ID and replay result.</w:t>
      </w:r>
    </w:p>
    <w:p>
      <w:pPr>
        <w:pStyle w:val="Heading1"/>
      </w:pPr>
      <w:r>
        <w:t>Availability and shortage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30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734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AVAILABLE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Normal ordering permitted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LOW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Ordering permitted with warning and tracked remaining estimate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PAUSED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Temporarily not orderable pending decision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SOLD OUT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New selection blocked; existing work explicitly dispositioned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SUBSTITUTE OFFERED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Named alternative awaits authorised/guest decision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DELAYED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Available but outside normal preparation expectation</w:t>
            </w:r>
          </w:p>
        </w:tc>
      </w:tr>
    </w:tbl>
    <w:p/>
    <w:p>
      <w:pPr>
        <w:pStyle w:val="Heading1"/>
      </w:pPr>
      <w:r>
        <w:t>Clearing and reset</w:t>
      </w:r>
    </w:p>
    <w:p>
      <w:pPr>
        <w:pStyle w:val="ListBullet"/>
      </w:pPr>
      <w:r>
        <w:t>Any authorised clearing steward clears the complete used setting, regardless of caterer ownership.</w:t>
      </w:r>
    </w:p>
    <w:p>
      <w:pPr>
        <w:pStyle w:val="ListBullet"/>
      </w:pPr>
      <w:r>
        <w:t>A request identifies table, optional seat, scope, urgency, issue type and requester.</w:t>
      </w:r>
    </w:p>
    <w:p>
      <w:pPr>
        <w:pStyle w:val="ListBullet"/>
      </w:pPr>
      <w:r>
        <w:t>Timed prompts request inspection; they do not automatically authorise removing items.</w:t>
      </w:r>
    </w:p>
    <w:p>
      <w:pPr>
        <w:pStyle w:val="ListBullet"/>
      </w:pPr>
      <w:r>
        <w:t>Dirty items travel through a designated dirty route to a receiving and sorting area separated from clean food staging.</w:t>
      </w:r>
    </w:p>
    <w:p>
      <w:pPr>
        <w:pStyle w:val="ListBullet"/>
      </w:pPr>
      <w:r>
        <w:t>Vendor dish markers, receiving bays and custody records support sorting, breakage and return without burdening guests.</w:t>
      </w:r>
    </w:p>
    <w:p>
      <w:pPr>
        <w:pStyle w:val="ListBullet"/>
      </w:pPr>
      <w:r>
        <w:t>Table reset is separately confirmed after clearing.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