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Maison Doclar EOS S06D Dining Service Command</w:t>
      </w:r>
    </w:p>
    <w:p>
      <w:pPr>
        <w:pStyle w:val="Subtitle"/>
      </w:pPr>
      <w:r>
        <w:t>Staff and vendor user experience specification</w:t>
      </w:r>
    </w:p>
    <w:p>
      <w:r>
        <w:rPr>
          <w:b/>
          <w:color w:val="8C6623"/>
        </w:rPr>
        <w:t>CEO RATIFICATION DRAFT — IMPLEMENTATION NOT AUTHORISED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2304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200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Document version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1.0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Pack date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16 September 2026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Authority state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Draft for CEO ratification only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Implementation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Not authorised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Production posture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productionAuthorised:false; providers and communications inactive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Data boundary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Synthetic data only</w:t>
            </w:r>
          </w:p>
        </w:tc>
      </w:tr>
    </w:tbl>
    <w:p/>
    <w:p>
      <w:pPr>
        <w:pStyle w:val="Heading1"/>
      </w:pPr>
      <w:r>
        <w:t>Purpose and decision</w:t>
      </w:r>
    </w:p>
    <w:p>
      <w:r>
        <w:t>This document prescribes simple event-day interfaces for handheld and large touch-screen devices. The sophistication of orchestration must remain behind role-specific views.</w:t>
      </w:r>
    </w:p>
    <w:p>
      <w:pPr>
        <w:pStyle w:val="Heading1"/>
      </w:pPr>
      <w:r>
        <w:t>Global interface rules</w:t>
      </w:r>
    </w:p>
    <w:p>
      <w:pPr>
        <w:pStyle w:val="ListBullet"/>
      </w:pPr>
      <w:r>
        <w:t>Persistent event, role, zone and current table/station identity.</w:t>
      </w:r>
    </w:p>
    <w:p>
      <w:pPr>
        <w:pStyle w:val="ListBullet"/>
      </w:pPr>
      <w:r>
        <w:t>A prominent Online, Local only, Reconnecting or Paper mode indicator.</w:t>
      </w:r>
    </w:p>
    <w:p>
      <w:pPr>
        <w:pStyle w:val="ListBullet"/>
      </w:pPr>
      <w:r>
        <w:t>Minimum 48 px touch targets; 56–64 px for primary large-screen actions.</w:t>
      </w:r>
    </w:p>
    <w:p>
      <w:pPr>
        <w:pStyle w:val="ListBullet"/>
      </w:pPr>
      <w:r>
        <w:t>No hover-only controls. Pointer cursor for every clickable desktop element.</w:t>
      </w:r>
    </w:p>
    <w:p>
      <w:pPr>
        <w:pStyle w:val="ListBullet"/>
      </w:pPr>
      <w:r>
        <w:t>Plain-language labels with icon support; colour never carries meaning alone.</w:t>
      </w:r>
    </w:p>
    <w:p>
      <w:pPr>
        <w:pStyle w:val="ListBullet"/>
      </w:pPr>
      <w:r>
        <w:t>Search tolerates name variants and table aliases while preserving exact identifiers.</w:t>
      </w:r>
    </w:p>
    <w:p>
      <w:pPr>
        <w:pStyle w:val="ListBullet"/>
      </w:pPr>
      <w:r>
        <w:t>Every mutation has Pending, Completed, Failed and Already applied feedback.</w:t>
      </w:r>
    </w:p>
    <w:p>
      <w:pPr>
        <w:pStyle w:val="ListBullet"/>
      </w:pPr>
      <w:r>
        <w:t>No infinite spinners. A slow action exposes elapsed time, retry safety and escalation.</w:t>
      </w:r>
    </w:p>
    <w:p>
      <w:pPr>
        <w:pStyle w:val="ListBullet"/>
      </w:pPr>
      <w:r>
        <w:t>Critical actions require review proportional to risk, not repeated confirmation for routine work.</w:t>
      </w:r>
    </w:p>
    <w:p>
      <w:pPr>
        <w:pStyle w:val="Heading1"/>
      </w:pPr>
      <w:r>
        <w:t>Order interface</w:t>
      </w:r>
    </w:p>
    <w:p>
      <w:pPr>
        <w:pStyle w:val="ListNumber"/>
      </w:pPr>
      <w:r>
        <w:t>Choose or scan table.</w:t>
      </w:r>
    </w:p>
    <w:p>
      <w:pPr>
        <w:pStyle w:val="ListNumber"/>
      </w:pPr>
      <w:r>
        <w:t>Review expected and checked-in guest names; select a person, seat, table order or Add someone here.</w:t>
      </w:r>
    </w:p>
    <w:p>
      <w:pPr>
        <w:pStyle w:val="ListNumber"/>
      </w:pPr>
      <w:r>
        <w:t>Choose items across the unified event menu. Vendor routing remains invisible.</w:t>
      </w:r>
    </w:p>
    <w:p>
      <w:pPr>
        <w:pStyle w:val="ListNumber"/>
      </w:pPr>
      <w:r>
        <w:t>Add quantity, modifiers and requirements; severe allergy forces controlled escalation.</w:t>
      </w:r>
    </w:p>
    <w:p>
      <w:pPr>
        <w:pStyle w:val="ListNumber"/>
      </w:pPr>
      <w:r>
        <w:t>Review the complete order grouped by guest and course.</w:t>
      </w:r>
    </w:p>
    <w:p>
      <w:pPr>
        <w:pStyle w:val="ListNumber"/>
      </w:pPr>
      <w:r>
        <w:t>Submit once; receive immediate local acknowledgement and one order reference.</w:t>
      </w:r>
    </w:p>
    <w:p>
      <w:pPr>
        <w:pStyle w:val="Heading2"/>
      </w:pPr>
      <w:r>
        <w:t>Add someone here</w:t>
      </w:r>
    </w:p>
    <w:p>
      <w:pPr>
        <w:pStyle w:val="ListBullet"/>
      </w:pPr>
      <w:r>
        <w:t>Search all event guests first.</w:t>
      </w:r>
    </w:p>
    <w:p>
      <w:pPr>
        <w:pStyle w:val="ListBullet"/>
      </w:pPr>
      <w:r>
        <w:t>Offer free-name entry, plus-one, walk-in, name declined and unknown guest options.</w:t>
      </w:r>
    </w:p>
    <w:p>
      <w:pPr>
        <w:pStyle w:val="ListBullet"/>
      </w:pPr>
      <w:r>
        <w:t>Require a service location and temporary subject label.</w:t>
      </w:r>
    </w:p>
    <w:p>
      <w:pPr>
        <w:pStyle w:val="ListBullet"/>
      </w:pPr>
      <w:r>
        <w:t>Do not silently create or alter a canonical guest, seating assignment or check-in.</w:t>
      </w:r>
    </w:p>
    <w:p>
      <w:pPr>
        <w:pStyle w:val="ListBullet"/>
      </w:pPr>
      <w:r>
        <w:t>Allow later authorised reconciliation while preserving the original service history.</w:t>
      </w:r>
    </w:p>
    <w:p>
      <w:pPr>
        <w:pStyle w:val="Heading2"/>
      </w:pPr>
      <w:r>
        <w:t>Repeat and late orders</w:t>
      </w:r>
    </w:p>
    <w:p>
      <w:pPr>
        <w:pStyle w:val="ListBullet"/>
      </w:pPr>
      <w:r>
        <w:t>An Add order button remains available beside every table and served guest.</w:t>
      </w:r>
    </w:p>
    <w:p>
      <w:pPr>
        <w:pStyle w:val="ListBullet"/>
      </w:pPr>
      <w:r>
        <w:t>The prior order timeline is visible before new selections.</w:t>
      </w:r>
    </w:p>
    <w:p>
      <w:pPr>
        <w:pStyle w:val="ListBullet"/>
      </w:pPr>
      <w:r>
        <w:t>Quick reasons include Late arrival, Seconds, Additional course, Replacement, Remake and Guest changed mind.</w:t>
      </w:r>
    </w:p>
    <w:p>
      <w:pPr>
        <w:pStyle w:val="ListBullet"/>
      </w:pPr>
      <w:r>
        <w:t>New work receives a new episode and tasks while remaining linked to the table and guest.</w:t>
      </w:r>
    </w:p>
    <w:p>
      <w:pPr>
        <w:pStyle w:val="Heading1"/>
      </w:pPr>
      <w:r>
        <w:t>Prepare interface for caterers</w:t>
      </w:r>
    </w:p>
    <w:p>
      <w:r>
        <w:t>Maison Doclar may supply managed large touchscreens running an installable PWA in locked station mode. Each station receives a dense but calm queue designed for arm’s-length use in kitchen conditions. No caterer needs access to the general Event 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1800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848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Header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Vendor, station, service wave, connectivity, queue count and clock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New column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Tickets awaiting Accept; allergy/priority badges are textual and coloured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Preparing column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Accepted work ordered by due window and bundle dependency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Ready action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One large action; quantity confirmation only where partial fulfilment is allowed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Unavailable action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Reason, quantity affected, estimated return and substitute options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Ticket detail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Item, quantity, modifiers, minimum necessary guest/table context and food-safety notes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Recovery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Print/reprint, station transfer under authority, already-applied response and supervisor call</w:t>
            </w:r>
          </w:p>
        </w:tc>
      </w:tr>
    </w:tbl>
    <w:p/>
    <w:p>
      <w:pPr>
        <w:pStyle w:val="Heading1"/>
      </w:pPr>
      <w:r>
        <w:t>Coordinate interface</w:t>
      </w:r>
    </w:p>
    <w:p>
      <w:pPr>
        <w:pStyle w:val="ListBullet"/>
      </w:pPr>
      <w:r>
        <w:t>Default view groups work by table/course bundle, not by database entity.</w:t>
      </w:r>
    </w:p>
    <w:p>
      <w:pPr>
        <w:pStyle w:val="ListBullet"/>
      </w:pPr>
      <w:r>
        <w:t>Readiness ring shows ready, preparing, delayed, unavailable and at-risk items.</w:t>
      </w:r>
    </w:p>
    <w:p>
      <w:pPr>
        <w:pStyle w:val="ListBullet"/>
      </w:pPr>
      <w:r>
        <w:t>Expeditor decisions: Hold, Release together, Split release, Approve exception, Reassign runner, Escalate.</w:t>
      </w:r>
    </w:p>
    <w:p>
      <w:pPr>
        <w:pStyle w:val="ListBullet"/>
      </w:pPr>
      <w:r>
        <w:t>A release preview states exactly which guests/items will move and what remains outstanding.</w:t>
      </w:r>
    </w:p>
    <w:p>
      <w:pPr>
        <w:pStyle w:val="ListBullet"/>
      </w:pPr>
      <w:r>
        <w:t>Staging positions are explicit and scannable; the interface prevents two bundles claiming the same physical slot.</w:t>
      </w:r>
    </w:p>
    <w:p>
      <w:pPr>
        <w:pStyle w:val="Heading1"/>
      </w:pPr>
      <w:r>
        <w:t>Deliver interface</w:t>
      </w:r>
    </w:p>
    <w:p>
      <w:pPr>
        <w:pStyle w:val="ListBullet"/>
      </w:pPr>
      <w:r>
        <w:t>Shows only released work assigned or claimable by that runner.</w:t>
      </w:r>
    </w:p>
    <w:p>
      <w:pPr>
        <w:pStyle w:val="ListBullet"/>
      </w:pPr>
      <w:r>
        <w:t>One bundle scan/tap records collection; per-plate scanning is reserved for exceptional custody needs.</w:t>
      </w:r>
    </w:p>
    <w:p>
      <w:pPr>
        <w:pStyle w:val="ListBullet"/>
      </w:pPr>
      <w:r>
        <w:t>Route shows zone, table, seats and concise delivery notes.</w:t>
      </w:r>
    </w:p>
    <w:p>
      <w:pPr>
        <w:pStyle w:val="ListBullet"/>
      </w:pPr>
      <w:r>
        <w:t>Delivery confirmation supports scan, short PIN, manual table selection or supervised override.</w:t>
      </w:r>
    </w:p>
    <w:p>
      <w:pPr>
        <w:pStyle w:val="ListBullet"/>
      </w:pPr>
      <w:r>
        <w:t>Issue options: table not found, guest moved, refused, spill, wrong item, missing item or return to expeditor.</w:t>
      </w:r>
    </w:p>
    <w:p>
      <w:pPr>
        <w:pStyle w:val="Heading1"/>
      </w:pPr>
      <w:r>
        <w:t>Clear interface</w:t>
      </w:r>
    </w:p>
    <w:p>
      <w:pPr>
        <w:pStyle w:val="ListBullet"/>
      </w:pPr>
      <w:r>
        <w:t>Queue sorted by urgency, zone and waiting time.</w:t>
      </w:r>
    </w:p>
    <w:p>
      <w:pPr>
        <w:pStyle w:val="ListBullet"/>
      </w:pPr>
      <w:r>
        <w:t>Task card states table, seats/scope, hazards and whether reset is required.</w:t>
      </w:r>
    </w:p>
    <w:p>
      <w:pPr>
        <w:pStyle w:val="ListBullet"/>
      </w:pPr>
      <w:r>
        <w:t>Ordinary actions: Accept, Cleared, Escalate.</w:t>
      </w:r>
    </w:p>
    <w:p>
      <w:pPr>
        <w:pStyle w:val="ListBullet"/>
      </w:pPr>
      <w:r>
        <w:t>No requirement to identify vendor crockery at the guest table.</w:t>
      </w:r>
    </w:p>
    <w:p>
      <w:pPr>
        <w:pStyle w:val="ListBullet"/>
      </w:pPr>
      <w:r>
        <w:t>Backstage receiving records vendor sorting, damage and return separately.</w:t>
      </w:r>
    </w:p>
    <w:p>
      <w:pPr>
        <w:pStyle w:val="Heading1"/>
      </w:pPr>
      <w:r>
        <w:t>Accessibility and inclusive use</w:t>
      </w:r>
    </w:p>
    <w:p>
      <w:pPr>
        <w:pStyle w:val="ListBullet"/>
      </w:pPr>
      <w:r>
        <w:t>WCAG 2.2 AA target for supported interfaces.</w:t>
      </w:r>
    </w:p>
    <w:p>
      <w:pPr>
        <w:pStyle w:val="ListBullet"/>
      </w:pPr>
      <w:r>
        <w:t>Keyboard and switch access; logical focus; visible focus; correct names and states.</w:t>
      </w:r>
    </w:p>
    <w:p>
      <w:pPr>
        <w:pStyle w:val="ListBullet"/>
      </w:pPr>
      <w:r>
        <w:t>Screen-reader announcements for new tasks and action outcomes without uncontrolled chatter.</w:t>
      </w:r>
    </w:p>
    <w:p>
      <w:pPr>
        <w:pStyle w:val="ListBullet"/>
      </w:pPr>
      <w:r>
        <w:t>Text scaling to 200 percent without loss of function.</w:t>
      </w:r>
    </w:p>
    <w:p>
      <w:pPr>
        <w:pStyle w:val="ListBullet"/>
      </w:pPr>
      <w:r>
        <w:t>High-contrast mode, reduced motion and sound/haptic cues that can be configured.</w:t>
      </w:r>
    </w:p>
    <w:p>
      <w:pPr>
        <w:pStyle w:val="ListBullet"/>
      </w:pPr>
      <w:r>
        <w:t>Plain-language Nigerian English baseline; terminology packs may support event languages without changing identifiers.</w:t>
      </w:r>
    </w:p>
    <w:p>
      <w:pPr>
        <w:pStyle w:val="ListBullet"/>
      </w:pPr>
      <w:r>
        <w:t>No inaccessible QR-only or gesture-only workflow; every scan has a manual alternative.</w:t>
      </w:r>
    </w:p>
    <w:p>
      <w:pPr>
        <w:pStyle w:val="Heading1"/>
      </w:pPr>
      <w:r>
        <w:t>Usability acceptance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2160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7488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Vendor novice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Completes Accept → Ready and one Unavailable case after no more than 15 minutes training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Concierge novice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Captures a multi-vendor order, late arrival and seconds without assistance after guided practice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Runner novice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Collects, delivers and reports a missing item within three minutes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Error recovery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User can understand whether retry is safe without technical help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Stress rehearsal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141414"/>
                <w:sz w:val="17"/>
              </w:rPr>
              <w:t>No critical error increase during noise, gloves, heat, glare, weak connectivity and queue surge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Findability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r>
              <w:rPr>
                <w:color w:val="141414"/>
                <w:sz w:val="17"/>
              </w:rPr>
              <w:t>A role can reach its next task without navigating the general Event OS</w:t>
            </w:r>
          </w:p>
        </w:tc>
      </w:tr>
    </w:tbl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